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36A16" w14:textId="12E9304C" w:rsidR="001C1016" w:rsidRPr="00083C6A" w:rsidRDefault="00D77386" w:rsidP="00083C6A">
      <w:pPr>
        <w:spacing w:after="0" w:line="240" w:lineRule="auto"/>
        <w:jc w:val="center"/>
        <w:rPr>
          <w:rFonts w:ascii="Book Antiqua" w:hAnsi="Book Antiqua" w:cs="Arial"/>
          <w:caps/>
          <w:sz w:val="16"/>
          <w:szCs w:val="16"/>
        </w:rPr>
      </w:pPr>
      <w:r w:rsidRPr="00083C6A">
        <w:rPr>
          <w:rFonts w:ascii="Book Antiqua" w:hAnsi="Book Antiqua"/>
          <w:noProof/>
          <w:sz w:val="16"/>
          <w:szCs w:val="16"/>
        </w:rPr>
        <w:drawing>
          <wp:inline distT="0" distB="0" distL="0" distR="0" wp14:anchorId="1E778E5D" wp14:editId="494236C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6EE8417" w14:textId="77777777" w:rsidR="00B90D75" w:rsidRPr="00083C6A" w:rsidRDefault="00B90D75" w:rsidP="00083C6A">
      <w:pPr>
        <w:spacing w:after="0" w:line="240" w:lineRule="auto"/>
        <w:jc w:val="center"/>
        <w:rPr>
          <w:rFonts w:ascii="Book Antiqua" w:hAnsi="Book Antiqua" w:cs="Arial"/>
          <w:caps/>
          <w:sz w:val="16"/>
          <w:szCs w:val="16"/>
        </w:rPr>
      </w:pPr>
    </w:p>
    <w:p w14:paraId="4A098211" w14:textId="77777777" w:rsidR="001C1016" w:rsidRPr="00083C6A" w:rsidRDefault="001C1016" w:rsidP="00083C6A">
      <w:pPr>
        <w:spacing w:after="0" w:line="240" w:lineRule="auto"/>
        <w:rPr>
          <w:rFonts w:ascii="Book Antiqua" w:hAnsi="Book Antiqua" w:cs="Arial"/>
          <w:b/>
          <w:sz w:val="24"/>
          <w:szCs w:val="24"/>
        </w:rPr>
      </w:pPr>
      <w:r w:rsidRPr="00083C6A">
        <w:rPr>
          <w:rFonts w:ascii="Book Antiqua" w:hAnsi="Book Antiqua" w:cs="Arial"/>
          <w:b/>
          <w:sz w:val="24"/>
          <w:szCs w:val="24"/>
        </w:rPr>
        <w:t>Upper Tribunal</w:t>
      </w:r>
    </w:p>
    <w:p w14:paraId="69CFA93B" w14:textId="77777777" w:rsidR="001C1016" w:rsidRPr="00083C6A" w:rsidRDefault="001C1016" w:rsidP="00083C6A">
      <w:pPr>
        <w:tabs>
          <w:tab w:val="right" w:pos="9638"/>
        </w:tabs>
        <w:spacing w:after="0" w:line="240" w:lineRule="auto"/>
        <w:rPr>
          <w:rFonts w:ascii="Book Antiqua" w:hAnsi="Book Antiqua" w:cs="Arial"/>
          <w:sz w:val="24"/>
          <w:szCs w:val="24"/>
        </w:rPr>
      </w:pPr>
      <w:r w:rsidRPr="00083C6A">
        <w:rPr>
          <w:rFonts w:ascii="Book Antiqua" w:hAnsi="Book Antiqua" w:cs="Arial"/>
          <w:b/>
          <w:sz w:val="24"/>
          <w:szCs w:val="24"/>
        </w:rPr>
        <w:t>(Immigration and Asylum Chamber)</w:t>
      </w:r>
      <w:r w:rsidRPr="00083C6A">
        <w:rPr>
          <w:rFonts w:ascii="Book Antiqua" w:hAnsi="Book Antiqua" w:cs="Arial"/>
          <w:b/>
          <w:sz w:val="24"/>
          <w:szCs w:val="24"/>
        </w:rPr>
        <w:tab/>
      </w:r>
      <w:r w:rsidRPr="00083C6A">
        <w:rPr>
          <w:rFonts w:ascii="Book Antiqua" w:hAnsi="Book Antiqua" w:cs="Arial"/>
          <w:sz w:val="24"/>
          <w:szCs w:val="24"/>
        </w:rPr>
        <w:t xml:space="preserve">Appeal Number: </w:t>
      </w:r>
      <w:r w:rsidRPr="00083C6A">
        <w:rPr>
          <w:rFonts w:ascii="Book Antiqua" w:hAnsi="Book Antiqua" w:cs="Arial"/>
          <w:caps/>
          <w:sz w:val="24"/>
          <w:szCs w:val="24"/>
        </w:rPr>
        <w:t>DA/00</w:t>
      </w:r>
      <w:r w:rsidR="00F63FFC" w:rsidRPr="00083C6A">
        <w:rPr>
          <w:rFonts w:ascii="Book Antiqua" w:hAnsi="Book Antiqua" w:cs="Arial"/>
          <w:caps/>
          <w:sz w:val="24"/>
          <w:szCs w:val="24"/>
        </w:rPr>
        <w:t>574</w:t>
      </w:r>
      <w:r w:rsidRPr="00083C6A">
        <w:rPr>
          <w:rFonts w:ascii="Book Antiqua" w:hAnsi="Book Antiqua" w:cs="Arial"/>
          <w:caps/>
          <w:sz w:val="24"/>
          <w:szCs w:val="24"/>
        </w:rPr>
        <w:t>/2014</w:t>
      </w:r>
    </w:p>
    <w:p w14:paraId="5E9C1B37" w14:textId="007D454D" w:rsidR="000E6895" w:rsidRPr="00083C6A" w:rsidRDefault="000E6895" w:rsidP="00083C6A">
      <w:pPr>
        <w:spacing w:after="0" w:line="240" w:lineRule="auto"/>
        <w:rPr>
          <w:rFonts w:ascii="Book Antiqua" w:hAnsi="Book Antiqua" w:cs="Arial"/>
          <w:sz w:val="24"/>
          <w:szCs w:val="24"/>
        </w:rPr>
      </w:pPr>
    </w:p>
    <w:p w14:paraId="60D84E99" w14:textId="77777777" w:rsidR="00083C6A" w:rsidRPr="00083C6A" w:rsidRDefault="00083C6A" w:rsidP="00083C6A">
      <w:pPr>
        <w:spacing w:after="0" w:line="240" w:lineRule="auto"/>
        <w:rPr>
          <w:rFonts w:ascii="Book Antiqua" w:hAnsi="Book Antiqua" w:cs="Arial"/>
          <w:sz w:val="24"/>
          <w:szCs w:val="24"/>
        </w:rPr>
      </w:pPr>
    </w:p>
    <w:p w14:paraId="25CD0491" w14:textId="6822C712" w:rsidR="001C1016" w:rsidRPr="00083C6A" w:rsidRDefault="000E6895" w:rsidP="00083C6A">
      <w:pPr>
        <w:spacing w:after="0" w:line="240" w:lineRule="auto"/>
        <w:jc w:val="center"/>
        <w:rPr>
          <w:rFonts w:ascii="Book Antiqua" w:hAnsi="Book Antiqua" w:cs="Arial"/>
          <w:b/>
          <w:sz w:val="24"/>
          <w:szCs w:val="24"/>
          <w:u w:val="single"/>
        </w:rPr>
      </w:pPr>
      <w:r w:rsidRPr="00083C6A">
        <w:rPr>
          <w:rFonts w:ascii="Book Antiqua" w:hAnsi="Book Antiqua" w:cs="Arial"/>
          <w:b/>
          <w:sz w:val="24"/>
          <w:szCs w:val="24"/>
          <w:u w:val="single"/>
        </w:rPr>
        <w:t>THE IMMIGRATION ACTS</w:t>
      </w:r>
    </w:p>
    <w:p w14:paraId="193BF1FB" w14:textId="77777777" w:rsidR="00B90D75" w:rsidRPr="00083C6A" w:rsidRDefault="00B90D75" w:rsidP="00083C6A">
      <w:pPr>
        <w:spacing w:after="0" w:line="240" w:lineRule="auto"/>
        <w:jc w:val="center"/>
        <w:rPr>
          <w:rFonts w:ascii="Book Antiqua" w:hAnsi="Book Antiqua" w:cs="Arial"/>
          <w:b/>
          <w:sz w:val="24"/>
          <w:szCs w:val="24"/>
          <w:u w:val="single"/>
        </w:rPr>
      </w:pPr>
    </w:p>
    <w:p w14:paraId="4535049E" w14:textId="77777777" w:rsidR="000E6895" w:rsidRPr="00083C6A" w:rsidRDefault="000E6895" w:rsidP="00083C6A">
      <w:pPr>
        <w:spacing w:after="0" w:line="240" w:lineRule="auto"/>
        <w:jc w:val="center"/>
        <w:rPr>
          <w:rFonts w:ascii="Book Antiqua" w:hAnsi="Book Antiqua" w:cs="Arial"/>
          <w:b/>
          <w:sz w:val="24"/>
          <w:szCs w:val="24"/>
          <w:u w:val="single"/>
        </w:rPr>
      </w:pPr>
    </w:p>
    <w:tbl>
      <w:tblPr>
        <w:tblW w:w="5000" w:type="pct"/>
        <w:tblLook w:val="01E0" w:firstRow="1" w:lastRow="1" w:firstColumn="1" w:lastColumn="1" w:noHBand="0" w:noVBand="0"/>
      </w:tblPr>
      <w:tblGrid>
        <w:gridCol w:w="4819"/>
        <w:gridCol w:w="4819"/>
      </w:tblGrid>
      <w:tr w:rsidR="00083C6A" w:rsidRPr="00083C6A" w14:paraId="7AA83012" w14:textId="77777777" w:rsidTr="00083C6A">
        <w:trPr>
          <w:trHeight w:val="396"/>
        </w:trPr>
        <w:tc>
          <w:tcPr>
            <w:tcW w:w="2500" w:type="pct"/>
            <w:shd w:val="clear" w:color="auto" w:fill="auto"/>
          </w:tcPr>
          <w:p w14:paraId="1DFF085A" w14:textId="77777777" w:rsidR="001C1016" w:rsidRPr="00083C6A" w:rsidRDefault="001C1016" w:rsidP="00083C6A">
            <w:pPr>
              <w:spacing w:after="0" w:line="240" w:lineRule="auto"/>
              <w:jc w:val="both"/>
              <w:rPr>
                <w:rFonts w:ascii="Book Antiqua" w:hAnsi="Book Antiqua" w:cs="Arial"/>
                <w:b/>
                <w:sz w:val="24"/>
                <w:szCs w:val="24"/>
              </w:rPr>
            </w:pPr>
            <w:r w:rsidRPr="00083C6A">
              <w:rPr>
                <w:rFonts w:ascii="Book Antiqua" w:hAnsi="Book Antiqua" w:cs="Arial"/>
                <w:b/>
                <w:sz w:val="24"/>
                <w:szCs w:val="24"/>
              </w:rPr>
              <w:t>Heard at Field House</w:t>
            </w:r>
          </w:p>
          <w:p w14:paraId="5BF02E33" w14:textId="77777777" w:rsidR="000E6895" w:rsidRPr="00083C6A" w:rsidRDefault="000E6895" w:rsidP="00083C6A">
            <w:pPr>
              <w:spacing w:after="0" w:line="240" w:lineRule="auto"/>
              <w:jc w:val="both"/>
              <w:rPr>
                <w:rFonts w:ascii="Book Antiqua" w:hAnsi="Book Antiqua" w:cs="Arial"/>
                <w:b/>
                <w:sz w:val="24"/>
                <w:szCs w:val="24"/>
              </w:rPr>
            </w:pPr>
            <w:r w:rsidRPr="00083C6A">
              <w:rPr>
                <w:rFonts w:ascii="Book Antiqua" w:hAnsi="Book Antiqua" w:cs="Arial"/>
                <w:b/>
                <w:sz w:val="24"/>
                <w:szCs w:val="24"/>
              </w:rPr>
              <w:t>On 10 July 2018</w:t>
            </w:r>
          </w:p>
        </w:tc>
        <w:tc>
          <w:tcPr>
            <w:tcW w:w="2500" w:type="pct"/>
            <w:shd w:val="clear" w:color="auto" w:fill="auto"/>
          </w:tcPr>
          <w:p w14:paraId="28293BA3" w14:textId="77777777" w:rsidR="001C1016" w:rsidRPr="00083C6A" w:rsidRDefault="001C1016" w:rsidP="00083C6A">
            <w:pPr>
              <w:spacing w:after="0" w:line="240" w:lineRule="auto"/>
              <w:jc w:val="right"/>
              <w:rPr>
                <w:rFonts w:ascii="Book Antiqua" w:hAnsi="Book Antiqua" w:cs="Arial"/>
                <w:b/>
                <w:sz w:val="24"/>
                <w:szCs w:val="24"/>
              </w:rPr>
            </w:pPr>
            <w:r w:rsidRPr="00083C6A">
              <w:rPr>
                <w:rFonts w:ascii="Book Antiqua" w:hAnsi="Book Antiqua" w:cs="Arial"/>
                <w:b/>
                <w:sz w:val="24"/>
                <w:szCs w:val="24"/>
              </w:rPr>
              <w:t>Decision &amp; Reasons Promulgated</w:t>
            </w:r>
          </w:p>
          <w:p w14:paraId="50E19F46" w14:textId="77777777" w:rsidR="000E6895" w:rsidRPr="00083C6A" w:rsidRDefault="000E6895" w:rsidP="00083C6A">
            <w:pPr>
              <w:spacing w:after="0" w:line="240" w:lineRule="auto"/>
              <w:jc w:val="right"/>
              <w:rPr>
                <w:rFonts w:ascii="Book Antiqua" w:hAnsi="Book Antiqua" w:cs="Arial"/>
                <w:b/>
                <w:sz w:val="24"/>
                <w:szCs w:val="24"/>
              </w:rPr>
            </w:pPr>
            <w:r w:rsidRPr="00083C6A">
              <w:rPr>
                <w:rFonts w:ascii="Book Antiqua" w:hAnsi="Book Antiqua" w:cs="Arial"/>
                <w:b/>
                <w:sz w:val="24"/>
                <w:szCs w:val="24"/>
              </w:rPr>
              <w:t>On 14 August 2018</w:t>
            </w:r>
          </w:p>
        </w:tc>
      </w:tr>
    </w:tbl>
    <w:p w14:paraId="2149151B" w14:textId="694FCFBB" w:rsidR="001C1016" w:rsidRPr="00083C6A" w:rsidRDefault="001C1016" w:rsidP="00083C6A">
      <w:pPr>
        <w:spacing w:after="0" w:line="240" w:lineRule="auto"/>
        <w:rPr>
          <w:rFonts w:ascii="Book Antiqua" w:hAnsi="Book Antiqua" w:cs="Arial"/>
          <w:sz w:val="24"/>
          <w:szCs w:val="24"/>
        </w:rPr>
      </w:pPr>
    </w:p>
    <w:p w14:paraId="35E12368" w14:textId="77777777" w:rsidR="00083C6A" w:rsidRPr="00083C6A" w:rsidRDefault="00083C6A" w:rsidP="00083C6A">
      <w:pPr>
        <w:spacing w:after="0" w:line="240" w:lineRule="auto"/>
        <w:rPr>
          <w:rFonts w:ascii="Book Antiqua" w:hAnsi="Book Antiqua" w:cs="Arial"/>
          <w:sz w:val="24"/>
          <w:szCs w:val="24"/>
        </w:rPr>
      </w:pPr>
    </w:p>
    <w:p w14:paraId="0BBB7C50" w14:textId="77777777"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t>Before</w:t>
      </w:r>
    </w:p>
    <w:p w14:paraId="329CB1D3" w14:textId="77777777" w:rsidR="001C1016" w:rsidRPr="00083C6A" w:rsidRDefault="001C1016" w:rsidP="00083C6A">
      <w:pPr>
        <w:spacing w:after="0" w:line="240" w:lineRule="auto"/>
        <w:jc w:val="center"/>
        <w:rPr>
          <w:rFonts w:ascii="Book Antiqua" w:hAnsi="Book Antiqua" w:cs="Arial"/>
          <w:b/>
          <w:sz w:val="24"/>
          <w:szCs w:val="24"/>
        </w:rPr>
      </w:pPr>
    </w:p>
    <w:p w14:paraId="405EBE4C" w14:textId="77777777"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t>THE HON. MR JUSTICE GOSS</w:t>
      </w:r>
    </w:p>
    <w:p w14:paraId="0DB750DD" w14:textId="77777777" w:rsidR="001C1016" w:rsidRPr="00083C6A" w:rsidRDefault="001C1016" w:rsidP="00083C6A">
      <w:pPr>
        <w:spacing w:after="0" w:line="240" w:lineRule="auto"/>
        <w:jc w:val="center"/>
        <w:rPr>
          <w:rFonts w:ascii="Book Antiqua" w:hAnsi="Book Antiqua" w:cs="Arial"/>
          <w:b/>
          <w:szCs w:val="24"/>
        </w:rPr>
      </w:pPr>
      <w:r w:rsidRPr="00083C6A">
        <w:rPr>
          <w:rFonts w:ascii="Book Antiqua" w:hAnsi="Book Antiqua" w:cs="Arial"/>
          <w:b/>
          <w:szCs w:val="24"/>
        </w:rPr>
        <w:t>(SITTING AS A JUDGE OF THE UPPER TRIBUNAL)</w:t>
      </w:r>
    </w:p>
    <w:p w14:paraId="4CA5ED4D" w14:textId="77777777"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t>UPPER TRIBUNAL JUDGE KOPIECZEK</w:t>
      </w:r>
    </w:p>
    <w:p w14:paraId="148D7399" w14:textId="77777777" w:rsidR="001C1016" w:rsidRPr="00083C6A" w:rsidRDefault="001C1016" w:rsidP="00083C6A">
      <w:pPr>
        <w:spacing w:after="0" w:line="240" w:lineRule="auto"/>
        <w:jc w:val="center"/>
        <w:rPr>
          <w:rFonts w:ascii="Book Antiqua" w:hAnsi="Book Antiqua" w:cs="Arial"/>
          <w:b/>
          <w:sz w:val="24"/>
          <w:szCs w:val="24"/>
        </w:rPr>
      </w:pPr>
    </w:p>
    <w:p w14:paraId="1A9DE940" w14:textId="77777777" w:rsidR="00B90D75" w:rsidRPr="00083C6A" w:rsidRDefault="00B90D75" w:rsidP="00083C6A">
      <w:pPr>
        <w:spacing w:after="0" w:line="240" w:lineRule="auto"/>
        <w:jc w:val="center"/>
        <w:rPr>
          <w:rFonts w:ascii="Book Antiqua" w:hAnsi="Book Antiqua" w:cs="Arial"/>
          <w:b/>
          <w:sz w:val="24"/>
          <w:szCs w:val="24"/>
        </w:rPr>
      </w:pPr>
    </w:p>
    <w:p w14:paraId="11987925" w14:textId="015AFCB9"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t>Between</w:t>
      </w:r>
    </w:p>
    <w:p w14:paraId="216C3BA3" w14:textId="77777777" w:rsidR="001C1016" w:rsidRPr="00083C6A" w:rsidRDefault="001C1016" w:rsidP="00083C6A">
      <w:pPr>
        <w:spacing w:after="0" w:line="240" w:lineRule="auto"/>
        <w:jc w:val="center"/>
        <w:rPr>
          <w:rFonts w:ascii="Book Antiqua" w:hAnsi="Book Antiqua" w:cs="Arial"/>
          <w:b/>
          <w:sz w:val="24"/>
          <w:szCs w:val="24"/>
        </w:rPr>
      </w:pPr>
    </w:p>
    <w:p w14:paraId="5038A2B9" w14:textId="77777777" w:rsidR="001C1016" w:rsidRPr="00083C6A" w:rsidRDefault="001C1016" w:rsidP="00083C6A">
      <w:pPr>
        <w:spacing w:after="0" w:line="240" w:lineRule="auto"/>
        <w:jc w:val="center"/>
        <w:rPr>
          <w:rFonts w:ascii="Book Antiqua" w:hAnsi="Book Antiqua" w:cs="Arial"/>
          <w:b/>
          <w:caps/>
          <w:sz w:val="24"/>
          <w:szCs w:val="24"/>
        </w:rPr>
      </w:pPr>
      <w:r w:rsidRPr="00083C6A">
        <w:rPr>
          <w:rFonts w:ascii="Book Antiqua" w:hAnsi="Book Antiqua" w:cs="Arial"/>
          <w:b/>
          <w:caps/>
          <w:sz w:val="24"/>
          <w:szCs w:val="24"/>
        </w:rPr>
        <w:t>REMI AKINYEMI</w:t>
      </w:r>
    </w:p>
    <w:p w14:paraId="27C76A20" w14:textId="77777777" w:rsidR="001C1016" w:rsidRPr="00083C6A" w:rsidRDefault="001C1016" w:rsidP="00083C6A">
      <w:pPr>
        <w:spacing w:after="0" w:line="240" w:lineRule="auto"/>
        <w:jc w:val="center"/>
        <w:rPr>
          <w:rFonts w:ascii="Book Antiqua" w:hAnsi="Book Antiqua" w:cs="Arial"/>
          <w:b/>
          <w:caps/>
          <w:szCs w:val="24"/>
        </w:rPr>
      </w:pPr>
      <w:r w:rsidRPr="00083C6A">
        <w:rPr>
          <w:rFonts w:ascii="Book Antiqua" w:hAnsi="Book Antiqua" w:cs="Arial"/>
          <w:b/>
          <w:caps/>
          <w:szCs w:val="24"/>
        </w:rPr>
        <w:t>(ANONYMITY DIRECTION NOT made)</w:t>
      </w:r>
    </w:p>
    <w:p w14:paraId="283F1C14" w14:textId="77777777" w:rsidR="001C1016" w:rsidRPr="00083C6A" w:rsidRDefault="001C1016" w:rsidP="00083C6A">
      <w:pPr>
        <w:spacing w:after="0" w:line="240" w:lineRule="auto"/>
        <w:jc w:val="right"/>
        <w:rPr>
          <w:rFonts w:ascii="Book Antiqua" w:hAnsi="Book Antiqua" w:cs="Arial"/>
          <w:sz w:val="24"/>
          <w:szCs w:val="24"/>
          <w:u w:val="single"/>
        </w:rPr>
      </w:pPr>
      <w:r w:rsidRPr="00083C6A">
        <w:rPr>
          <w:rFonts w:ascii="Book Antiqua" w:hAnsi="Book Antiqua" w:cs="Arial"/>
          <w:sz w:val="24"/>
          <w:szCs w:val="24"/>
          <w:u w:val="single"/>
        </w:rPr>
        <w:t>Appellant</w:t>
      </w:r>
    </w:p>
    <w:p w14:paraId="1824E590" w14:textId="77777777"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t>and</w:t>
      </w:r>
    </w:p>
    <w:p w14:paraId="5A8784ED" w14:textId="77777777" w:rsidR="001C1016" w:rsidRPr="00083C6A" w:rsidRDefault="001C1016" w:rsidP="00083C6A">
      <w:pPr>
        <w:spacing w:after="0" w:line="240" w:lineRule="auto"/>
        <w:jc w:val="center"/>
        <w:rPr>
          <w:rFonts w:ascii="Book Antiqua" w:hAnsi="Book Antiqua" w:cs="Arial"/>
          <w:b/>
          <w:sz w:val="24"/>
          <w:szCs w:val="24"/>
        </w:rPr>
      </w:pPr>
    </w:p>
    <w:p w14:paraId="1C035A1B" w14:textId="77777777" w:rsidR="001C1016" w:rsidRPr="00083C6A" w:rsidRDefault="001C1016" w:rsidP="00083C6A">
      <w:pPr>
        <w:spacing w:after="0" w:line="240" w:lineRule="auto"/>
        <w:jc w:val="center"/>
        <w:rPr>
          <w:rFonts w:ascii="Book Antiqua" w:hAnsi="Book Antiqua" w:cs="Arial"/>
          <w:b/>
          <w:sz w:val="24"/>
          <w:szCs w:val="24"/>
        </w:rPr>
      </w:pPr>
      <w:r w:rsidRPr="00083C6A">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0" w:name="Text7"/>
      <w:r w:rsidRPr="00083C6A">
        <w:rPr>
          <w:rFonts w:ascii="Book Antiqua" w:hAnsi="Book Antiqua" w:cs="Arial"/>
          <w:b/>
          <w:sz w:val="24"/>
          <w:szCs w:val="24"/>
        </w:rPr>
        <w:instrText xml:space="preserve"> FORMTEXT </w:instrText>
      </w:r>
      <w:r w:rsidRPr="00083C6A">
        <w:rPr>
          <w:rFonts w:ascii="Book Antiqua" w:hAnsi="Book Antiqua" w:cs="Arial"/>
          <w:b/>
          <w:sz w:val="24"/>
          <w:szCs w:val="24"/>
        </w:rPr>
      </w:r>
      <w:r w:rsidRPr="00083C6A">
        <w:rPr>
          <w:rFonts w:ascii="Book Antiqua" w:hAnsi="Book Antiqua" w:cs="Arial"/>
          <w:b/>
          <w:sz w:val="24"/>
          <w:szCs w:val="24"/>
        </w:rPr>
        <w:fldChar w:fldCharType="separate"/>
      </w:r>
      <w:r w:rsidRPr="00083C6A">
        <w:rPr>
          <w:rFonts w:ascii="Book Antiqua" w:hAnsi="Book Antiqua" w:cs="Arial"/>
          <w:b/>
          <w:noProof/>
          <w:sz w:val="24"/>
          <w:szCs w:val="24"/>
        </w:rPr>
        <w:t>THE SECRETARY OF STATE FOR THE HOME DEPARTMENT</w:t>
      </w:r>
      <w:r w:rsidRPr="00083C6A">
        <w:rPr>
          <w:rFonts w:ascii="Book Antiqua" w:hAnsi="Book Antiqua" w:cs="Arial"/>
          <w:b/>
          <w:sz w:val="24"/>
          <w:szCs w:val="24"/>
        </w:rPr>
        <w:fldChar w:fldCharType="end"/>
      </w:r>
      <w:bookmarkEnd w:id="0"/>
    </w:p>
    <w:p w14:paraId="0DF92866" w14:textId="77777777" w:rsidR="001C1016" w:rsidRPr="00083C6A" w:rsidRDefault="00717B90" w:rsidP="00083C6A">
      <w:pPr>
        <w:spacing w:after="0" w:line="240" w:lineRule="auto"/>
        <w:jc w:val="right"/>
        <w:rPr>
          <w:rFonts w:ascii="Book Antiqua" w:hAnsi="Book Antiqua" w:cs="Arial"/>
          <w:sz w:val="24"/>
          <w:szCs w:val="24"/>
          <w:u w:val="single"/>
        </w:rPr>
      </w:pPr>
      <w:r w:rsidRPr="00083C6A">
        <w:rPr>
          <w:rFonts w:ascii="Book Antiqua" w:hAnsi="Book Antiqua" w:cs="Arial"/>
          <w:sz w:val="24"/>
          <w:szCs w:val="24"/>
          <w:u w:val="single"/>
        </w:rPr>
        <w:t>Res</w:t>
      </w:r>
      <w:r w:rsidR="001C1016" w:rsidRPr="00083C6A">
        <w:rPr>
          <w:rFonts w:ascii="Book Antiqua" w:hAnsi="Book Antiqua" w:cs="Arial"/>
          <w:sz w:val="24"/>
          <w:szCs w:val="24"/>
          <w:u w:val="single"/>
        </w:rPr>
        <w:t>pondent</w:t>
      </w:r>
    </w:p>
    <w:p w14:paraId="2A8F7B64" w14:textId="66354B3B" w:rsidR="001C1016" w:rsidRPr="00083C6A" w:rsidRDefault="001C1016" w:rsidP="00083C6A">
      <w:pPr>
        <w:spacing w:after="0" w:line="240" w:lineRule="auto"/>
        <w:rPr>
          <w:rFonts w:ascii="Book Antiqua" w:hAnsi="Book Antiqua" w:cs="Arial"/>
          <w:sz w:val="24"/>
          <w:szCs w:val="24"/>
          <w:u w:val="single"/>
        </w:rPr>
      </w:pPr>
    </w:p>
    <w:p w14:paraId="2593FE96" w14:textId="77777777" w:rsidR="00083C6A" w:rsidRPr="00083C6A" w:rsidRDefault="00083C6A" w:rsidP="00083C6A">
      <w:pPr>
        <w:spacing w:after="0" w:line="240" w:lineRule="auto"/>
        <w:rPr>
          <w:rFonts w:ascii="Book Antiqua" w:hAnsi="Book Antiqua" w:cs="Arial"/>
          <w:sz w:val="24"/>
          <w:szCs w:val="24"/>
          <w:u w:val="single"/>
        </w:rPr>
      </w:pPr>
    </w:p>
    <w:p w14:paraId="5D7D76DB" w14:textId="77777777" w:rsidR="001C1016" w:rsidRPr="00083C6A" w:rsidRDefault="001C1016" w:rsidP="00083C6A">
      <w:pPr>
        <w:spacing w:after="0" w:line="240" w:lineRule="auto"/>
        <w:rPr>
          <w:rFonts w:ascii="Book Antiqua" w:hAnsi="Book Antiqua" w:cs="Arial"/>
          <w:sz w:val="24"/>
          <w:szCs w:val="24"/>
        </w:rPr>
      </w:pPr>
      <w:r w:rsidRPr="00083C6A">
        <w:rPr>
          <w:rFonts w:ascii="Book Antiqua" w:hAnsi="Book Antiqua" w:cs="Arial"/>
          <w:b/>
          <w:sz w:val="24"/>
          <w:szCs w:val="24"/>
          <w:u w:val="single"/>
        </w:rPr>
        <w:t>Representation</w:t>
      </w:r>
      <w:r w:rsidRPr="00083C6A">
        <w:rPr>
          <w:rFonts w:ascii="Book Antiqua" w:hAnsi="Book Antiqua" w:cs="Arial"/>
          <w:b/>
          <w:sz w:val="24"/>
          <w:szCs w:val="24"/>
        </w:rPr>
        <w:t>:</w:t>
      </w:r>
    </w:p>
    <w:p w14:paraId="31458CFF" w14:textId="1A14020F" w:rsidR="001C1016" w:rsidRPr="00083C6A" w:rsidRDefault="001C1016" w:rsidP="00083C6A">
      <w:pPr>
        <w:spacing w:after="0" w:line="240" w:lineRule="auto"/>
        <w:ind w:left="2552" w:hanging="2552"/>
        <w:rPr>
          <w:rFonts w:ascii="Book Antiqua" w:hAnsi="Book Antiqua" w:cs="Arial"/>
          <w:sz w:val="24"/>
          <w:szCs w:val="24"/>
        </w:rPr>
      </w:pPr>
      <w:r w:rsidRPr="00083C6A">
        <w:rPr>
          <w:rFonts w:ascii="Book Antiqua" w:hAnsi="Book Antiqua" w:cs="Arial"/>
          <w:sz w:val="24"/>
          <w:szCs w:val="24"/>
        </w:rPr>
        <w:t>For the Appellant:</w:t>
      </w:r>
      <w:r w:rsidRPr="00083C6A">
        <w:rPr>
          <w:rFonts w:ascii="Book Antiqua" w:hAnsi="Book Antiqua" w:cs="Arial"/>
          <w:sz w:val="24"/>
          <w:szCs w:val="24"/>
        </w:rPr>
        <w:tab/>
        <w:t xml:space="preserve">Mr R </w:t>
      </w:r>
      <w:proofErr w:type="spellStart"/>
      <w:r w:rsidRPr="00083C6A">
        <w:rPr>
          <w:rFonts w:ascii="Book Antiqua" w:hAnsi="Book Antiqua" w:cs="Arial"/>
          <w:sz w:val="24"/>
          <w:szCs w:val="24"/>
        </w:rPr>
        <w:t>Khubb</w:t>
      </w:r>
      <w:r w:rsidR="00836992" w:rsidRPr="00083C6A">
        <w:rPr>
          <w:rFonts w:ascii="Book Antiqua" w:hAnsi="Book Antiqua" w:cs="Arial"/>
          <w:sz w:val="24"/>
          <w:szCs w:val="24"/>
        </w:rPr>
        <w:t>e</w:t>
      </w:r>
      <w:r w:rsidRPr="00083C6A">
        <w:rPr>
          <w:rFonts w:ascii="Book Antiqua" w:hAnsi="Book Antiqua" w:cs="Arial"/>
          <w:sz w:val="24"/>
          <w:szCs w:val="24"/>
        </w:rPr>
        <w:t>r</w:t>
      </w:r>
      <w:proofErr w:type="spellEnd"/>
      <w:r w:rsidRPr="00083C6A">
        <w:rPr>
          <w:rFonts w:ascii="Book Antiqua" w:hAnsi="Book Antiqua" w:cs="Arial"/>
          <w:sz w:val="24"/>
          <w:szCs w:val="24"/>
        </w:rPr>
        <w:t xml:space="preserve"> Counsel instructed by Turpin &amp; Miller LLP (Oxford) Solicitors</w:t>
      </w:r>
    </w:p>
    <w:p w14:paraId="543ED985" w14:textId="77777777" w:rsidR="001C1016" w:rsidRPr="00083C6A" w:rsidRDefault="001C1016" w:rsidP="00083C6A">
      <w:pPr>
        <w:tabs>
          <w:tab w:val="left" w:pos="2552"/>
        </w:tabs>
        <w:spacing w:after="0" w:line="240" w:lineRule="auto"/>
        <w:rPr>
          <w:rFonts w:ascii="Book Antiqua" w:hAnsi="Book Antiqua" w:cs="Arial"/>
          <w:sz w:val="24"/>
          <w:szCs w:val="24"/>
        </w:rPr>
      </w:pPr>
      <w:r w:rsidRPr="00083C6A">
        <w:rPr>
          <w:rFonts w:ascii="Book Antiqua" w:hAnsi="Book Antiqua" w:cs="Arial"/>
          <w:sz w:val="24"/>
          <w:szCs w:val="24"/>
        </w:rPr>
        <w:t>For the Respondent:</w:t>
      </w:r>
      <w:r w:rsidR="00717B90" w:rsidRPr="00083C6A">
        <w:rPr>
          <w:rFonts w:ascii="Book Antiqua" w:hAnsi="Book Antiqua" w:cs="Arial"/>
          <w:sz w:val="24"/>
          <w:szCs w:val="24"/>
        </w:rPr>
        <w:tab/>
      </w:r>
      <w:r w:rsidRPr="00083C6A">
        <w:rPr>
          <w:rFonts w:ascii="Book Antiqua" w:hAnsi="Book Antiqua" w:cs="Arial"/>
          <w:sz w:val="24"/>
          <w:szCs w:val="24"/>
        </w:rPr>
        <w:t xml:space="preserve">Ms A. Holmes, Senior Home Office Presenting Officer </w:t>
      </w:r>
    </w:p>
    <w:p w14:paraId="0A2B96B7" w14:textId="7FD37A8F" w:rsidR="001C1016" w:rsidRPr="00083C6A" w:rsidRDefault="001C1016" w:rsidP="00083C6A">
      <w:pPr>
        <w:tabs>
          <w:tab w:val="left" w:pos="2520"/>
        </w:tabs>
        <w:spacing w:after="0" w:line="240" w:lineRule="auto"/>
        <w:jc w:val="center"/>
        <w:rPr>
          <w:rFonts w:ascii="Book Antiqua" w:hAnsi="Book Antiqua" w:cs="Arial"/>
          <w:sz w:val="24"/>
          <w:szCs w:val="24"/>
        </w:rPr>
      </w:pPr>
    </w:p>
    <w:p w14:paraId="6F11AB78" w14:textId="77777777" w:rsidR="00B90D75" w:rsidRPr="00083C6A" w:rsidRDefault="00B90D75" w:rsidP="00083C6A">
      <w:pPr>
        <w:tabs>
          <w:tab w:val="left" w:pos="2520"/>
        </w:tabs>
        <w:spacing w:after="0" w:line="240" w:lineRule="auto"/>
        <w:jc w:val="center"/>
        <w:rPr>
          <w:rFonts w:ascii="Book Antiqua" w:hAnsi="Book Antiqua" w:cs="Arial"/>
          <w:sz w:val="24"/>
          <w:szCs w:val="24"/>
        </w:rPr>
      </w:pPr>
    </w:p>
    <w:p w14:paraId="4541A453" w14:textId="77777777" w:rsidR="00025343" w:rsidRPr="00083C6A" w:rsidRDefault="001C1016" w:rsidP="00083C6A">
      <w:pPr>
        <w:tabs>
          <w:tab w:val="left" w:pos="2520"/>
        </w:tabs>
        <w:spacing w:after="0" w:line="240" w:lineRule="auto"/>
        <w:jc w:val="center"/>
        <w:rPr>
          <w:rFonts w:ascii="Book Antiqua" w:hAnsi="Book Antiqua" w:cs="Arial"/>
          <w:sz w:val="24"/>
          <w:szCs w:val="24"/>
        </w:rPr>
      </w:pPr>
      <w:r w:rsidRPr="00083C6A">
        <w:rPr>
          <w:rFonts w:ascii="Book Antiqua" w:hAnsi="Book Antiqua" w:cs="Arial"/>
          <w:b/>
          <w:sz w:val="24"/>
          <w:szCs w:val="24"/>
          <w:u w:val="single"/>
        </w:rPr>
        <w:t>DECISION AND REASONS</w:t>
      </w:r>
    </w:p>
    <w:p w14:paraId="68239BF1" w14:textId="078733FB" w:rsidR="00025343" w:rsidRPr="00083C6A" w:rsidRDefault="00025343" w:rsidP="00083C6A">
      <w:pPr>
        <w:spacing w:before="160" w:after="0" w:line="240" w:lineRule="auto"/>
        <w:ind w:left="567"/>
        <w:jc w:val="both"/>
        <w:rPr>
          <w:rFonts w:ascii="Book Antiqua" w:hAnsi="Book Antiqua" w:cs="Arial"/>
          <w:i/>
          <w:sz w:val="24"/>
          <w:szCs w:val="24"/>
        </w:rPr>
      </w:pPr>
      <w:r w:rsidRPr="00083C6A">
        <w:rPr>
          <w:rFonts w:ascii="Book Antiqua" w:hAnsi="Book Antiqua" w:cs="Arial"/>
          <w:i/>
          <w:sz w:val="24"/>
          <w:szCs w:val="24"/>
        </w:rPr>
        <w:t>Introduction</w:t>
      </w:r>
    </w:p>
    <w:p w14:paraId="39225AA0" w14:textId="77777777" w:rsidR="00A47138" w:rsidRPr="00083C6A" w:rsidRDefault="00025343" w:rsidP="00083C6A">
      <w:pPr>
        <w:numPr>
          <w:ilvl w:val="0"/>
          <w:numId w:val="1"/>
        </w:numPr>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appellant </w:t>
      </w:r>
      <w:r w:rsidR="0049668E" w:rsidRPr="00083C6A">
        <w:rPr>
          <w:rFonts w:ascii="Book Antiqua" w:hAnsi="Book Antiqua" w:cs="Arial"/>
          <w:sz w:val="24"/>
          <w:szCs w:val="24"/>
        </w:rPr>
        <w:t xml:space="preserve">was </w:t>
      </w:r>
      <w:r w:rsidRPr="00083C6A">
        <w:rPr>
          <w:rFonts w:ascii="Book Antiqua" w:hAnsi="Book Antiqua" w:cs="Arial"/>
          <w:sz w:val="24"/>
          <w:szCs w:val="24"/>
        </w:rPr>
        <w:t xml:space="preserve">born </w:t>
      </w:r>
      <w:r w:rsidR="0049668E" w:rsidRPr="00083C6A">
        <w:rPr>
          <w:rFonts w:ascii="Book Antiqua" w:hAnsi="Book Antiqua" w:cs="Arial"/>
          <w:sz w:val="24"/>
          <w:szCs w:val="24"/>
        </w:rPr>
        <w:t xml:space="preserve">in this country </w:t>
      </w:r>
      <w:r w:rsidRPr="00083C6A">
        <w:rPr>
          <w:rFonts w:ascii="Book Antiqua" w:hAnsi="Book Antiqua" w:cs="Arial"/>
          <w:sz w:val="24"/>
          <w:szCs w:val="24"/>
        </w:rPr>
        <w:t>on 2</w:t>
      </w:r>
      <w:r w:rsidR="0049668E" w:rsidRPr="00083C6A">
        <w:rPr>
          <w:rFonts w:ascii="Book Antiqua" w:hAnsi="Book Antiqua" w:cs="Arial"/>
          <w:sz w:val="24"/>
          <w:szCs w:val="24"/>
        </w:rPr>
        <w:t>1 June 1983</w:t>
      </w:r>
      <w:r w:rsidRPr="00083C6A">
        <w:rPr>
          <w:rFonts w:ascii="Book Antiqua" w:hAnsi="Book Antiqua" w:cs="Arial"/>
          <w:sz w:val="24"/>
          <w:szCs w:val="24"/>
        </w:rPr>
        <w:t>.</w:t>
      </w:r>
      <w:r w:rsidR="0049668E" w:rsidRPr="00083C6A">
        <w:rPr>
          <w:rFonts w:ascii="Book Antiqua" w:hAnsi="Book Antiqua" w:cs="Arial"/>
          <w:sz w:val="24"/>
          <w:szCs w:val="24"/>
        </w:rPr>
        <w:t xml:space="preserve">  H</w:t>
      </w:r>
      <w:r w:rsidR="00C5765A" w:rsidRPr="00083C6A">
        <w:rPr>
          <w:rFonts w:ascii="Book Antiqua" w:hAnsi="Book Antiqua" w:cs="Arial"/>
          <w:sz w:val="24"/>
          <w:szCs w:val="24"/>
        </w:rPr>
        <w:t>e</w:t>
      </w:r>
      <w:r w:rsidR="0049668E" w:rsidRPr="00083C6A">
        <w:rPr>
          <w:rFonts w:ascii="Book Antiqua" w:hAnsi="Book Antiqua" w:cs="Arial"/>
          <w:sz w:val="24"/>
          <w:szCs w:val="24"/>
        </w:rPr>
        <w:t xml:space="preserve"> is now 35 years of age.  </w:t>
      </w:r>
      <w:r w:rsidRPr="00083C6A">
        <w:rPr>
          <w:rFonts w:ascii="Book Antiqua" w:hAnsi="Book Antiqua" w:cs="Arial"/>
          <w:sz w:val="24"/>
          <w:szCs w:val="24"/>
        </w:rPr>
        <w:t xml:space="preserve">  </w:t>
      </w:r>
      <w:r w:rsidR="00857554" w:rsidRPr="00083C6A">
        <w:rPr>
          <w:rFonts w:ascii="Book Antiqua" w:hAnsi="Book Antiqua" w:cs="Arial"/>
          <w:sz w:val="24"/>
          <w:szCs w:val="24"/>
        </w:rPr>
        <w:t xml:space="preserve">His </w:t>
      </w:r>
      <w:r w:rsidR="00857554" w:rsidRPr="00083C6A">
        <w:rPr>
          <w:rFonts w:ascii="Book Antiqua" w:hAnsi="Book Antiqua"/>
          <w:sz w:val="24"/>
          <w:szCs w:val="24"/>
        </w:rPr>
        <w:t xml:space="preserve">parents, who were Nigerian nationals, first came to the UK as students.  His father was given indefinite leave to remain here in October 1987 and became a British citizen in October 2004.  His mother died in 1999 and was lawfully in the UK.  The appellant </w:t>
      </w:r>
      <w:r w:rsidR="00857554" w:rsidRPr="00083C6A">
        <w:rPr>
          <w:rFonts w:ascii="Book Antiqua" w:hAnsi="Book Antiqua"/>
          <w:sz w:val="24"/>
          <w:szCs w:val="24"/>
        </w:rPr>
        <w:lastRenderedPageBreak/>
        <w:t xml:space="preserve">has two older brothers.  The elder was born in Nigeria and became naturalised in 2000.  The other was born in the UK and, by virtue of the legislation in force at that time, was a British citizen from birth.  By the time of the appellant’s birth, legislative changes meant that he didn’t acquire British nationality automatically as a result of being born here and he has not acquired it since.  He is a Nigerian national by reason of the original nationality of his parents.  He has lived all his life in the UK.  He has never been to Nigeria.  </w:t>
      </w:r>
    </w:p>
    <w:p w14:paraId="75FB7015" w14:textId="77777777" w:rsidR="00025343" w:rsidRPr="00083C6A" w:rsidRDefault="00D77386" w:rsidP="00083C6A">
      <w:pPr>
        <w:numPr>
          <w:ilvl w:val="0"/>
          <w:numId w:val="1"/>
        </w:numPr>
        <w:spacing w:before="160" w:after="0" w:line="240" w:lineRule="auto"/>
        <w:jc w:val="both"/>
        <w:rPr>
          <w:rFonts w:ascii="Book Antiqua" w:hAnsi="Book Antiqua" w:cs="Arial"/>
          <w:sz w:val="24"/>
          <w:szCs w:val="24"/>
        </w:rPr>
      </w:pPr>
      <w:r w:rsidRPr="00083C6A">
        <w:rPr>
          <w:rFonts w:ascii="Book Antiqua" w:hAnsi="Book Antiqua" w:cs="Arial"/>
          <w:sz w:val="24"/>
          <w:szCs w:val="24"/>
        </w:rPr>
        <w:t>On 25</w:t>
      </w:r>
      <w:r w:rsidR="00A66FEA" w:rsidRPr="00083C6A">
        <w:rPr>
          <w:rFonts w:ascii="Book Antiqua" w:hAnsi="Book Antiqua" w:cs="Arial"/>
          <w:sz w:val="24"/>
          <w:szCs w:val="24"/>
        </w:rPr>
        <w:t xml:space="preserve"> March 2014 </w:t>
      </w:r>
      <w:r w:rsidR="00025343" w:rsidRPr="00083C6A">
        <w:rPr>
          <w:rFonts w:ascii="Book Antiqua" w:hAnsi="Book Antiqua" w:cs="Arial"/>
          <w:sz w:val="24"/>
          <w:szCs w:val="24"/>
        </w:rPr>
        <w:t xml:space="preserve">a decision was made to make a deportation order against him pursuant to section 32(5) of the UK Borders Act 2007 following his conviction, in the Crown Court sitting at </w:t>
      </w:r>
      <w:r w:rsidR="001E29C3" w:rsidRPr="00083C6A">
        <w:rPr>
          <w:rFonts w:ascii="Book Antiqua" w:hAnsi="Book Antiqua" w:cs="Arial"/>
          <w:sz w:val="24"/>
          <w:szCs w:val="24"/>
        </w:rPr>
        <w:t>Aylesbury</w:t>
      </w:r>
      <w:r w:rsidR="00025343" w:rsidRPr="00083C6A">
        <w:rPr>
          <w:rFonts w:ascii="Book Antiqua" w:hAnsi="Book Antiqua" w:cs="Arial"/>
          <w:sz w:val="24"/>
          <w:szCs w:val="24"/>
        </w:rPr>
        <w:t xml:space="preserve">, </w:t>
      </w:r>
      <w:r w:rsidR="00B9282A" w:rsidRPr="00083C6A">
        <w:rPr>
          <w:rFonts w:ascii="Book Antiqua" w:hAnsi="Book Antiqua" w:cs="Arial"/>
          <w:sz w:val="24"/>
          <w:szCs w:val="24"/>
        </w:rPr>
        <w:t>of</w:t>
      </w:r>
      <w:r w:rsidR="00025343" w:rsidRPr="00083C6A">
        <w:rPr>
          <w:rFonts w:ascii="Book Antiqua" w:hAnsi="Book Antiqua" w:cs="Arial"/>
          <w:sz w:val="24"/>
          <w:szCs w:val="24"/>
        </w:rPr>
        <w:t xml:space="preserve"> </w:t>
      </w:r>
      <w:r w:rsidR="001E29C3" w:rsidRPr="00083C6A">
        <w:rPr>
          <w:rFonts w:ascii="Book Antiqua" w:hAnsi="Book Antiqua" w:cs="Arial"/>
          <w:sz w:val="24"/>
          <w:szCs w:val="24"/>
        </w:rPr>
        <w:t>four offences of supplying a controlled drug of Class A</w:t>
      </w:r>
      <w:r w:rsidR="00025343" w:rsidRPr="00083C6A">
        <w:rPr>
          <w:rFonts w:ascii="Book Antiqua" w:hAnsi="Book Antiqua" w:cs="Arial"/>
          <w:sz w:val="24"/>
          <w:szCs w:val="24"/>
        </w:rPr>
        <w:t xml:space="preserve">, </w:t>
      </w:r>
      <w:r w:rsidR="00A66FEA" w:rsidRPr="00083C6A">
        <w:rPr>
          <w:rFonts w:ascii="Book Antiqua" w:hAnsi="Book Antiqua" w:cs="Arial"/>
          <w:sz w:val="24"/>
          <w:szCs w:val="24"/>
        </w:rPr>
        <w:t xml:space="preserve">and one offence of possession of Class A drugs, </w:t>
      </w:r>
      <w:r w:rsidR="00025343" w:rsidRPr="00083C6A">
        <w:rPr>
          <w:rFonts w:ascii="Book Antiqua" w:hAnsi="Book Antiqua" w:cs="Arial"/>
          <w:sz w:val="24"/>
          <w:szCs w:val="24"/>
        </w:rPr>
        <w:t xml:space="preserve">committed </w:t>
      </w:r>
      <w:r w:rsidR="001E29C3" w:rsidRPr="00083C6A">
        <w:rPr>
          <w:rFonts w:ascii="Book Antiqua" w:hAnsi="Book Antiqua" w:cs="Arial"/>
          <w:sz w:val="24"/>
          <w:szCs w:val="24"/>
        </w:rPr>
        <w:t>between 23 October 201</w:t>
      </w:r>
      <w:r w:rsidR="00DD1934" w:rsidRPr="00083C6A">
        <w:rPr>
          <w:rFonts w:ascii="Book Antiqua" w:hAnsi="Book Antiqua" w:cs="Arial"/>
          <w:sz w:val="24"/>
          <w:szCs w:val="24"/>
        </w:rPr>
        <w:t>2</w:t>
      </w:r>
      <w:r w:rsidR="001E29C3" w:rsidRPr="00083C6A">
        <w:rPr>
          <w:rFonts w:ascii="Book Antiqua" w:hAnsi="Book Antiqua" w:cs="Arial"/>
          <w:sz w:val="24"/>
          <w:szCs w:val="24"/>
        </w:rPr>
        <w:t xml:space="preserve"> and 14 November 2012</w:t>
      </w:r>
      <w:r w:rsidR="00025343" w:rsidRPr="00083C6A">
        <w:rPr>
          <w:rFonts w:ascii="Book Antiqua" w:hAnsi="Book Antiqua" w:cs="Arial"/>
          <w:sz w:val="24"/>
          <w:szCs w:val="24"/>
        </w:rPr>
        <w:t xml:space="preserve">, for which he received a sentence of three </w:t>
      </w:r>
      <w:r w:rsidR="00A66FEA" w:rsidRPr="00083C6A">
        <w:rPr>
          <w:rFonts w:ascii="Book Antiqua" w:hAnsi="Book Antiqua" w:cs="Arial"/>
          <w:sz w:val="24"/>
          <w:szCs w:val="24"/>
        </w:rPr>
        <w:t xml:space="preserve">and a half </w:t>
      </w:r>
      <w:r w:rsidR="00025343" w:rsidRPr="00083C6A">
        <w:rPr>
          <w:rFonts w:ascii="Book Antiqua" w:hAnsi="Book Antiqua" w:cs="Arial"/>
          <w:sz w:val="24"/>
          <w:szCs w:val="24"/>
        </w:rPr>
        <w:t xml:space="preserve">years’ imprisonment on </w:t>
      </w:r>
      <w:r w:rsidR="00A66FEA" w:rsidRPr="00083C6A">
        <w:rPr>
          <w:rFonts w:ascii="Book Antiqua" w:hAnsi="Book Antiqua" w:cs="Arial"/>
          <w:sz w:val="24"/>
          <w:szCs w:val="24"/>
        </w:rPr>
        <w:t>31</w:t>
      </w:r>
      <w:r w:rsidR="00025343" w:rsidRPr="00083C6A">
        <w:rPr>
          <w:rFonts w:ascii="Book Antiqua" w:hAnsi="Book Antiqua" w:cs="Arial"/>
          <w:sz w:val="24"/>
          <w:szCs w:val="24"/>
        </w:rPr>
        <w:t xml:space="preserve"> January</w:t>
      </w:r>
      <w:r w:rsidR="00A66FEA" w:rsidRPr="00083C6A">
        <w:rPr>
          <w:rFonts w:ascii="Book Antiqua" w:hAnsi="Book Antiqua" w:cs="Arial"/>
          <w:sz w:val="24"/>
          <w:szCs w:val="24"/>
        </w:rPr>
        <w:t xml:space="preserve"> 2013</w:t>
      </w:r>
      <w:r w:rsidR="00A85952" w:rsidRPr="00083C6A">
        <w:rPr>
          <w:rFonts w:ascii="Book Antiqua" w:hAnsi="Book Antiqua" w:cs="Arial"/>
          <w:sz w:val="24"/>
          <w:szCs w:val="24"/>
        </w:rPr>
        <w:t>. He had previously been convicted on 5</w:t>
      </w:r>
      <w:r w:rsidR="00A85952" w:rsidRPr="00083C6A">
        <w:rPr>
          <w:rFonts w:ascii="Book Antiqua" w:hAnsi="Book Antiqua" w:cs="Arial"/>
          <w:sz w:val="24"/>
          <w:szCs w:val="24"/>
          <w:vertAlign w:val="superscript"/>
        </w:rPr>
        <w:t>th</w:t>
      </w:r>
      <w:r w:rsidR="00A85952" w:rsidRPr="00083C6A">
        <w:rPr>
          <w:rFonts w:ascii="Book Antiqua" w:hAnsi="Book Antiqua" w:cs="Arial"/>
          <w:sz w:val="24"/>
          <w:szCs w:val="24"/>
        </w:rPr>
        <w:t xml:space="preserve"> July 2007 of an offence of causing death by dangerous driving for which he was sentenced to 4 years’ </w:t>
      </w:r>
      <w:r w:rsidR="004475A3" w:rsidRPr="00083C6A">
        <w:rPr>
          <w:rFonts w:ascii="Book Antiqua" w:hAnsi="Book Antiqua" w:cs="Arial"/>
          <w:sz w:val="24"/>
          <w:szCs w:val="24"/>
        </w:rPr>
        <w:t>imprisonment</w:t>
      </w:r>
      <w:r w:rsidR="00A85952" w:rsidRPr="00083C6A">
        <w:rPr>
          <w:rFonts w:ascii="Book Antiqua" w:hAnsi="Book Antiqua" w:cs="Arial"/>
          <w:sz w:val="24"/>
          <w:szCs w:val="24"/>
        </w:rPr>
        <w:t>.</w:t>
      </w:r>
      <w:r w:rsidR="00025343" w:rsidRPr="00083C6A">
        <w:rPr>
          <w:rFonts w:ascii="Book Antiqua" w:hAnsi="Book Antiqua" w:cs="Arial"/>
          <w:sz w:val="24"/>
          <w:szCs w:val="24"/>
        </w:rPr>
        <w:t xml:space="preserve"> </w:t>
      </w:r>
    </w:p>
    <w:p w14:paraId="4A07CC2A" w14:textId="77777777" w:rsidR="00025343"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His appeal against the respondent’s decision </w:t>
      </w:r>
      <w:r w:rsidR="00DD1934" w:rsidRPr="00083C6A">
        <w:rPr>
          <w:rFonts w:ascii="Book Antiqua" w:hAnsi="Book Antiqua" w:cs="Arial"/>
          <w:sz w:val="24"/>
          <w:szCs w:val="24"/>
        </w:rPr>
        <w:t xml:space="preserve">was allowed by </w:t>
      </w:r>
      <w:r w:rsidRPr="00083C6A">
        <w:rPr>
          <w:rFonts w:ascii="Book Antiqua" w:hAnsi="Book Antiqua" w:cs="Arial"/>
          <w:sz w:val="24"/>
          <w:szCs w:val="24"/>
        </w:rPr>
        <w:t xml:space="preserve">First-tier Tribunal Judge </w:t>
      </w:r>
      <w:proofErr w:type="spellStart"/>
      <w:r w:rsidR="00DD1934" w:rsidRPr="00083C6A">
        <w:rPr>
          <w:rFonts w:ascii="Book Antiqua" w:hAnsi="Book Antiqua" w:cs="Arial"/>
          <w:sz w:val="24"/>
          <w:szCs w:val="24"/>
        </w:rPr>
        <w:t>Thanki</w:t>
      </w:r>
      <w:proofErr w:type="spellEnd"/>
      <w:r w:rsidR="00DD1934" w:rsidRPr="00083C6A">
        <w:rPr>
          <w:rFonts w:ascii="Book Antiqua" w:hAnsi="Book Antiqua" w:cs="Arial"/>
          <w:sz w:val="24"/>
          <w:szCs w:val="24"/>
        </w:rPr>
        <w:t xml:space="preserve"> </w:t>
      </w:r>
      <w:r w:rsidRPr="00083C6A">
        <w:rPr>
          <w:rFonts w:ascii="Book Antiqua" w:hAnsi="Book Antiqua" w:cs="Arial"/>
          <w:sz w:val="24"/>
          <w:szCs w:val="24"/>
        </w:rPr>
        <w:t xml:space="preserve">(“the </w:t>
      </w:r>
      <w:proofErr w:type="spellStart"/>
      <w:r w:rsidRPr="00083C6A">
        <w:rPr>
          <w:rFonts w:ascii="Book Antiqua" w:hAnsi="Book Antiqua" w:cs="Arial"/>
          <w:sz w:val="24"/>
          <w:szCs w:val="24"/>
        </w:rPr>
        <w:t>FtJ</w:t>
      </w:r>
      <w:proofErr w:type="spellEnd"/>
      <w:r w:rsidRPr="00083C6A">
        <w:rPr>
          <w:rFonts w:ascii="Book Antiqua" w:hAnsi="Book Antiqua" w:cs="Arial"/>
          <w:sz w:val="24"/>
          <w:szCs w:val="24"/>
        </w:rPr>
        <w:t xml:space="preserve">”) on </w:t>
      </w:r>
      <w:r w:rsidR="00DD1934" w:rsidRPr="00083C6A">
        <w:rPr>
          <w:rFonts w:ascii="Book Antiqua" w:hAnsi="Book Antiqua" w:cs="Arial"/>
          <w:sz w:val="24"/>
          <w:szCs w:val="24"/>
        </w:rPr>
        <w:t>29</w:t>
      </w:r>
      <w:r w:rsidRPr="00083C6A">
        <w:rPr>
          <w:rFonts w:ascii="Book Antiqua" w:hAnsi="Book Antiqua" w:cs="Arial"/>
          <w:sz w:val="24"/>
          <w:szCs w:val="24"/>
        </w:rPr>
        <w:t xml:space="preserve"> August 2014.</w:t>
      </w:r>
      <w:r w:rsidR="001C1016" w:rsidRPr="00083C6A">
        <w:rPr>
          <w:rFonts w:ascii="Book Antiqua" w:hAnsi="Book Antiqua" w:cs="Arial"/>
          <w:sz w:val="24"/>
          <w:szCs w:val="24"/>
        </w:rPr>
        <w:t xml:space="preserve"> </w:t>
      </w:r>
      <w:r w:rsidRPr="00083C6A">
        <w:rPr>
          <w:rFonts w:ascii="Book Antiqua" w:hAnsi="Book Antiqua" w:cs="Arial"/>
          <w:sz w:val="24"/>
          <w:szCs w:val="24"/>
        </w:rPr>
        <w:t xml:space="preserve"> The respondent appealed against the decision of the </w:t>
      </w:r>
      <w:proofErr w:type="spellStart"/>
      <w:r w:rsidRPr="00083C6A">
        <w:rPr>
          <w:rFonts w:ascii="Book Antiqua" w:hAnsi="Book Antiqua" w:cs="Arial"/>
          <w:sz w:val="24"/>
          <w:szCs w:val="24"/>
        </w:rPr>
        <w:t>FtJ</w:t>
      </w:r>
      <w:proofErr w:type="spellEnd"/>
      <w:r w:rsidRPr="00083C6A">
        <w:rPr>
          <w:rFonts w:ascii="Book Antiqua" w:hAnsi="Book Antiqua" w:cs="Arial"/>
          <w:sz w:val="24"/>
          <w:szCs w:val="24"/>
        </w:rPr>
        <w:t xml:space="preserve"> </w:t>
      </w:r>
      <w:r w:rsidR="00773C3B" w:rsidRPr="00083C6A">
        <w:rPr>
          <w:rFonts w:ascii="Book Antiqua" w:hAnsi="Book Antiqua" w:cs="Arial"/>
          <w:sz w:val="24"/>
          <w:szCs w:val="24"/>
        </w:rPr>
        <w:t>and</w:t>
      </w:r>
      <w:r w:rsidRPr="00083C6A">
        <w:rPr>
          <w:rFonts w:ascii="Book Antiqua" w:hAnsi="Book Antiqua" w:cs="Arial"/>
          <w:sz w:val="24"/>
          <w:szCs w:val="24"/>
        </w:rPr>
        <w:t xml:space="preserve"> the Upper Tribunal (“UT”)</w:t>
      </w:r>
      <w:r w:rsidR="00773C3B" w:rsidRPr="00083C6A">
        <w:rPr>
          <w:rFonts w:ascii="Book Antiqua" w:hAnsi="Book Antiqua" w:cs="Arial"/>
          <w:sz w:val="24"/>
          <w:szCs w:val="24"/>
        </w:rPr>
        <w:t xml:space="preserve"> upheld the respondent’s decision to make a deportation order</w:t>
      </w:r>
      <w:r w:rsidRPr="00083C6A">
        <w:rPr>
          <w:rFonts w:ascii="Book Antiqua" w:hAnsi="Book Antiqua" w:cs="Arial"/>
          <w:sz w:val="24"/>
          <w:szCs w:val="24"/>
        </w:rPr>
        <w:t xml:space="preserve"> after a hearing before Upper Tribunal Judge </w:t>
      </w:r>
      <w:proofErr w:type="spellStart"/>
      <w:r w:rsidR="0097632A" w:rsidRPr="00083C6A">
        <w:rPr>
          <w:rFonts w:ascii="Book Antiqua" w:hAnsi="Book Antiqua" w:cs="Arial"/>
          <w:sz w:val="24"/>
          <w:szCs w:val="24"/>
        </w:rPr>
        <w:t>Kekić</w:t>
      </w:r>
      <w:proofErr w:type="spellEnd"/>
      <w:r w:rsidRPr="00083C6A">
        <w:rPr>
          <w:rFonts w:ascii="Book Antiqua" w:hAnsi="Book Antiqua" w:cs="Arial"/>
          <w:sz w:val="24"/>
          <w:szCs w:val="24"/>
        </w:rPr>
        <w:t xml:space="preserve"> on 1</w:t>
      </w:r>
      <w:r w:rsidR="00773C3B" w:rsidRPr="00083C6A">
        <w:rPr>
          <w:rFonts w:ascii="Book Antiqua" w:hAnsi="Book Antiqua" w:cs="Arial"/>
          <w:sz w:val="24"/>
          <w:szCs w:val="24"/>
        </w:rPr>
        <w:t>9 January</w:t>
      </w:r>
      <w:r w:rsidRPr="00083C6A">
        <w:rPr>
          <w:rFonts w:ascii="Book Antiqua" w:hAnsi="Book Antiqua" w:cs="Arial"/>
          <w:sz w:val="24"/>
          <w:szCs w:val="24"/>
        </w:rPr>
        <w:t xml:space="preserve"> 201</w:t>
      </w:r>
      <w:r w:rsidR="00773C3B" w:rsidRPr="00083C6A">
        <w:rPr>
          <w:rFonts w:ascii="Book Antiqua" w:hAnsi="Book Antiqua" w:cs="Arial"/>
          <w:sz w:val="24"/>
          <w:szCs w:val="24"/>
        </w:rPr>
        <w:t>5</w:t>
      </w:r>
      <w:r w:rsidRPr="00083C6A">
        <w:rPr>
          <w:rFonts w:ascii="Book Antiqua" w:hAnsi="Book Antiqua" w:cs="Arial"/>
          <w:sz w:val="24"/>
          <w:szCs w:val="24"/>
        </w:rPr>
        <w:t>.</w:t>
      </w:r>
    </w:p>
    <w:p w14:paraId="28304EE3" w14:textId="77777777" w:rsidR="00025343"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w:t>
      </w:r>
      <w:r w:rsidR="00CA51A8" w:rsidRPr="00083C6A">
        <w:rPr>
          <w:rFonts w:ascii="Book Antiqua" w:hAnsi="Book Antiqua" w:cs="Arial"/>
          <w:sz w:val="24"/>
          <w:szCs w:val="24"/>
        </w:rPr>
        <w:t>appellant</w:t>
      </w:r>
      <w:r w:rsidR="00DD1934" w:rsidRPr="00083C6A">
        <w:rPr>
          <w:rFonts w:ascii="Book Antiqua" w:hAnsi="Book Antiqua" w:cs="Arial"/>
          <w:sz w:val="24"/>
          <w:szCs w:val="24"/>
        </w:rPr>
        <w:t>’s</w:t>
      </w:r>
      <w:r w:rsidRPr="00083C6A">
        <w:rPr>
          <w:rFonts w:ascii="Book Antiqua" w:hAnsi="Book Antiqua" w:cs="Arial"/>
          <w:sz w:val="24"/>
          <w:szCs w:val="24"/>
        </w:rPr>
        <w:t xml:space="preserve"> appeal to the Court of Appeal against the UT’s decision</w:t>
      </w:r>
      <w:r w:rsidR="00DD1934" w:rsidRPr="00083C6A">
        <w:rPr>
          <w:rFonts w:ascii="Book Antiqua" w:hAnsi="Book Antiqua" w:cs="Arial"/>
          <w:sz w:val="24"/>
          <w:szCs w:val="24"/>
        </w:rPr>
        <w:t xml:space="preserve"> was allowed on </w:t>
      </w:r>
      <w:r w:rsidR="003207F5" w:rsidRPr="00083C6A">
        <w:rPr>
          <w:rFonts w:ascii="Book Antiqua" w:hAnsi="Book Antiqua" w:cs="Arial"/>
          <w:sz w:val="24"/>
          <w:szCs w:val="24"/>
        </w:rPr>
        <w:t>4 April 2017</w:t>
      </w:r>
      <w:r w:rsidR="00DD1934" w:rsidRPr="00083C6A">
        <w:rPr>
          <w:rFonts w:ascii="Book Antiqua" w:hAnsi="Book Antiqua" w:cs="Arial"/>
          <w:sz w:val="24"/>
          <w:szCs w:val="24"/>
        </w:rPr>
        <w:t xml:space="preserve"> </w:t>
      </w:r>
      <w:r w:rsidR="00E954BC" w:rsidRPr="00083C6A">
        <w:rPr>
          <w:rFonts w:ascii="Book Antiqua" w:hAnsi="Book Antiqua" w:cs="Arial"/>
          <w:sz w:val="24"/>
          <w:szCs w:val="24"/>
        </w:rPr>
        <w:t xml:space="preserve">(Neutral Citation Number [2017] EWCA </w:t>
      </w:r>
      <w:proofErr w:type="spellStart"/>
      <w:r w:rsidR="00E954BC" w:rsidRPr="00083C6A">
        <w:rPr>
          <w:rFonts w:ascii="Book Antiqua" w:hAnsi="Book Antiqua" w:cs="Arial"/>
          <w:sz w:val="24"/>
          <w:szCs w:val="24"/>
        </w:rPr>
        <w:t>Civ</w:t>
      </w:r>
      <w:proofErr w:type="spellEnd"/>
      <w:r w:rsidR="00E954BC" w:rsidRPr="00083C6A">
        <w:rPr>
          <w:rFonts w:ascii="Book Antiqua" w:hAnsi="Book Antiqua" w:cs="Arial"/>
          <w:sz w:val="24"/>
          <w:szCs w:val="24"/>
        </w:rPr>
        <w:t xml:space="preserve"> 236) </w:t>
      </w:r>
      <w:r w:rsidR="00DD1934" w:rsidRPr="00083C6A">
        <w:rPr>
          <w:rFonts w:ascii="Book Antiqua" w:hAnsi="Book Antiqua" w:cs="Arial"/>
          <w:sz w:val="24"/>
          <w:szCs w:val="24"/>
        </w:rPr>
        <w:t xml:space="preserve">and it was ordered that </w:t>
      </w:r>
      <w:r w:rsidRPr="00083C6A">
        <w:rPr>
          <w:rFonts w:ascii="Book Antiqua" w:hAnsi="Book Antiqua" w:cs="Arial"/>
          <w:sz w:val="24"/>
          <w:szCs w:val="24"/>
        </w:rPr>
        <w:t xml:space="preserve">the “the case be remitted to the Upper Tribunal </w:t>
      </w:r>
      <w:r w:rsidR="00F3670D" w:rsidRPr="00083C6A">
        <w:rPr>
          <w:rFonts w:ascii="Book Antiqua" w:hAnsi="Book Antiqua" w:cs="Arial"/>
          <w:sz w:val="24"/>
          <w:szCs w:val="24"/>
        </w:rPr>
        <w:t>for a re-hearing before a differently constituted tribunal which should he</w:t>
      </w:r>
      <w:r w:rsidR="00B9282A" w:rsidRPr="00083C6A">
        <w:rPr>
          <w:rFonts w:ascii="Book Antiqua" w:hAnsi="Book Antiqua" w:cs="Arial"/>
          <w:sz w:val="24"/>
          <w:szCs w:val="24"/>
        </w:rPr>
        <w:t>a</w:t>
      </w:r>
      <w:r w:rsidR="00F3670D" w:rsidRPr="00083C6A">
        <w:rPr>
          <w:rFonts w:ascii="Book Antiqua" w:hAnsi="Book Antiqua" w:cs="Arial"/>
          <w:sz w:val="24"/>
          <w:szCs w:val="24"/>
        </w:rPr>
        <w:t xml:space="preserve">r the case </w:t>
      </w:r>
      <w:r w:rsidR="00F3670D" w:rsidRPr="00083C6A">
        <w:rPr>
          <w:rFonts w:ascii="Book Antiqua" w:hAnsi="Book Antiqua" w:cs="Arial"/>
          <w:i/>
          <w:sz w:val="24"/>
          <w:szCs w:val="24"/>
        </w:rPr>
        <w:t>de novo</w:t>
      </w:r>
      <w:r w:rsidR="001C1016" w:rsidRPr="00083C6A">
        <w:rPr>
          <w:rFonts w:ascii="Book Antiqua" w:hAnsi="Book Antiqua" w:cs="Arial"/>
          <w:i/>
          <w:sz w:val="24"/>
          <w:szCs w:val="24"/>
        </w:rPr>
        <w:t>”</w:t>
      </w:r>
      <w:r w:rsidR="00F3670D" w:rsidRPr="00083C6A">
        <w:rPr>
          <w:rFonts w:ascii="Book Antiqua" w:hAnsi="Book Antiqua" w:cs="Arial"/>
          <w:i/>
          <w:sz w:val="24"/>
          <w:szCs w:val="24"/>
        </w:rPr>
        <w:t>.</w:t>
      </w:r>
      <w:r w:rsidR="00173EEC" w:rsidRPr="00083C6A">
        <w:rPr>
          <w:rFonts w:ascii="Book Antiqua" w:hAnsi="Book Antiqua" w:cs="Arial"/>
          <w:sz w:val="24"/>
          <w:szCs w:val="24"/>
        </w:rPr>
        <w:t xml:space="preserve">  We </w:t>
      </w:r>
      <w:r w:rsidR="001C1016" w:rsidRPr="00083C6A">
        <w:rPr>
          <w:rFonts w:ascii="Book Antiqua" w:hAnsi="Book Antiqua" w:cs="Arial"/>
          <w:sz w:val="24"/>
          <w:szCs w:val="24"/>
        </w:rPr>
        <w:t xml:space="preserve">have </w:t>
      </w:r>
      <w:r w:rsidR="00173EEC" w:rsidRPr="00083C6A">
        <w:rPr>
          <w:rFonts w:ascii="Book Antiqua" w:hAnsi="Book Antiqua" w:cs="Arial"/>
          <w:sz w:val="24"/>
          <w:szCs w:val="24"/>
        </w:rPr>
        <w:t>heard the case in accordance with that direction on 10</w:t>
      </w:r>
      <w:r w:rsidR="00173EEC" w:rsidRPr="00083C6A">
        <w:rPr>
          <w:rFonts w:ascii="Book Antiqua" w:hAnsi="Book Antiqua" w:cs="Arial"/>
          <w:sz w:val="24"/>
          <w:szCs w:val="24"/>
          <w:vertAlign w:val="superscript"/>
        </w:rPr>
        <w:t>th</w:t>
      </w:r>
      <w:r w:rsidR="00173EEC" w:rsidRPr="00083C6A">
        <w:rPr>
          <w:rFonts w:ascii="Book Antiqua" w:hAnsi="Book Antiqua" w:cs="Arial"/>
          <w:sz w:val="24"/>
          <w:szCs w:val="24"/>
        </w:rPr>
        <w:t xml:space="preserve"> July 2018.</w:t>
      </w:r>
    </w:p>
    <w:p w14:paraId="604F15F5" w14:textId="26917051" w:rsidR="001C1016" w:rsidRPr="00083C6A" w:rsidRDefault="00F3670D"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We have </w:t>
      </w:r>
      <w:r w:rsidR="001C1016" w:rsidRPr="00083C6A">
        <w:rPr>
          <w:rFonts w:ascii="Book Antiqua" w:hAnsi="Book Antiqua" w:cs="Arial"/>
          <w:sz w:val="24"/>
          <w:szCs w:val="24"/>
        </w:rPr>
        <w:t xml:space="preserve">received </w:t>
      </w:r>
      <w:r w:rsidR="00173EEC" w:rsidRPr="00083C6A">
        <w:rPr>
          <w:rFonts w:ascii="Book Antiqua" w:hAnsi="Book Antiqua" w:cs="Arial"/>
          <w:sz w:val="24"/>
          <w:szCs w:val="24"/>
        </w:rPr>
        <w:t xml:space="preserve">oral </w:t>
      </w:r>
      <w:r w:rsidRPr="00083C6A">
        <w:rPr>
          <w:rFonts w:ascii="Book Antiqua" w:hAnsi="Book Antiqua" w:cs="Arial"/>
          <w:sz w:val="24"/>
          <w:szCs w:val="24"/>
        </w:rPr>
        <w:t xml:space="preserve">evidence from the appellant, </w:t>
      </w:r>
      <w:r w:rsidR="00173EEC" w:rsidRPr="00083C6A">
        <w:rPr>
          <w:rFonts w:ascii="Book Antiqua" w:hAnsi="Book Antiqua" w:cs="Arial"/>
          <w:sz w:val="24"/>
          <w:szCs w:val="24"/>
        </w:rPr>
        <w:t xml:space="preserve">his partner, </w:t>
      </w:r>
      <w:r w:rsidR="00B0354C" w:rsidRPr="00083C6A">
        <w:rPr>
          <w:rFonts w:ascii="Book Antiqua" w:hAnsi="Book Antiqua" w:cs="Arial"/>
          <w:sz w:val="24"/>
          <w:szCs w:val="24"/>
        </w:rPr>
        <w:t>[RL]</w:t>
      </w:r>
      <w:r w:rsidR="00173EEC" w:rsidRPr="00083C6A">
        <w:rPr>
          <w:rFonts w:ascii="Book Antiqua" w:hAnsi="Book Antiqua" w:cs="Arial"/>
          <w:sz w:val="24"/>
          <w:szCs w:val="24"/>
        </w:rPr>
        <w:t xml:space="preserve"> and his father, </w:t>
      </w:r>
      <w:r w:rsidR="00B0354C" w:rsidRPr="00083C6A">
        <w:rPr>
          <w:rFonts w:ascii="Book Antiqua" w:hAnsi="Book Antiqua" w:cs="Arial"/>
          <w:sz w:val="24"/>
          <w:szCs w:val="24"/>
        </w:rPr>
        <w:t>[</w:t>
      </w:r>
      <w:r w:rsidR="00173EEC" w:rsidRPr="00083C6A">
        <w:rPr>
          <w:rFonts w:ascii="Book Antiqua" w:hAnsi="Book Antiqua" w:cs="Arial"/>
          <w:sz w:val="24"/>
          <w:szCs w:val="24"/>
        </w:rPr>
        <w:t>LA</w:t>
      </w:r>
      <w:r w:rsidR="00B0354C" w:rsidRPr="00083C6A">
        <w:rPr>
          <w:rFonts w:ascii="Book Antiqua" w:hAnsi="Book Antiqua" w:cs="Arial"/>
          <w:sz w:val="24"/>
          <w:szCs w:val="24"/>
        </w:rPr>
        <w:t>]</w:t>
      </w:r>
      <w:r w:rsidR="001C1016" w:rsidRPr="00083C6A">
        <w:rPr>
          <w:rFonts w:ascii="Book Antiqua" w:hAnsi="Book Antiqua" w:cs="Arial"/>
          <w:sz w:val="24"/>
          <w:szCs w:val="24"/>
        </w:rPr>
        <w:t xml:space="preserve">, each supplementing their respective written statements </w:t>
      </w:r>
      <w:r w:rsidR="00173EEC" w:rsidRPr="00083C6A">
        <w:rPr>
          <w:rFonts w:ascii="Book Antiqua" w:hAnsi="Book Antiqua" w:cs="Arial"/>
          <w:sz w:val="24"/>
          <w:szCs w:val="24"/>
        </w:rPr>
        <w:t xml:space="preserve">and </w:t>
      </w:r>
      <w:r w:rsidR="001C1016" w:rsidRPr="00083C6A">
        <w:rPr>
          <w:rFonts w:ascii="Book Antiqua" w:hAnsi="Book Antiqua" w:cs="Arial"/>
          <w:sz w:val="24"/>
          <w:szCs w:val="24"/>
        </w:rPr>
        <w:t xml:space="preserve">the statement of the appellant’s brother, </w:t>
      </w:r>
      <w:r w:rsidR="00B0354C" w:rsidRPr="00083C6A">
        <w:rPr>
          <w:rFonts w:ascii="Book Antiqua" w:hAnsi="Book Antiqua" w:cs="Arial"/>
          <w:sz w:val="24"/>
          <w:szCs w:val="24"/>
        </w:rPr>
        <w:t>[</w:t>
      </w:r>
      <w:r w:rsidR="001C1016" w:rsidRPr="00083C6A">
        <w:rPr>
          <w:rFonts w:ascii="Book Antiqua" w:hAnsi="Book Antiqua" w:cs="Arial"/>
          <w:sz w:val="24"/>
          <w:szCs w:val="24"/>
        </w:rPr>
        <w:t>FA</w:t>
      </w:r>
      <w:r w:rsidR="00B0354C" w:rsidRPr="00083C6A">
        <w:rPr>
          <w:rFonts w:ascii="Book Antiqua" w:hAnsi="Book Antiqua" w:cs="Arial"/>
          <w:sz w:val="24"/>
          <w:szCs w:val="24"/>
        </w:rPr>
        <w:t>]</w:t>
      </w:r>
      <w:r w:rsidR="001F7DFF" w:rsidRPr="00083C6A">
        <w:rPr>
          <w:rFonts w:ascii="Book Antiqua" w:hAnsi="Book Antiqua" w:cs="Arial"/>
          <w:sz w:val="24"/>
          <w:szCs w:val="24"/>
        </w:rPr>
        <w:t xml:space="preserve">, and his cousin </w:t>
      </w:r>
      <w:r w:rsidR="00B10A64" w:rsidRPr="00083C6A">
        <w:rPr>
          <w:rFonts w:ascii="Book Antiqua" w:hAnsi="Book Antiqua" w:cs="Arial"/>
          <w:sz w:val="24"/>
          <w:szCs w:val="24"/>
        </w:rPr>
        <w:t>[</w:t>
      </w:r>
      <w:r w:rsidR="001F7DFF" w:rsidRPr="00083C6A">
        <w:rPr>
          <w:rFonts w:ascii="Book Antiqua" w:hAnsi="Book Antiqua" w:cs="Arial"/>
          <w:sz w:val="24"/>
          <w:szCs w:val="24"/>
        </w:rPr>
        <w:t>AF</w:t>
      </w:r>
      <w:r w:rsidR="00B10A64" w:rsidRPr="00083C6A">
        <w:rPr>
          <w:rFonts w:ascii="Book Antiqua" w:hAnsi="Book Antiqua" w:cs="Arial"/>
          <w:sz w:val="24"/>
          <w:szCs w:val="24"/>
        </w:rPr>
        <w:t>]</w:t>
      </w:r>
      <w:r w:rsidR="001F7DFF" w:rsidRPr="00083C6A">
        <w:rPr>
          <w:rFonts w:ascii="Book Antiqua" w:hAnsi="Book Antiqua" w:cs="Arial"/>
          <w:sz w:val="24"/>
          <w:szCs w:val="24"/>
        </w:rPr>
        <w:t xml:space="preserve">.  In addition, there is an Independent Psychological Risk Assessment Report by Lisa Davies dated 02.01.18.   We have also been provided with letters from Gary Kendall, Andrew Richards and Dave </w:t>
      </w:r>
      <w:proofErr w:type="spellStart"/>
      <w:r w:rsidR="001F7DFF" w:rsidRPr="00083C6A">
        <w:rPr>
          <w:rFonts w:ascii="Book Antiqua" w:hAnsi="Book Antiqua" w:cs="Arial"/>
          <w:sz w:val="24"/>
          <w:szCs w:val="24"/>
        </w:rPr>
        <w:t>Eyeington</w:t>
      </w:r>
      <w:proofErr w:type="spellEnd"/>
      <w:r w:rsidR="001F7DFF" w:rsidRPr="00083C6A">
        <w:rPr>
          <w:rFonts w:ascii="Book Antiqua" w:hAnsi="Book Antiqua" w:cs="Arial"/>
          <w:sz w:val="24"/>
          <w:szCs w:val="24"/>
        </w:rPr>
        <w:t xml:space="preserve"> of New Life Church, an OASys assessment, a CARATs Care Plan, certificates of courses completed by the appellant, and letters from the </w:t>
      </w:r>
      <w:r w:rsidR="00717B90" w:rsidRPr="00083C6A">
        <w:rPr>
          <w:rFonts w:ascii="Book Antiqua" w:hAnsi="Book Antiqua" w:cs="Arial"/>
          <w:sz w:val="24"/>
          <w:szCs w:val="24"/>
        </w:rPr>
        <w:t>Learning</w:t>
      </w:r>
      <w:r w:rsidR="001F7DFF" w:rsidRPr="00083C6A">
        <w:rPr>
          <w:rFonts w:ascii="Book Antiqua" w:hAnsi="Book Antiqua" w:cs="Arial"/>
          <w:sz w:val="24"/>
          <w:szCs w:val="24"/>
        </w:rPr>
        <w:t xml:space="preserve"> and Skills Administrator, HMP </w:t>
      </w:r>
      <w:proofErr w:type="spellStart"/>
      <w:r w:rsidR="001F7DFF" w:rsidRPr="00083C6A">
        <w:rPr>
          <w:rFonts w:ascii="Book Antiqua" w:hAnsi="Book Antiqua" w:cs="Arial"/>
          <w:sz w:val="24"/>
          <w:szCs w:val="24"/>
        </w:rPr>
        <w:t>Huntercombe</w:t>
      </w:r>
      <w:proofErr w:type="spellEnd"/>
      <w:r w:rsidR="001F7DFF" w:rsidRPr="00083C6A">
        <w:rPr>
          <w:rFonts w:ascii="Book Antiqua" w:hAnsi="Book Antiqua" w:cs="Arial"/>
          <w:sz w:val="24"/>
          <w:szCs w:val="24"/>
        </w:rPr>
        <w:t xml:space="preserve"> and from Tony Spackman, a Mental Health Advocate.  </w:t>
      </w:r>
      <w:r w:rsidR="009F52CC" w:rsidRPr="00083C6A">
        <w:rPr>
          <w:rFonts w:ascii="Book Antiqua" w:hAnsi="Book Antiqua" w:cs="Arial"/>
          <w:sz w:val="24"/>
          <w:szCs w:val="24"/>
        </w:rPr>
        <w:t xml:space="preserve">We have </w:t>
      </w:r>
      <w:r w:rsidR="00717B90" w:rsidRPr="00083C6A">
        <w:rPr>
          <w:rFonts w:ascii="Book Antiqua" w:hAnsi="Book Antiqua" w:cs="Arial"/>
          <w:sz w:val="24"/>
          <w:szCs w:val="24"/>
        </w:rPr>
        <w:t>also</w:t>
      </w:r>
      <w:r w:rsidR="009F52CC" w:rsidRPr="00083C6A">
        <w:rPr>
          <w:rFonts w:ascii="Book Antiqua" w:hAnsi="Book Antiqua" w:cs="Arial"/>
          <w:sz w:val="24"/>
          <w:szCs w:val="24"/>
        </w:rPr>
        <w:t xml:space="preserve"> been provided with documents in the form a letter from </w:t>
      </w:r>
      <w:r w:rsidR="00717B90" w:rsidRPr="00083C6A">
        <w:rPr>
          <w:rFonts w:ascii="Book Antiqua" w:hAnsi="Book Antiqua" w:cs="Arial"/>
          <w:sz w:val="24"/>
          <w:szCs w:val="24"/>
        </w:rPr>
        <w:t>Specialist</w:t>
      </w:r>
      <w:r w:rsidR="009F52CC" w:rsidRPr="00083C6A">
        <w:rPr>
          <w:rFonts w:ascii="Book Antiqua" w:hAnsi="Book Antiqua" w:cs="Arial"/>
          <w:sz w:val="24"/>
          <w:szCs w:val="24"/>
        </w:rPr>
        <w:t xml:space="preserve"> Epilepsy nurse Alison Taylor, his patient record and a letter relating to his counselling session appointments. </w:t>
      </w:r>
      <w:r w:rsidR="00FF7240" w:rsidRPr="00083C6A">
        <w:rPr>
          <w:rFonts w:ascii="Book Antiqua" w:hAnsi="Book Antiqua" w:cs="Arial"/>
          <w:sz w:val="24"/>
          <w:szCs w:val="24"/>
        </w:rPr>
        <w:t xml:space="preserve"> We have also received the Progress Report of his probation Officer, Claire </w:t>
      </w:r>
      <w:proofErr w:type="spellStart"/>
      <w:r w:rsidR="00FF7240" w:rsidRPr="00083C6A">
        <w:rPr>
          <w:rFonts w:ascii="Book Antiqua" w:hAnsi="Book Antiqua" w:cs="Arial"/>
          <w:sz w:val="24"/>
          <w:szCs w:val="24"/>
        </w:rPr>
        <w:t>Easthope</w:t>
      </w:r>
      <w:proofErr w:type="spellEnd"/>
      <w:r w:rsidR="00FF7240" w:rsidRPr="00083C6A">
        <w:rPr>
          <w:rFonts w:ascii="Book Antiqua" w:hAnsi="Book Antiqua" w:cs="Arial"/>
          <w:sz w:val="24"/>
          <w:szCs w:val="24"/>
        </w:rPr>
        <w:t xml:space="preserve"> dated 29</w:t>
      </w:r>
      <w:r w:rsidR="00FF7240" w:rsidRPr="00083C6A">
        <w:rPr>
          <w:rFonts w:ascii="Book Antiqua" w:hAnsi="Book Antiqua" w:cs="Arial"/>
          <w:sz w:val="24"/>
          <w:szCs w:val="24"/>
          <w:vertAlign w:val="superscript"/>
        </w:rPr>
        <w:t>th</w:t>
      </w:r>
      <w:r w:rsidR="00FF7240" w:rsidRPr="00083C6A">
        <w:rPr>
          <w:rFonts w:ascii="Book Antiqua" w:hAnsi="Book Antiqua" w:cs="Arial"/>
          <w:sz w:val="24"/>
          <w:szCs w:val="24"/>
        </w:rPr>
        <w:t xml:space="preserve"> June 2018.  </w:t>
      </w:r>
    </w:p>
    <w:p w14:paraId="550A3A62" w14:textId="77777777" w:rsidR="00E74270" w:rsidRPr="00083C6A" w:rsidRDefault="001C1016"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We have been greatly assisted by </w:t>
      </w:r>
      <w:r w:rsidR="006120EA" w:rsidRPr="00083C6A">
        <w:rPr>
          <w:rFonts w:ascii="Book Antiqua" w:hAnsi="Book Antiqua" w:cs="Arial"/>
          <w:sz w:val="24"/>
          <w:szCs w:val="24"/>
        </w:rPr>
        <w:t xml:space="preserve">the presentation of the respective cases of the parties and their written and oral submissions.  </w:t>
      </w:r>
      <w:r w:rsidR="001669E0" w:rsidRPr="00083C6A">
        <w:rPr>
          <w:rFonts w:ascii="Book Antiqua" w:hAnsi="Book Antiqua" w:cs="Arial"/>
          <w:sz w:val="24"/>
          <w:szCs w:val="24"/>
        </w:rPr>
        <w:t xml:space="preserve">They have helpfully </w:t>
      </w:r>
      <w:r w:rsidR="006120EA" w:rsidRPr="00083C6A">
        <w:rPr>
          <w:rFonts w:ascii="Book Antiqua" w:hAnsi="Book Antiqua" w:cs="Arial"/>
          <w:sz w:val="24"/>
          <w:szCs w:val="24"/>
        </w:rPr>
        <w:t xml:space="preserve">provided a list of matters </w:t>
      </w:r>
      <w:r w:rsidR="00E74270" w:rsidRPr="00083C6A">
        <w:rPr>
          <w:rFonts w:ascii="Book Antiqua" w:hAnsi="Book Antiqua" w:cs="Arial"/>
          <w:sz w:val="24"/>
          <w:szCs w:val="24"/>
        </w:rPr>
        <w:t>that are not in issue, which, in addition to those matters summarised in the opening paragraph of this judgment, include the following: -</w:t>
      </w:r>
    </w:p>
    <w:p w14:paraId="046EAE67" w14:textId="77777777" w:rsidR="00C01F00" w:rsidRPr="00083C6A" w:rsidRDefault="00E74270"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 xml:space="preserve">The appellant </w:t>
      </w:r>
      <w:r w:rsidR="00C01F00" w:rsidRPr="00083C6A">
        <w:rPr>
          <w:rFonts w:ascii="Book Antiqua" w:hAnsi="Book Antiqua" w:cs="Arial"/>
          <w:sz w:val="24"/>
          <w:szCs w:val="24"/>
        </w:rPr>
        <w:t>has never le</w:t>
      </w:r>
      <w:r w:rsidR="006A392D" w:rsidRPr="00083C6A">
        <w:rPr>
          <w:rFonts w:ascii="Book Antiqua" w:hAnsi="Book Antiqua" w:cs="Arial"/>
          <w:sz w:val="24"/>
          <w:szCs w:val="24"/>
        </w:rPr>
        <w:t>f</w:t>
      </w:r>
      <w:r w:rsidR="00C01F00" w:rsidRPr="00083C6A">
        <w:rPr>
          <w:rFonts w:ascii="Book Antiqua" w:hAnsi="Book Antiqua" w:cs="Arial"/>
          <w:sz w:val="24"/>
          <w:szCs w:val="24"/>
        </w:rPr>
        <w:t>t the UK.</w:t>
      </w:r>
    </w:p>
    <w:p w14:paraId="25254F01" w14:textId="77777777" w:rsidR="00025343" w:rsidRPr="00083C6A" w:rsidRDefault="00C01F00"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 xml:space="preserve">He </w:t>
      </w:r>
      <w:r w:rsidR="00E74270" w:rsidRPr="00083C6A">
        <w:rPr>
          <w:rFonts w:ascii="Book Antiqua" w:hAnsi="Book Antiqua" w:cs="Arial"/>
          <w:sz w:val="24"/>
          <w:szCs w:val="24"/>
        </w:rPr>
        <w:t>does not have any children of his own.</w:t>
      </w:r>
    </w:p>
    <w:p w14:paraId="2354ABF0" w14:textId="71CB06C8" w:rsidR="00E74270" w:rsidRPr="00083C6A" w:rsidRDefault="001669E0"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lastRenderedPageBreak/>
        <w:t>He</w:t>
      </w:r>
      <w:r w:rsidR="00E74270" w:rsidRPr="00083C6A">
        <w:rPr>
          <w:rFonts w:ascii="Book Antiqua" w:hAnsi="Book Antiqua" w:cs="Arial"/>
          <w:sz w:val="24"/>
          <w:szCs w:val="24"/>
        </w:rPr>
        <w:t xml:space="preserve"> is currently in a relationship with </w:t>
      </w:r>
      <w:r w:rsidR="00B0354C" w:rsidRPr="00083C6A">
        <w:rPr>
          <w:rFonts w:ascii="Book Antiqua" w:hAnsi="Book Antiqua" w:cs="Arial"/>
          <w:sz w:val="24"/>
          <w:szCs w:val="24"/>
        </w:rPr>
        <w:t>[</w:t>
      </w:r>
      <w:r w:rsidR="00E74270" w:rsidRPr="00083C6A">
        <w:rPr>
          <w:rFonts w:ascii="Book Antiqua" w:hAnsi="Book Antiqua" w:cs="Arial"/>
          <w:sz w:val="24"/>
          <w:szCs w:val="24"/>
        </w:rPr>
        <w:t>RL</w:t>
      </w:r>
      <w:r w:rsidR="00B0354C" w:rsidRPr="00083C6A">
        <w:rPr>
          <w:rFonts w:ascii="Book Antiqua" w:hAnsi="Book Antiqua" w:cs="Arial"/>
          <w:sz w:val="24"/>
          <w:szCs w:val="24"/>
        </w:rPr>
        <w:t>]</w:t>
      </w:r>
      <w:r w:rsidR="00E74270" w:rsidRPr="00083C6A">
        <w:rPr>
          <w:rFonts w:ascii="Book Antiqua" w:hAnsi="Book Antiqua" w:cs="Arial"/>
          <w:sz w:val="24"/>
          <w:szCs w:val="24"/>
        </w:rPr>
        <w:t>, with whom he resides.</w:t>
      </w:r>
    </w:p>
    <w:p w14:paraId="0254D01C" w14:textId="16566DD1" w:rsidR="001669E0" w:rsidRPr="00083C6A" w:rsidRDefault="001669E0"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 xml:space="preserve">He has a number of relatives/extended family members who reside in the UK on a </w:t>
      </w:r>
      <w:proofErr w:type="gramStart"/>
      <w:r w:rsidRPr="00083C6A">
        <w:rPr>
          <w:rFonts w:ascii="Book Antiqua" w:hAnsi="Book Antiqua" w:cs="Arial"/>
          <w:sz w:val="24"/>
          <w:szCs w:val="24"/>
        </w:rPr>
        <w:t>long term</w:t>
      </w:r>
      <w:proofErr w:type="gramEnd"/>
      <w:r w:rsidRPr="00083C6A">
        <w:rPr>
          <w:rFonts w:ascii="Book Antiqua" w:hAnsi="Book Antiqua" w:cs="Arial"/>
          <w:sz w:val="24"/>
          <w:szCs w:val="24"/>
        </w:rPr>
        <w:t xml:space="preserve"> basis, namely his fat</w:t>
      </w:r>
      <w:r w:rsidR="001F7DFF" w:rsidRPr="00083C6A">
        <w:rPr>
          <w:rFonts w:ascii="Book Antiqua" w:hAnsi="Book Antiqua" w:cs="Arial"/>
          <w:sz w:val="24"/>
          <w:szCs w:val="24"/>
        </w:rPr>
        <w:t>h</w:t>
      </w:r>
      <w:r w:rsidRPr="00083C6A">
        <w:rPr>
          <w:rFonts w:ascii="Book Antiqua" w:hAnsi="Book Antiqua" w:cs="Arial"/>
          <w:sz w:val="24"/>
          <w:szCs w:val="24"/>
        </w:rPr>
        <w:t xml:space="preserve">er and brothers, </w:t>
      </w:r>
      <w:r w:rsidR="00B10A64" w:rsidRPr="00083C6A">
        <w:rPr>
          <w:rFonts w:ascii="Book Antiqua" w:hAnsi="Book Antiqua" w:cs="Arial"/>
          <w:sz w:val="24"/>
          <w:szCs w:val="24"/>
        </w:rPr>
        <w:t>[FA]</w:t>
      </w:r>
      <w:r w:rsidRPr="00083C6A">
        <w:rPr>
          <w:rFonts w:ascii="Book Antiqua" w:hAnsi="Book Antiqua" w:cs="Arial"/>
          <w:sz w:val="24"/>
          <w:szCs w:val="24"/>
        </w:rPr>
        <w:t xml:space="preserve"> and </w:t>
      </w:r>
      <w:r w:rsidR="00B10A64" w:rsidRPr="00083C6A">
        <w:rPr>
          <w:rFonts w:ascii="Book Antiqua" w:hAnsi="Book Antiqua" w:cs="Arial"/>
          <w:sz w:val="24"/>
          <w:szCs w:val="24"/>
        </w:rPr>
        <w:t>[</w:t>
      </w:r>
      <w:r w:rsidR="00836992" w:rsidRPr="00083C6A">
        <w:rPr>
          <w:rFonts w:ascii="Book Antiqua" w:hAnsi="Book Antiqua" w:cs="Arial"/>
          <w:sz w:val="24"/>
          <w:szCs w:val="24"/>
        </w:rPr>
        <w:t>B</w:t>
      </w:r>
      <w:r w:rsidRPr="00083C6A">
        <w:rPr>
          <w:rFonts w:ascii="Book Antiqua" w:hAnsi="Book Antiqua" w:cs="Arial"/>
          <w:sz w:val="24"/>
          <w:szCs w:val="24"/>
        </w:rPr>
        <w:t>A</w:t>
      </w:r>
      <w:r w:rsidR="00B10A64" w:rsidRPr="00083C6A">
        <w:rPr>
          <w:rFonts w:ascii="Book Antiqua" w:hAnsi="Book Antiqua" w:cs="Arial"/>
          <w:sz w:val="24"/>
          <w:szCs w:val="24"/>
        </w:rPr>
        <w:t>]</w:t>
      </w:r>
      <w:r w:rsidRPr="00083C6A">
        <w:rPr>
          <w:rFonts w:ascii="Book Antiqua" w:hAnsi="Book Antiqua" w:cs="Arial"/>
          <w:sz w:val="24"/>
          <w:szCs w:val="24"/>
        </w:rPr>
        <w:t xml:space="preserve">, his uncle, </w:t>
      </w:r>
      <w:r w:rsidR="00B10A64" w:rsidRPr="00083C6A">
        <w:rPr>
          <w:rFonts w:ascii="Book Antiqua" w:hAnsi="Book Antiqua" w:cs="Arial"/>
          <w:sz w:val="24"/>
          <w:szCs w:val="24"/>
        </w:rPr>
        <w:t>[</w:t>
      </w:r>
      <w:r w:rsidRPr="00083C6A">
        <w:rPr>
          <w:rFonts w:ascii="Book Antiqua" w:hAnsi="Book Antiqua" w:cs="Arial"/>
          <w:sz w:val="24"/>
          <w:szCs w:val="24"/>
        </w:rPr>
        <w:t>O</w:t>
      </w:r>
      <w:r w:rsidR="00B10A64" w:rsidRPr="00083C6A">
        <w:rPr>
          <w:rFonts w:ascii="Book Antiqua" w:hAnsi="Book Antiqua" w:cs="Arial"/>
          <w:sz w:val="24"/>
          <w:szCs w:val="24"/>
        </w:rPr>
        <w:t>]</w:t>
      </w:r>
      <w:r w:rsidRPr="00083C6A">
        <w:rPr>
          <w:rFonts w:ascii="Book Antiqua" w:hAnsi="Book Antiqua" w:cs="Arial"/>
          <w:sz w:val="24"/>
          <w:szCs w:val="24"/>
        </w:rPr>
        <w:t xml:space="preserve">, and a cousin, </w:t>
      </w:r>
      <w:r w:rsidR="00B10A64" w:rsidRPr="00083C6A">
        <w:rPr>
          <w:rFonts w:ascii="Book Antiqua" w:hAnsi="Book Antiqua" w:cs="Arial"/>
          <w:sz w:val="24"/>
          <w:szCs w:val="24"/>
        </w:rPr>
        <w:t>[</w:t>
      </w:r>
      <w:r w:rsidRPr="00083C6A">
        <w:rPr>
          <w:rFonts w:ascii="Book Antiqua" w:hAnsi="Book Antiqua" w:cs="Arial"/>
          <w:sz w:val="24"/>
          <w:szCs w:val="24"/>
        </w:rPr>
        <w:t>AF</w:t>
      </w:r>
      <w:r w:rsidR="00B10A64" w:rsidRPr="00083C6A">
        <w:rPr>
          <w:rFonts w:ascii="Book Antiqua" w:hAnsi="Book Antiqua" w:cs="Arial"/>
          <w:sz w:val="24"/>
          <w:szCs w:val="24"/>
        </w:rPr>
        <w:t>]</w:t>
      </w:r>
      <w:r w:rsidRPr="00083C6A">
        <w:rPr>
          <w:rFonts w:ascii="Book Antiqua" w:hAnsi="Book Antiqua" w:cs="Arial"/>
          <w:sz w:val="24"/>
          <w:szCs w:val="24"/>
        </w:rPr>
        <w:t>.</w:t>
      </w:r>
    </w:p>
    <w:p w14:paraId="0AC08550" w14:textId="77777777" w:rsidR="0042324B" w:rsidRPr="00083C6A" w:rsidRDefault="001669E0"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 xml:space="preserve">The appellant has </w:t>
      </w:r>
      <w:r w:rsidR="0042324B" w:rsidRPr="00083C6A">
        <w:rPr>
          <w:rFonts w:ascii="Book Antiqua" w:hAnsi="Book Antiqua" w:cs="Arial"/>
          <w:sz w:val="24"/>
          <w:szCs w:val="24"/>
        </w:rPr>
        <w:t>been employed in the UK in the past.  He is a Christia</w:t>
      </w:r>
      <w:r w:rsidR="001A53A7" w:rsidRPr="00083C6A">
        <w:rPr>
          <w:rFonts w:ascii="Book Antiqua" w:hAnsi="Book Antiqua" w:cs="Arial"/>
          <w:sz w:val="24"/>
          <w:szCs w:val="24"/>
        </w:rPr>
        <w:t>n</w:t>
      </w:r>
      <w:r w:rsidR="0042324B" w:rsidRPr="00083C6A">
        <w:rPr>
          <w:rFonts w:ascii="Book Antiqua" w:hAnsi="Book Antiqua" w:cs="Arial"/>
          <w:sz w:val="24"/>
          <w:szCs w:val="24"/>
        </w:rPr>
        <w:t xml:space="preserve"> and churchgoer.   </w:t>
      </w:r>
    </w:p>
    <w:p w14:paraId="16C6F7F4" w14:textId="77777777" w:rsidR="0042324B" w:rsidRPr="00083C6A" w:rsidRDefault="0042324B"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His offending history and list of criminal convictions as set out in the updated PNC printout is not disputed.  His most recent offence took place on 11 December 2016 and he was sentenced on 31 August 2017.</w:t>
      </w:r>
    </w:p>
    <w:p w14:paraId="6A23045A" w14:textId="77777777" w:rsidR="00025343"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We set out below a summary of the oral evidence and the submissions made by the parties.</w:t>
      </w:r>
    </w:p>
    <w:p w14:paraId="5C6ACE8B" w14:textId="31747207" w:rsidR="00025343" w:rsidRPr="00083C6A" w:rsidRDefault="00025343" w:rsidP="00083C6A">
      <w:pPr>
        <w:spacing w:before="160" w:after="0" w:line="240" w:lineRule="auto"/>
        <w:ind w:left="567"/>
        <w:jc w:val="both"/>
        <w:rPr>
          <w:rFonts w:ascii="Book Antiqua" w:hAnsi="Book Antiqua" w:cs="Arial"/>
          <w:i/>
          <w:sz w:val="24"/>
          <w:szCs w:val="24"/>
        </w:rPr>
      </w:pPr>
      <w:r w:rsidRPr="00083C6A">
        <w:rPr>
          <w:rFonts w:ascii="Book Antiqua" w:hAnsi="Book Antiqua" w:cs="Arial"/>
          <w:i/>
          <w:sz w:val="24"/>
          <w:szCs w:val="24"/>
        </w:rPr>
        <w:t>The oral evidence</w:t>
      </w:r>
    </w:p>
    <w:p w14:paraId="08828490" w14:textId="74E30E43" w:rsidR="00AF4E05"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In examination-in-chief the appellant adopted his witness statements. </w:t>
      </w:r>
      <w:r w:rsidR="007B1FB5" w:rsidRPr="00083C6A">
        <w:rPr>
          <w:rFonts w:ascii="Book Antiqua" w:hAnsi="Book Antiqua" w:cs="Arial"/>
          <w:sz w:val="24"/>
          <w:szCs w:val="24"/>
        </w:rPr>
        <w:t xml:space="preserve"> </w:t>
      </w:r>
      <w:r w:rsidR="00B94796" w:rsidRPr="00083C6A">
        <w:rPr>
          <w:rFonts w:ascii="Book Antiqua" w:hAnsi="Book Antiqua" w:cs="Arial"/>
          <w:sz w:val="24"/>
          <w:szCs w:val="24"/>
        </w:rPr>
        <w:t xml:space="preserve">He confirmed that he </w:t>
      </w:r>
      <w:r w:rsidR="009F52CC" w:rsidRPr="00083C6A">
        <w:rPr>
          <w:rFonts w:ascii="Book Antiqua" w:hAnsi="Book Antiqua" w:cs="Arial"/>
          <w:sz w:val="24"/>
          <w:szCs w:val="24"/>
        </w:rPr>
        <w:t xml:space="preserve">has struggled with issues of mental health and depression since he was young. He was badly affected by his mother passing away suddenly when he </w:t>
      </w:r>
      <w:r w:rsidR="00AF4E05" w:rsidRPr="00083C6A">
        <w:rPr>
          <w:rFonts w:ascii="Book Antiqua" w:hAnsi="Book Antiqua" w:cs="Arial"/>
          <w:sz w:val="24"/>
          <w:szCs w:val="24"/>
        </w:rPr>
        <w:t>w</w:t>
      </w:r>
      <w:r w:rsidR="009F52CC" w:rsidRPr="00083C6A">
        <w:rPr>
          <w:rFonts w:ascii="Book Antiqua" w:hAnsi="Book Antiqua" w:cs="Arial"/>
          <w:sz w:val="24"/>
          <w:szCs w:val="24"/>
        </w:rPr>
        <w:t xml:space="preserve">as young </w:t>
      </w:r>
      <w:r w:rsidR="00AF4E05" w:rsidRPr="00083C6A">
        <w:rPr>
          <w:rFonts w:ascii="Book Antiqua" w:hAnsi="Book Antiqua" w:cs="Arial"/>
          <w:sz w:val="24"/>
          <w:szCs w:val="24"/>
        </w:rPr>
        <w:t xml:space="preserve">(aged 14) </w:t>
      </w:r>
      <w:r w:rsidR="009F52CC" w:rsidRPr="00083C6A">
        <w:rPr>
          <w:rFonts w:ascii="Book Antiqua" w:hAnsi="Book Antiqua" w:cs="Arial"/>
          <w:sz w:val="24"/>
          <w:szCs w:val="24"/>
        </w:rPr>
        <w:t>and being falsely accused of rape.  Driving motor cars made him feel good.  He is currently taking anti-depressant and anti-epilepsy medication</w:t>
      </w:r>
      <w:r w:rsidR="000F1BCD" w:rsidRPr="00083C6A">
        <w:rPr>
          <w:rFonts w:ascii="Book Antiqua" w:hAnsi="Book Antiqua" w:cs="Arial"/>
          <w:sz w:val="24"/>
          <w:szCs w:val="24"/>
        </w:rPr>
        <w:t xml:space="preserve">.  </w:t>
      </w:r>
      <w:r w:rsidR="00AF4E05" w:rsidRPr="00083C6A">
        <w:rPr>
          <w:rFonts w:ascii="Book Antiqua" w:hAnsi="Book Antiqua" w:cs="Arial"/>
          <w:sz w:val="24"/>
          <w:szCs w:val="24"/>
        </w:rPr>
        <w:t xml:space="preserve">He had counselling sessions in </w:t>
      </w:r>
      <w:r w:rsidR="00836992" w:rsidRPr="00083C6A">
        <w:rPr>
          <w:rFonts w:ascii="Book Antiqua" w:hAnsi="Book Antiqua" w:cs="Arial"/>
          <w:sz w:val="24"/>
          <w:szCs w:val="24"/>
        </w:rPr>
        <w:t>May</w:t>
      </w:r>
      <w:r w:rsidR="00AF4E05" w:rsidRPr="00083C6A">
        <w:rPr>
          <w:rFonts w:ascii="Book Antiqua" w:hAnsi="Book Antiqua" w:cs="Arial"/>
          <w:sz w:val="24"/>
          <w:szCs w:val="24"/>
        </w:rPr>
        <w:t xml:space="preserve"> and June, which are now finished and have helped him.  He has not offended since January 2017, which he attributed to his partner, </w:t>
      </w:r>
      <w:r w:rsidR="00B0354C" w:rsidRPr="00083C6A">
        <w:rPr>
          <w:rFonts w:ascii="Book Antiqua" w:hAnsi="Book Antiqua" w:cs="Arial"/>
          <w:sz w:val="24"/>
          <w:szCs w:val="24"/>
        </w:rPr>
        <w:t>[RL]</w:t>
      </w:r>
      <w:r w:rsidR="00AF4E05" w:rsidRPr="00083C6A">
        <w:rPr>
          <w:rFonts w:ascii="Book Antiqua" w:hAnsi="Book Antiqua" w:cs="Arial"/>
          <w:sz w:val="24"/>
          <w:szCs w:val="24"/>
        </w:rPr>
        <w:t xml:space="preserve">, with whom he has lived for 1½ to 2 years and who has helped him a lot, and to being closer to his father, who he now sees almost every day.  He is opening up more than he used to and is trying to build up confidence.  </w:t>
      </w:r>
      <w:r w:rsidR="00405369" w:rsidRPr="00083C6A">
        <w:rPr>
          <w:rFonts w:ascii="Book Antiqua" w:hAnsi="Book Antiqua" w:cs="Arial"/>
          <w:sz w:val="24"/>
          <w:szCs w:val="24"/>
        </w:rPr>
        <w:t>He said he hadn’t considered what he would do if he was deported to Nigeria.</w:t>
      </w:r>
    </w:p>
    <w:p w14:paraId="12244887" w14:textId="1E5A3BE9" w:rsidR="002E1488" w:rsidRPr="00083C6A" w:rsidRDefault="00AF4E05"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appellant’s father, </w:t>
      </w:r>
      <w:r w:rsidR="00B0354C" w:rsidRPr="00083C6A">
        <w:rPr>
          <w:rFonts w:ascii="Book Antiqua" w:hAnsi="Book Antiqua" w:cs="Arial"/>
          <w:sz w:val="24"/>
          <w:szCs w:val="24"/>
        </w:rPr>
        <w:t>[LA]</w:t>
      </w:r>
      <w:r w:rsidRPr="00083C6A">
        <w:rPr>
          <w:rFonts w:ascii="Book Antiqua" w:hAnsi="Book Antiqua" w:cs="Arial"/>
          <w:sz w:val="24"/>
          <w:szCs w:val="24"/>
        </w:rPr>
        <w:t xml:space="preserve">, </w:t>
      </w:r>
      <w:r w:rsidR="00C01F00" w:rsidRPr="00083C6A">
        <w:rPr>
          <w:rFonts w:ascii="Book Antiqua" w:hAnsi="Book Antiqua" w:cs="Arial"/>
          <w:sz w:val="24"/>
          <w:szCs w:val="24"/>
        </w:rPr>
        <w:t xml:space="preserve">having adopted his witness statement </w:t>
      </w:r>
      <w:r w:rsidRPr="00083C6A">
        <w:rPr>
          <w:rFonts w:ascii="Book Antiqua" w:hAnsi="Book Antiqua" w:cs="Arial"/>
          <w:sz w:val="24"/>
          <w:szCs w:val="24"/>
        </w:rPr>
        <w:t xml:space="preserve">confirmed he had contact either face to face or by phone every day and said </w:t>
      </w:r>
      <w:r w:rsidR="00405369" w:rsidRPr="00083C6A">
        <w:rPr>
          <w:rFonts w:ascii="Book Antiqua" w:hAnsi="Book Antiqua" w:cs="Arial"/>
          <w:sz w:val="24"/>
          <w:szCs w:val="24"/>
        </w:rPr>
        <w:t>the appellant had improved a lot.  In cross-examination he said nothing about the appellant’s behaviour now gave him cause for concern</w:t>
      </w:r>
      <w:r w:rsidR="002E1488" w:rsidRPr="00083C6A">
        <w:rPr>
          <w:rFonts w:ascii="Book Antiqua" w:hAnsi="Book Antiqua" w:cs="Arial"/>
          <w:sz w:val="24"/>
          <w:szCs w:val="24"/>
        </w:rPr>
        <w:t xml:space="preserve">: he was a very kind boy and had always followed any instruction he had given him.  He also </w:t>
      </w:r>
      <w:r w:rsidR="00405369" w:rsidRPr="00083C6A">
        <w:rPr>
          <w:rFonts w:ascii="Book Antiqua" w:hAnsi="Book Antiqua" w:cs="Arial"/>
          <w:sz w:val="24"/>
          <w:szCs w:val="24"/>
        </w:rPr>
        <w:t>stated he had no friends or relative</w:t>
      </w:r>
      <w:r w:rsidR="000B5151" w:rsidRPr="00083C6A">
        <w:rPr>
          <w:rFonts w:ascii="Book Antiqua" w:hAnsi="Book Antiqua" w:cs="Arial"/>
          <w:sz w:val="24"/>
          <w:szCs w:val="24"/>
        </w:rPr>
        <w:t>s</w:t>
      </w:r>
      <w:r w:rsidR="00405369" w:rsidRPr="00083C6A">
        <w:rPr>
          <w:rFonts w:ascii="Book Antiqua" w:hAnsi="Book Antiqua" w:cs="Arial"/>
          <w:sz w:val="24"/>
          <w:szCs w:val="24"/>
        </w:rPr>
        <w:t xml:space="preserve"> in Nigeria.</w:t>
      </w:r>
    </w:p>
    <w:p w14:paraId="14FF3012" w14:textId="52FCD9B4" w:rsidR="009F52CC" w:rsidRPr="00083C6A" w:rsidRDefault="00B0354C"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[RL]</w:t>
      </w:r>
      <w:r w:rsidRPr="00083C6A">
        <w:rPr>
          <w:rFonts w:ascii="Book Antiqua" w:hAnsi="Book Antiqua" w:cs="Arial"/>
          <w:sz w:val="24"/>
          <w:szCs w:val="24"/>
        </w:rPr>
        <w:t xml:space="preserve"> </w:t>
      </w:r>
      <w:r w:rsidR="00C01F00" w:rsidRPr="00083C6A">
        <w:rPr>
          <w:rFonts w:ascii="Book Antiqua" w:hAnsi="Book Antiqua" w:cs="Arial"/>
          <w:sz w:val="24"/>
          <w:szCs w:val="24"/>
        </w:rPr>
        <w:t xml:space="preserve">confirmed her statement and </w:t>
      </w:r>
      <w:r w:rsidR="002E1488" w:rsidRPr="00083C6A">
        <w:rPr>
          <w:rFonts w:ascii="Book Antiqua" w:hAnsi="Book Antiqua" w:cs="Arial"/>
          <w:sz w:val="24"/>
          <w:szCs w:val="24"/>
        </w:rPr>
        <w:t>described her relationship with the appellant as really good.  She said they had been together for 3 years and he mainly moved in when he was released from custody in October 2017.  He had been able to open up to her; he had finally grown into the man he wanted to be, has sought medical help and come to terms with his illness.  She said they wanted to buy a house and live like a</w:t>
      </w:r>
      <w:r w:rsidR="00E50AEE" w:rsidRPr="00083C6A">
        <w:rPr>
          <w:rFonts w:ascii="Book Antiqua" w:hAnsi="Book Antiqua" w:cs="Arial"/>
          <w:sz w:val="24"/>
          <w:szCs w:val="24"/>
        </w:rPr>
        <w:t xml:space="preserve"> </w:t>
      </w:r>
      <w:r w:rsidR="002E1488" w:rsidRPr="00083C6A">
        <w:rPr>
          <w:rFonts w:ascii="Book Antiqua" w:hAnsi="Book Antiqua" w:cs="Arial"/>
          <w:sz w:val="24"/>
          <w:szCs w:val="24"/>
        </w:rPr>
        <w:t>normal British couple.  She said she couldn’t follow him to Nigeria: she has worked for a family with a 5</w:t>
      </w:r>
      <w:r w:rsidR="00E50AEE" w:rsidRPr="00083C6A">
        <w:rPr>
          <w:rFonts w:ascii="Book Antiqua" w:hAnsi="Book Antiqua" w:cs="Arial"/>
          <w:sz w:val="24"/>
          <w:szCs w:val="24"/>
        </w:rPr>
        <w:t>-</w:t>
      </w:r>
      <w:r w:rsidR="002E1488" w:rsidRPr="00083C6A">
        <w:rPr>
          <w:rFonts w:ascii="Book Antiqua" w:hAnsi="Book Antiqua" w:cs="Arial"/>
          <w:sz w:val="24"/>
          <w:szCs w:val="24"/>
        </w:rPr>
        <w:t>year old child for 4½ years.</w:t>
      </w:r>
      <w:r w:rsidR="005B2A74" w:rsidRPr="00083C6A">
        <w:rPr>
          <w:rFonts w:ascii="Book Antiqua" w:hAnsi="Book Antiqua" w:cs="Arial"/>
          <w:sz w:val="24"/>
          <w:szCs w:val="24"/>
        </w:rPr>
        <w:t xml:space="preserve">  </w:t>
      </w:r>
    </w:p>
    <w:p w14:paraId="6FC37903" w14:textId="568C6582" w:rsidR="00FF7240" w:rsidRPr="00083C6A" w:rsidRDefault="00FF7240" w:rsidP="00083C6A">
      <w:pPr>
        <w:spacing w:before="160" w:after="0" w:line="240" w:lineRule="auto"/>
        <w:ind w:left="567"/>
        <w:jc w:val="both"/>
        <w:rPr>
          <w:rFonts w:ascii="Book Antiqua" w:hAnsi="Book Antiqua" w:cs="Arial"/>
          <w:i/>
          <w:sz w:val="24"/>
          <w:szCs w:val="24"/>
        </w:rPr>
      </w:pPr>
      <w:r w:rsidRPr="00083C6A">
        <w:rPr>
          <w:rFonts w:ascii="Book Antiqua" w:hAnsi="Book Antiqua" w:cs="Arial"/>
          <w:i/>
          <w:sz w:val="24"/>
          <w:szCs w:val="24"/>
        </w:rPr>
        <w:t>Written material</w:t>
      </w:r>
    </w:p>
    <w:p w14:paraId="39066958" w14:textId="436F8E3C" w:rsidR="005B2A74" w:rsidRPr="00083C6A" w:rsidRDefault="00B10A64"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[FA]</w:t>
      </w:r>
      <w:r w:rsidR="005B2A74" w:rsidRPr="00083C6A">
        <w:rPr>
          <w:rFonts w:ascii="Book Antiqua" w:hAnsi="Book Antiqua" w:cs="Arial"/>
          <w:sz w:val="24"/>
          <w:szCs w:val="24"/>
        </w:rPr>
        <w:t xml:space="preserve">’s statements confirm the support provided to the appellant by his family and </w:t>
      </w:r>
      <w:r w:rsidR="00B0354C" w:rsidRPr="00083C6A">
        <w:rPr>
          <w:rFonts w:ascii="Book Antiqua" w:hAnsi="Book Antiqua" w:cs="Arial"/>
          <w:sz w:val="24"/>
          <w:szCs w:val="24"/>
        </w:rPr>
        <w:t>[RL]</w:t>
      </w:r>
      <w:r w:rsidR="005B2A74" w:rsidRPr="00083C6A">
        <w:rPr>
          <w:rFonts w:ascii="Book Antiqua" w:hAnsi="Book Antiqua" w:cs="Arial"/>
          <w:sz w:val="24"/>
          <w:szCs w:val="24"/>
        </w:rPr>
        <w:t>, to whom he is very close.</w:t>
      </w:r>
    </w:p>
    <w:p w14:paraId="4604152F" w14:textId="77777777" w:rsidR="00FF7240" w:rsidRPr="00083C6A" w:rsidRDefault="005B2A74"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reported findings of Lisa Davies, </w:t>
      </w:r>
      <w:r w:rsidR="00CC49F4" w:rsidRPr="00083C6A">
        <w:rPr>
          <w:rFonts w:ascii="Book Antiqua" w:hAnsi="Book Antiqua" w:cs="Arial"/>
          <w:sz w:val="24"/>
          <w:szCs w:val="24"/>
        </w:rPr>
        <w:t xml:space="preserve">Consultant Forensic Psychologist, following her </w:t>
      </w:r>
      <w:proofErr w:type="gramStart"/>
      <w:r w:rsidR="00CC49F4" w:rsidRPr="00083C6A">
        <w:rPr>
          <w:rFonts w:ascii="Book Antiqua" w:hAnsi="Book Antiqua" w:cs="Arial"/>
          <w:sz w:val="24"/>
          <w:szCs w:val="24"/>
        </w:rPr>
        <w:t>3 hour</w:t>
      </w:r>
      <w:proofErr w:type="gramEnd"/>
      <w:r w:rsidR="00CC49F4" w:rsidRPr="00083C6A">
        <w:rPr>
          <w:rFonts w:ascii="Book Antiqua" w:hAnsi="Book Antiqua" w:cs="Arial"/>
          <w:sz w:val="24"/>
          <w:szCs w:val="24"/>
        </w:rPr>
        <w:t xml:space="preserve"> interview of the appellant on 20</w:t>
      </w:r>
      <w:r w:rsidR="00CC49F4" w:rsidRPr="00083C6A">
        <w:rPr>
          <w:rFonts w:ascii="Book Antiqua" w:hAnsi="Book Antiqua" w:cs="Arial"/>
          <w:sz w:val="24"/>
          <w:szCs w:val="24"/>
          <w:vertAlign w:val="superscript"/>
        </w:rPr>
        <w:t>th</w:t>
      </w:r>
      <w:r w:rsidR="00CC49F4" w:rsidRPr="00083C6A">
        <w:rPr>
          <w:rFonts w:ascii="Book Antiqua" w:hAnsi="Book Antiqua" w:cs="Arial"/>
          <w:sz w:val="24"/>
          <w:szCs w:val="24"/>
        </w:rPr>
        <w:t xml:space="preserve"> December 2017, were that, using LS-CMI, the indicated risk of the appellant engaging in antisocial behaviour rather than offending </w:t>
      </w:r>
      <w:r w:rsidR="00CC49F4" w:rsidRPr="00083C6A">
        <w:rPr>
          <w:rFonts w:ascii="Book Antiqua" w:hAnsi="Book Antiqua" w:cs="Arial"/>
          <w:sz w:val="24"/>
          <w:szCs w:val="24"/>
        </w:rPr>
        <w:lastRenderedPageBreak/>
        <w:t>was considered to be moderate at that time and a moderate risk of further offences being accrued in relation to the possession of drugs or further driving offences (whilst disqualified).  Assessment using HCR-20, a structured assessment of risk of violence indicated a low risk of violent reoffending.  He presented as a moderate risk of serious harm to others, this relating to the possibility that he could cause serious harm in the event that h</w:t>
      </w:r>
      <w:r w:rsidR="00B0160E" w:rsidRPr="00083C6A">
        <w:rPr>
          <w:rFonts w:ascii="Book Antiqua" w:hAnsi="Book Antiqua" w:cs="Arial"/>
          <w:sz w:val="24"/>
          <w:szCs w:val="24"/>
        </w:rPr>
        <w:t>e</w:t>
      </w:r>
      <w:r w:rsidR="00CC49F4" w:rsidRPr="00083C6A">
        <w:rPr>
          <w:rFonts w:ascii="Book Antiqua" w:hAnsi="Book Antiqua" w:cs="Arial"/>
          <w:sz w:val="24"/>
          <w:szCs w:val="24"/>
        </w:rPr>
        <w:t xml:space="preserve"> was to have an epileptic fit whilst driving.  He reported having no intention to drive and acknowledged the risks of doing so.  In her op</w:t>
      </w:r>
      <w:r w:rsidR="00B0160E" w:rsidRPr="00083C6A">
        <w:rPr>
          <w:rFonts w:ascii="Book Antiqua" w:hAnsi="Book Antiqua" w:cs="Arial"/>
          <w:sz w:val="24"/>
          <w:szCs w:val="24"/>
        </w:rPr>
        <w:t>i</w:t>
      </w:r>
      <w:r w:rsidR="00CC49F4" w:rsidRPr="00083C6A">
        <w:rPr>
          <w:rFonts w:ascii="Book Antiqua" w:hAnsi="Book Antiqua" w:cs="Arial"/>
          <w:sz w:val="24"/>
          <w:szCs w:val="24"/>
        </w:rPr>
        <w:t>nion,</w:t>
      </w:r>
      <w:r w:rsidR="00B0160E" w:rsidRPr="00083C6A">
        <w:rPr>
          <w:rFonts w:ascii="Book Antiqua" w:hAnsi="Book Antiqua" w:cs="Arial"/>
          <w:sz w:val="24"/>
          <w:szCs w:val="24"/>
        </w:rPr>
        <w:t xml:space="preserve"> from the available documents and her own clinical assessment, he presented with a low level of risk for future violent reoffending and a moderate level of risk for general (non-violent) offending, presenting with a moderate risk of causing serious harm at the current time.</w:t>
      </w:r>
      <w:r w:rsidR="00CC49F4" w:rsidRPr="00083C6A">
        <w:rPr>
          <w:rFonts w:ascii="Book Antiqua" w:hAnsi="Book Antiqua" w:cs="Arial"/>
          <w:sz w:val="24"/>
          <w:szCs w:val="24"/>
        </w:rPr>
        <w:t xml:space="preserve">  </w:t>
      </w:r>
      <w:r w:rsidR="00B0160E" w:rsidRPr="00083C6A">
        <w:rPr>
          <w:rFonts w:ascii="Book Antiqua" w:hAnsi="Book Antiqua" w:cs="Arial"/>
          <w:sz w:val="24"/>
          <w:szCs w:val="24"/>
        </w:rPr>
        <w:t>The gaining of employment and the maintenance of familial relationships are considered to be an important protective factor.  He also presented with a moderate risk of attempting suicide, which would increase significantly in the event o</w:t>
      </w:r>
      <w:r w:rsidR="00672F80" w:rsidRPr="00083C6A">
        <w:rPr>
          <w:rFonts w:ascii="Book Antiqua" w:hAnsi="Book Antiqua" w:cs="Arial"/>
          <w:sz w:val="24"/>
          <w:szCs w:val="24"/>
        </w:rPr>
        <w:t>f</w:t>
      </w:r>
      <w:r w:rsidR="00B0160E" w:rsidRPr="00083C6A">
        <w:rPr>
          <w:rFonts w:ascii="Book Antiqua" w:hAnsi="Book Antiqua" w:cs="Arial"/>
          <w:sz w:val="24"/>
          <w:szCs w:val="24"/>
        </w:rPr>
        <w:t xml:space="preserve"> forcible removal to Nigeria.</w:t>
      </w:r>
    </w:p>
    <w:p w14:paraId="25AD791A" w14:textId="77777777" w:rsidR="005B2A74" w:rsidRPr="00083C6A" w:rsidRDefault="00FF7240"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w:t>
      </w:r>
      <w:r w:rsidR="00423C42" w:rsidRPr="00083C6A">
        <w:rPr>
          <w:rFonts w:ascii="Book Antiqua" w:hAnsi="Book Antiqua" w:cs="Arial"/>
          <w:sz w:val="24"/>
          <w:szCs w:val="24"/>
        </w:rPr>
        <w:t xml:space="preserve">Progress Report of Claire </w:t>
      </w:r>
      <w:proofErr w:type="spellStart"/>
      <w:r w:rsidR="00423C42" w:rsidRPr="00083C6A">
        <w:rPr>
          <w:rFonts w:ascii="Book Antiqua" w:hAnsi="Book Antiqua" w:cs="Arial"/>
          <w:sz w:val="24"/>
          <w:szCs w:val="24"/>
        </w:rPr>
        <w:t>Easthope</w:t>
      </w:r>
      <w:proofErr w:type="spellEnd"/>
      <w:r w:rsidR="00423C42" w:rsidRPr="00083C6A">
        <w:rPr>
          <w:rFonts w:ascii="Book Antiqua" w:hAnsi="Book Antiqua" w:cs="Arial"/>
          <w:sz w:val="24"/>
          <w:szCs w:val="24"/>
        </w:rPr>
        <w:t xml:space="preserve"> reveals the appellant has spent a lot of time ruminating in the 2 months prior to 29</w:t>
      </w:r>
      <w:r w:rsidR="00423C42" w:rsidRPr="00083C6A">
        <w:rPr>
          <w:rFonts w:ascii="Book Antiqua" w:hAnsi="Book Antiqua" w:cs="Arial"/>
          <w:sz w:val="24"/>
          <w:szCs w:val="24"/>
          <w:vertAlign w:val="superscript"/>
        </w:rPr>
        <w:t>th</w:t>
      </w:r>
      <w:r w:rsidR="00423C42" w:rsidRPr="00083C6A">
        <w:rPr>
          <w:rFonts w:ascii="Book Antiqua" w:hAnsi="Book Antiqua" w:cs="Arial"/>
          <w:sz w:val="24"/>
          <w:szCs w:val="24"/>
        </w:rPr>
        <w:t xml:space="preserve"> June 2018 as he had stopped walking as a means of coping as he had been anxious about having a fit in public.  He is more positive since starting counselling.  </w:t>
      </w:r>
      <w:r w:rsidR="00B0160E" w:rsidRPr="00083C6A">
        <w:rPr>
          <w:rFonts w:ascii="Book Antiqua" w:hAnsi="Book Antiqua" w:cs="Arial"/>
          <w:sz w:val="24"/>
          <w:szCs w:val="24"/>
        </w:rPr>
        <w:t xml:space="preserve">  </w:t>
      </w:r>
    </w:p>
    <w:p w14:paraId="0B0BA9CC" w14:textId="0C54C3C9" w:rsidR="00025343" w:rsidRPr="00083C6A" w:rsidRDefault="00025343" w:rsidP="00083C6A">
      <w:pPr>
        <w:spacing w:before="160" w:after="0" w:line="240" w:lineRule="auto"/>
        <w:ind w:left="567"/>
        <w:jc w:val="both"/>
        <w:rPr>
          <w:rFonts w:ascii="Book Antiqua" w:hAnsi="Book Antiqua" w:cs="Arial"/>
          <w:sz w:val="24"/>
          <w:szCs w:val="24"/>
        </w:rPr>
      </w:pPr>
      <w:r w:rsidRPr="00083C6A">
        <w:rPr>
          <w:rFonts w:ascii="Book Antiqua" w:hAnsi="Book Antiqua" w:cs="Arial"/>
          <w:i/>
          <w:sz w:val="24"/>
          <w:szCs w:val="24"/>
        </w:rPr>
        <w:t>Submissions</w:t>
      </w:r>
    </w:p>
    <w:p w14:paraId="597DB84C" w14:textId="77777777" w:rsidR="00226E4A"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In his submissions Mr</w:t>
      </w:r>
      <w:r w:rsidR="00B0160E" w:rsidRPr="00083C6A">
        <w:rPr>
          <w:rFonts w:ascii="Book Antiqua" w:hAnsi="Book Antiqua" w:cs="Arial"/>
          <w:sz w:val="24"/>
          <w:szCs w:val="24"/>
        </w:rPr>
        <w:t xml:space="preserve"> </w:t>
      </w:r>
      <w:proofErr w:type="spellStart"/>
      <w:r w:rsidR="00B0160E" w:rsidRPr="00083C6A">
        <w:rPr>
          <w:rFonts w:ascii="Book Antiqua" w:hAnsi="Book Antiqua" w:cs="Arial"/>
          <w:sz w:val="24"/>
          <w:szCs w:val="24"/>
        </w:rPr>
        <w:t>Khubb</w:t>
      </w:r>
      <w:r w:rsidR="00836992" w:rsidRPr="00083C6A">
        <w:rPr>
          <w:rFonts w:ascii="Book Antiqua" w:hAnsi="Book Antiqua" w:cs="Arial"/>
          <w:sz w:val="24"/>
          <w:szCs w:val="24"/>
        </w:rPr>
        <w:t>e</w:t>
      </w:r>
      <w:r w:rsidR="00B0160E" w:rsidRPr="00083C6A">
        <w:rPr>
          <w:rFonts w:ascii="Book Antiqua" w:hAnsi="Book Antiqua" w:cs="Arial"/>
          <w:sz w:val="24"/>
          <w:szCs w:val="24"/>
        </w:rPr>
        <w:t>r</w:t>
      </w:r>
      <w:proofErr w:type="spellEnd"/>
      <w:r w:rsidR="00B0160E" w:rsidRPr="00083C6A">
        <w:rPr>
          <w:rFonts w:ascii="Book Antiqua" w:hAnsi="Book Antiqua" w:cs="Arial"/>
          <w:sz w:val="24"/>
          <w:szCs w:val="24"/>
        </w:rPr>
        <w:t xml:space="preserve"> </w:t>
      </w:r>
      <w:r w:rsidRPr="00083C6A">
        <w:rPr>
          <w:rFonts w:ascii="Book Antiqua" w:hAnsi="Book Antiqua" w:cs="Arial"/>
          <w:sz w:val="24"/>
          <w:szCs w:val="24"/>
        </w:rPr>
        <w:t xml:space="preserve">relied on his skeleton argument. </w:t>
      </w:r>
      <w:r w:rsidR="00DE5202" w:rsidRPr="00083C6A">
        <w:rPr>
          <w:rFonts w:ascii="Book Antiqua" w:hAnsi="Book Antiqua" w:cs="Arial"/>
          <w:sz w:val="24"/>
          <w:szCs w:val="24"/>
        </w:rPr>
        <w:t xml:space="preserve"> He submit</w:t>
      </w:r>
      <w:r w:rsidR="00226E4A" w:rsidRPr="00083C6A">
        <w:rPr>
          <w:rFonts w:ascii="Book Antiqua" w:hAnsi="Book Antiqua" w:cs="Arial"/>
          <w:sz w:val="24"/>
          <w:szCs w:val="24"/>
        </w:rPr>
        <w:t>ted</w:t>
      </w:r>
      <w:r w:rsidR="00DE5202" w:rsidRPr="00083C6A">
        <w:rPr>
          <w:rFonts w:ascii="Book Antiqua" w:hAnsi="Book Antiqua" w:cs="Arial"/>
          <w:sz w:val="24"/>
          <w:szCs w:val="24"/>
        </w:rPr>
        <w:t xml:space="preserve"> that deportation to Nigeria requires careful justification.  Deportation would breach the appellant’s rights under Article 8 of the ECHR; his case exhibits very compelling circumstances over and above those described in Exception 1 or Exceptio</w:t>
      </w:r>
      <w:r w:rsidR="00226E4A" w:rsidRPr="00083C6A">
        <w:rPr>
          <w:rFonts w:ascii="Book Antiqua" w:hAnsi="Book Antiqua" w:cs="Arial"/>
          <w:sz w:val="24"/>
          <w:szCs w:val="24"/>
        </w:rPr>
        <w:t>n</w:t>
      </w:r>
      <w:r w:rsidR="00DE5202" w:rsidRPr="00083C6A">
        <w:rPr>
          <w:rFonts w:ascii="Book Antiqua" w:hAnsi="Book Antiqua" w:cs="Arial"/>
          <w:sz w:val="24"/>
          <w:szCs w:val="24"/>
        </w:rPr>
        <w:t xml:space="preserve"> 2 under s. 117</w:t>
      </w:r>
      <w:proofErr w:type="gramStart"/>
      <w:r w:rsidR="00DE5202" w:rsidRPr="00083C6A">
        <w:rPr>
          <w:rFonts w:ascii="Book Antiqua" w:hAnsi="Book Antiqua" w:cs="Arial"/>
          <w:sz w:val="24"/>
          <w:szCs w:val="24"/>
        </w:rPr>
        <w:t>C(</w:t>
      </w:r>
      <w:proofErr w:type="gramEnd"/>
      <w:r w:rsidR="00DE5202" w:rsidRPr="00083C6A">
        <w:rPr>
          <w:rFonts w:ascii="Book Antiqua" w:hAnsi="Book Antiqua" w:cs="Arial"/>
          <w:sz w:val="24"/>
          <w:szCs w:val="24"/>
        </w:rPr>
        <w:t>6)</w:t>
      </w:r>
      <w:r w:rsidR="00226E4A" w:rsidRPr="00083C6A">
        <w:rPr>
          <w:rFonts w:ascii="Book Antiqua" w:hAnsi="Book Antiqua" w:cs="Arial"/>
          <w:sz w:val="24"/>
          <w:szCs w:val="24"/>
        </w:rPr>
        <w:t xml:space="preserve"> of the nationality, Immigration and Asylum Act 2002 (“the</w:t>
      </w:r>
      <w:r w:rsidR="00B44397" w:rsidRPr="00083C6A">
        <w:rPr>
          <w:rFonts w:ascii="Book Antiqua" w:hAnsi="Book Antiqua" w:cs="Arial"/>
          <w:sz w:val="24"/>
          <w:szCs w:val="24"/>
        </w:rPr>
        <w:t xml:space="preserve"> 2002 </w:t>
      </w:r>
      <w:r w:rsidR="00226E4A" w:rsidRPr="00083C6A">
        <w:rPr>
          <w:rFonts w:ascii="Book Antiqua" w:hAnsi="Book Antiqua" w:cs="Arial"/>
          <w:sz w:val="24"/>
          <w:szCs w:val="24"/>
        </w:rPr>
        <w:t>Act”).  Consideration and evaluation of the evidence leads to the clear conclusion that the factors in favour of deportation are clearly outweighed by the factors against deportation.  He relies on the following facts: -</w:t>
      </w:r>
    </w:p>
    <w:p w14:paraId="4714167F" w14:textId="77777777" w:rsidR="00226E4A" w:rsidRPr="00083C6A" w:rsidRDefault="00226E4A"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The appellant having spent his entire life in the UK and never having resided in the destination state</w:t>
      </w:r>
      <w:r w:rsidR="00672F80" w:rsidRPr="00083C6A">
        <w:rPr>
          <w:rFonts w:ascii="Book Antiqua" w:hAnsi="Book Antiqua" w:cs="Arial"/>
          <w:sz w:val="24"/>
          <w:szCs w:val="24"/>
        </w:rPr>
        <w:t>.</w:t>
      </w:r>
    </w:p>
    <w:p w14:paraId="68AFECA3" w14:textId="77777777" w:rsidR="00226E4A" w:rsidRPr="00083C6A" w:rsidRDefault="00226E4A"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The length of his period of residence, its quality and the extent of his integration in the UK.</w:t>
      </w:r>
      <w:r w:rsidR="000B58D9" w:rsidRPr="00083C6A">
        <w:rPr>
          <w:rFonts w:ascii="Book Antiqua" w:hAnsi="Book Antiqua" w:cs="Arial"/>
          <w:sz w:val="24"/>
          <w:szCs w:val="24"/>
        </w:rPr>
        <w:t xml:space="preserve">  He is socially and culturally integrated in the UK</w:t>
      </w:r>
      <w:r w:rsidR="00672F80" w:rsidRPr="00083C6A">
        <w:rPr>
          <w:rFonts w:ascii="Book Antiqua" w:hAnsi="Book Antiqua" w:cs="Arial"/>
          <w:sz w:val="24"/>
          <w:szCs w:val="24"/>
        </w:rPr>
        <w:t>.</w:t>
      </w:r>
    </w:p>
    <w:p w14:paraId="401615A3" w14:textId="77777777" w:rsidR="00226E4A" w:rsidRPr="00083C6A" w:rsidRDefault="00226E4A"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The obstacles he would face integrating in the destination state, lacking any meaningful ties there.</w:t>
      </w:r>
    </w:p>
    <w:p w14:paraId="2A48E1B0" w14:textId="77777777" w:rsidR="00226E4A" w:rsidRPr="00083C6A" w:rsidRDefault="00226E4A"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The low risk of further violent re-offending</w:t>
      </w:r>
      <w:r w:rsidR="000B58D9" w:rsidRPr="00083C6A">
        <w:rPr>
          <w:rFonts w:ascii="Book Antiqua" w:hAnsi="Book Antiqua" w:cs="Arial"/>
          <w:sz w:val="24"/>
          <w:szCs w:val="24"/>
        </w:rPr>
        <w:t>.</w:t>
      </w:r>
    </w:p>
    <w:p w14:paraId="4906DDC0" w14:textId="77777777" w:rsidR="000B58D9" w:rsidRPr="00083C6A" w:rsidRDefault="00025343"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H</w:t>
      </w:r>
      <w:r w:rsidR="00226E4A" w:rsidRPr="00083C6A">
        <w:rPr>
          <w:rFonts w:ascii="Book Antiqua" w:hAnsi="Book Antiqua" w:cs="Arial"/>
          <w:sz w:val="24"/>
          <w:szCs w:val="24"/>
        </w:rPr>
        <w:t xml:space="preserve">is age </w:t>
      </w:r>
      <w:r w:rsidR="000B58D9" w:rsidRPr="00083C6A">
        <w:rPr>
          <w:rFonts w:ascii="Book Antiqua" w:hAnsi="Book Antiqua" w:cs="Arial"/>
          <w:sz w:val="24"/>
          <w:szCs w:val="24"/>
        </w:rPr>
        <w:t>at the time of some of his offending.</w:t>
      </w:r>
    </w:p>
    <w:p w14:paraId="2775ED29" w14:textId="77777777" w:rsidR="000B58D9" w:rsidRPr="00083C6A" w:rsidRDefault="000B58D9"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His conduct since the commission of his most recent offences in 2016 including his compliance with probation services for the purpose of rehabilitation.</w:t>
      </w:r>
    </w:p>
    <w:p w14:paraId="721812A3" w14:textId="77777777" w:rsidR="00025343" w:rsidRPr="00083C6A" w:rsidRDefault="000B58D9" w:rsidP="00B10A64">
      <w:pPr>
        <w:numPr>
          <w:ilvl w:val="1"/>
          <w:numId w:val="1"/>
        </w:numPr>
        <w:spacing w:before="120" w:after="0" w:line="240" w:lineRule="auto"/>
        <w:jc w:val="both"/>
        <w:rPr>
          <w:rFonts w:ascii="Book Antiqua" w:hAnsi="Book Antiqua" w:cs="Arial"/>
          <w:sz w:val="24"/>
          <w:szCs w:val="24"/>
        </w:rPr>
      </w:pPr>
      <w:r w:rsidRPr="00083C6A">
        <w:rPr>
          <w:rFonts w:ascii="Book Antiqua" w:hAnsi="Book Antiqua" w:cs="Arial"/>
          <w:sz w:val="24"/>
          <w:szCs w:val="24"/>
        </w:rPr>
        <w:t xml:space="preserve">The extent of the damage to his current </w:t>
      </w:r>
      <w:proofErr w:type="gramStart"/>
      <w:r w:rsidRPr="00083C6A">
        <w:rPr>
          <w:rFonts w:ascii="Book Antiqua" w:hAnsi="Book Antiqua" w:cs="Arial"/>
          <w:sz w:val="24"/>
          <w:szCs w:val="24"/>
        </w:rPr>
        <w:t>long term</w:t>
      </w:r>
      <w:proofErr w:type="gramEnd"/>
      <w:r w:rsidRPr="00083C6A">
        <w:rPr>
          <w:rFonts w:ascii="Book Antiqua" w:hAnsi="Book Antiqua" w:cs="Arial"/>
          <w:sz w:val="24"/>
          <w:szCs w:val="24"/>
        </w:rPr>
        <w:t xml:space="preserve"> relationship with a UK citizen and the support that that and his family in the UK provides to his well-being a</w:t>
      </w:r>
      <w:r w:rsidR="00672F80" w:rsidRPr="00083C6A">
        <w:rPr>
          <w:rFonts w:ascii="Book Antiqua" w:hAnsi="Book Antiqua" w:cs="Arial"/>
          <w:sz w:val="24"/>
          <w:szCs w:val="24"/>
        </w:rPr>
        <w:t>n</w:t>
      </w:r>
      <w:r w:rsidRPr="00083C6A">
        <w:rPr>
          <w:rFonts w:ascii="Book Antiqua" w:hAnsi="Book Antiqua" w:cs="Arial"/>
          <w:sz w:val="24"/>
          <w:szCs w:val="24"/>
        </w:rPr>
        <w:t xml:space="preserve">d ongoing rehabilitation.  </w:t>
      </w:r>
    </w:p>
    <w:p w14:paraId="208FE1C4" w14:textId="207C1F69" w:rsidR="007B3D84" w:rsidRPr="00083C6A" w:rsidRDefault="00B06CFF"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lastRenderedPageBreak/>
        <w:t xml:space="preserve">In his oral submissions Mr </w:t>
      </w:r>
      <w:proofErr w:type="spellStart"/>
      <w:r w:rsidRPr="00083C6A">
        <w:rPr>
          <w:rFonts w:ascii="Book Antiqua" w:hAnsi="Book Antiqua" w:cs="Arial"/>
          <w:sz w:val="24"/>
          <w:szCs w:val="24"/>
        </w:rPr>
        <w:t>Khubber</w:t>
      </w:r>
      <w:proofErr w:type="spellEnd"/>
      <w:r w:rsidR="007B3D84" w:rsidRPr="00083C6A">
        <w:rPr>
          <w:rFonts w:ascii="Book Antiqua" w:hAnsi="Book Antiqua" w:cs="Arial"/>
          <w:sz w:val="24"/>
          <w:szCs w:val="24"/>
        </w:rPr>
        <w:t xml:space="preserve"> emphasised that the appellant had committed no offences since November 2016.  He had shown a genuine desire to change.  He had formed a significant relationship with </w:t>
      </w:r>
      <w:r w:rsidR="00B0354C" w:rsidRPr="00083C6A">
        <w:rPr>
          <w:rFonts w:ascii="Book Antiqua" w:hAnsi="Book Antiqua" w:cs="Arial"/>
          <w:sz w:val="24"/>
          <w:szCs w:val="24"/>
        </w:rPr>
        <w:t>[RL]</w:t>
      </w:r>
      <w:r w:rsidR="00B0354C" w:rsidRPr="00083C6A">
        <w:rPr>
          <w:rFonts w:ascii="Book Antiqua" w:hAnsi="Book Antiqua" w:cs="Arial"/>
          <w:sz w:val="24"/>
          <w:szCs w:val="24"/>
        </w:rPr>
        <w:t xml:space="preserve"> </w:t>
      </w:r>
      <w:r w:rsidR="007B3D84" w:rsidRPr="00083C6A">
        <w:rPr>
          <w:rFonts w:ascii="Book Antiqua" w:hAnsi="Book Antiqua" w:cs="Arial"/>
          <w:sz w:val="24"/>
          <w:szCs w:val="24"/>
        </w:rPr>
        <w:t xml:space="preserve">and his father, and they </w:t>
      </w:r>
      <w:r w:rsidR="006A392D" w:rsidRPr="00083C6A">
        <w:rPr>
          <w:rFonts w:ascii="Book Antiqua" w:hAnsi="Book Antiqua" w:cs="Arial"/>
          <w:sz w:val="24"/>
          <w:szCs w:val="24"/>
        </w:rPr>
        <w:t>a</w:t>
      </w:r>
      <w:r w:rsidR="007B3D84" w:rsidRPr="00083C6A">
        <w:rPr>
          <w:rFonts w:ascii="Book Antiqua" w:hAnsi="Book Antiqua" w:cs="Arial"/>
          <w:sz w:val="24"/>
          <w:szCs w:val="24"/>
        </w:rPr>
        <w:t xml:space="preserve">re helping him through the rehabilitation process.  He referred to paragraph 7.2.2 of the report of Lisa Davies in which she stated that the appellant demonstrated reasonable insight into his offending and risk factors, acknowledging the need for him to continue to abstain from problematic peer associations and maintain his abstinence from substances, and appearing to be genuinely remorseful regarding the death of a cyclist.  Mr </w:t>
      </w:r>
      <w:proofErr w:type="spellStart"/>
      <w:r w:rsidR="007B3D84" w:rsidRPr="00083C6A">
        <w:rPr>
          <w:rFonts w:ascii="Book Antiqua" w:hAnsi="Book Antiqua" w:cs="Arial"/>
          <w:sz w:val="24"/>
          <w:szCs w:val="24"/>
        </w:rPr>
        <w:t>Khubber</w:t>
      </w:r>
      <w:proofErr w:type="spellEnd"/>
      <w:r w:rsidR="007B3D84" w:rsidRPr="00083C6A">
        <w:rPr>
          <w:rFonts w:ascii="Book Antiqua" w:hAnsi="Book Antiqua" w:cs="Arial"/>
          <w:sz w:val="24"/>
          <w:szCs w:val="24"/>
        </w:rPr>
        <w:t xml:space="preserve"> submits the appellant’s own stress, illness and depression have had an impact on his behaviour and he is making gradual progression through rehabilitation and developing insight.  </w:t>
      </w:r>
    </w:p>
    <w:p w14:paraId="4AD4DB11" w14:textId="757F43FA" w:rsidR="000B58D9"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Ms Holmes</w:t>
      </w:r>
      <w:r w:rsidR="00447E11" w:rsidRPr="00083C6A">
        <w:rPr>
          <w:rFonts w:ascii="Book Antiqua" w:hAnsi="Book Antiqua" w:cs="Arial"/>
          <w:sz w:val="24"/>
          <w:szCs w:val="24"/>
        </w:rPr>
        <w:t xml:space="preserve">, on behalf of the Respondent, also relied on her Skeleton Argument.  She referred to the </w:t>
      </w:r>
      <w:r w:rsidR="0090520C" w:rsidRPr="00083C6A">
        <w:rPr>
          <w:rFonts w:ascii="Book Antiqua" w:hAnsi="Book Antiqua" w:cs="Arial"/>
          <w:sz w:val="24"/>
          <w:szCs w:val="24"/>
        </w:rPr>
        <w:t>appellant’s conviction</w:t>
      </w:r>
      <w:r w:rsidR="00B44397" w:rsidRPr="00083C6A">
        <w:rPr>
          <w:rFonts w:ascii="Book Antiqua" w:hAnsi="Book Antiqua" w:cs="Arial"/>
          <w:sz w:val="24"/>
          <w:szCs w:val="24"/>
        </w:rPr>
        <w:t>s</w:t>
      </w:r>
      <w:r w:rsidR="0090520C" w:rsidRPr="00083C6A">
        <w:rPr>
          <w:rFonts w:ascii="Book Antiqua" w:hAnsi="Book Antiqua" w:cs="Arial"/>
          <w:sz w:val="24"/>
          <w:szCs w:val="24"/>
        </w:rPr>
        <w:t xml:space="preserve"> since 2000, the serious conviction in 2007 for causing death by dangerous driving</w:t>
      </w:r>
      <w:r w:rsidR="004916E7" w:rsidRPr="00083C6A">
        <w:rPr>
          <w:rFonts w:ascii="Book Antiqua" w:hAnsi="Book Antiqua" w:cs="Arial"/>
          <w:sz w:val="24"/>
          <w:szCs w:val="24"/>
        </w:rPr>
        <w:t xml:space="preserve">, since which he has acquired 3 </w:t>
      </w:r>
      <w:r w:rsidR="00B44397" w:rsidRPr="00083C6A">
        <w:rPr>
          <w:rFonts w:ascii="Book Antiqua" w:hAnsi="Book Antiqua" w:cs="Arial"/>
          <w:sz w:val="24"/>
          <w:szCs w:val="24"/>
        </w:rPr>
        <w:t>convictions</w:t>
      </w:r>
      <w:r w:rsidR="004916E7" w:rsidRPr="00083C6A">
        <w:rPr>
          <w:rFonts w:ascii="Book Antiqua" w:hAnsi="Book Antiqua" w:cs="Arial"/>
          <w:sz w:val="24"/>
          <w:szCs w:val="24"/>
        </w:rPr>
        <w:t xml:space="preserve"> for driving offences and possession of Class A drugs with intent to supply in 2012.  Her primary submission was that although </w:t>
      </w:r>
      <w:r w:rsidR="00A10408" w:rsidRPr="00083C6A">
        <w:rPr>
          <w:rFonts w:ascii="Book Antiqua" w:hAnsi="Book Antiqua" w:cs="Arial"/>
          <w:sz w:val="24"/>
          <w:szCs w:val="24"/>
        </w:rPr>
        <w:t>th</w:t>
      </w:r>
      <w:r w:rsidR="004916E7" w:rsidRPr="00083C6A">
        <w:rPr>
          <w:rFonts w:ascii="Book Antiqua" w:hAnsi="Book Antiqua" w:cs="Arial"/>
          <w:sz w:val="24"/>
          <w:szCs w:val="24"/>
        </w:rPr>
        <w:t>e appellant has made efforts to improve and has committed no offences since 20</w:t>
      </w:r>
      <w:r w:rsidR="00672F80" w:rsidRPr="00083C6A">
        <w:rPr>
          <w:rFonts w:ascii="Book Antiqua" w:hAnsi="Book Antiqua" w:cs="Arial"/>
          <w:sz w:val="24"/>
          <w:szCs w:val="24"/>
        </w:rPr>
        <w:t>1</w:t>
      </w:r>
      <w:r w:rsidR="004916E7" w:rsidRPr="00083C6A">
        <w:rPr>
          <w:rFonts w:ascii="Book Antiqua" w:hAnsi="Book Antiqua" w:cs="Arial"/>
          <w:sz w:val="24"/>
          <w:szCs w:val="24"/>
        </w:rPr>
        <w:t>6, there is nothing really solid that shows real improvement or empathy towards the victim of the serious driving offence, referring to the October 2017 OASy</w:t>
      </w:r>
      <w:r w:rsidR="00836992" w:rsidRPr="00083C6A">
        <w:rPr>
          <w:rFonts w:ascii="Book Antiqua" w:hAnsi="Book Antiqua" w:cs="Arial"/>
          <w:sz w:val="24"/>
          <w:szCs w:val="24"/>
        </w:rPr>
        <w:t>s</w:t>
      </w:r>
      <w:r w:rsidR="004916E7" w:rsidRPr="00083C6A">
        <w:rPr>
          <w:rFonts w:ascii="Book Antiqua" w:hAnsi="Book Antiqua" w:cs="Arial"/>
          <w:sz w:val="24"/>
          <w:szCs w:val="24"/>
        </w:rPr>
        <w:t xml:space="preserve"> report and the assessment of his still being a medium risk to the public.   </w:t>
      </w:r>
      <w:r w:rsidR="00301CDC" w:rsidRPr="00083C6A">
        <w:rPr>
          <w:rFonts w:ascii="Book Antiqua" w:hAnsi="Book Antiqua" w:cs="Arial"/>
          <w:sz w:val="24"/>
          <w:szCs w:val="24"/>
        </w:rPr>
        <w:t xml:space="preserve">She relied on paragraph 70 of the judgment of Lord Wilson in </w:t>
      </w:r>
      <w:r w:rsidR="00301CDC" w:rsidRPr="00083C6A">
        <w:rPr>
          <w:rFonts w:ascii="Book Antiqua" w:hAnsi="Book Antiqua" w:cs="Arial"/>
          <w:i/>
          <w:sz w:val="24"/>
          <w:szCs w:val="24"/>
        </w:rPr>
        <w:t xml:space="preserve">Hesham Ali </w:t>
      </w:r>
      <w:r w:rsidR="00301CDC" w:rsidRPr="00083C6A">
        <w:rPr>
          <w:rFonts w:ascii="Book Antiqua" w:hAnsi="Book Antiqua" w:cs="Arial"/>
          <w:sz w:val="24"/>
          <w:szCs w:val="24"/>
        </w:rPr>
        <w:t>[2016] UKSC 60</w:t>
      </w:r>
      <w:r w:rsidR="004916E7" w:rsidRPr="00083C6A">
        <w:rPr>
          <w:rFonts w:ascii="Book Antiqua" w:hAnsi="Book Antiqua" w:cs="Arial"/>
          <w:sz w:val="24"/>
          <w:szCs w:val="24"/>
        </w:rPr>
        <w:t>.</w:t>
      </w:r>
      <w:r w:rsidR="00301CDC" w:rsidRPr="00083C6A">
        <w:rPr>
          <w:rFonts w:ascii="Book Antiqua" w:hAnsi="Book Antiqua" w:cs="Arial"/>
          <w:sz w:val="24"/>
          <w:szCs w:val="24"/>
        </w:rPr>
        <w:t xml:space="preserve">  She submits </w:t>
      </w:r>
      <w:r w:rsidR="006A392D" w:rsidRPr="00083C6A">
        <w:rPr>
          <w:rFonts w:ascii="Book Antiqua" w:hAnsi="Book Antiqua" w:cs="Arial"/>
          <w:sz w:val="24"/>
          <w:szCs w:val="24"/>
        </w:rPr>
        <w:t xml:space="preserve">that </w:t>
      </w:r>
      <w:r w:rsidR="00301CDC" w:rsidRPr="00083C6A">
        <w:rPr>
          <w:rFonts w:ascii="Book Antiqua" w:hAnsi="Book Antiqua" w:cs="Arial"/>
          <w:sz w:val="24"/>
          <w:szCs w:val="24"/>
        </w:rPr>
        <w:t>not a great de</w:t>
      </w:r>
      <w:r w:rsidR="006A392D" w:rsidRPr="00083C6A">
        <w:rPr>
          <w:rFonts w:ascii="Book Antiqua" w:hAnsi="Book Antiqua" w:cs="Arial"/>
          <w:sz w:val="24"/>
          <w:szCs w:val="24"/>
        </w:rPr>
        <w:t>a</w:t>
      </w:r>
      <w:r w:rsidR="00301CDC" w:rsidRPr="00083C6A">
        <w:rPr>
          <w:rFonts w:ascii="Book Antiqua" w:hAnsi="Book Antiqua" w:cs="Arial"/>
          <w:sz w:val="24"/>
          <w:szCs w:val="24"/>
        </w:rPr>
        <w:t xml:space="preserve">l of weight can be placed on the relationship that the appellant has developed with </w:t>
      </w:r>
      <w:r w:rsidR="00B0354C" w:rsidRPr="00083C6A">
        <w:rPr>
          <w:rFonts w:ascii="Book Antiqua" w:hAnsi="Book Antiqua" w:cs="Arial"/>
          <w:sz w:val="24"/>
          <w:szCs w:val="24"/>
        </w:rPr>
        <w:t>[RL]</w:t>
      </w:r>
      <w:r w:rsidR="00B0354C" w:rsidRPr="00083C6A">
        <w:rPr>
          <w:rFonts w:ascii="Book Antiqua" w:hAnsi="Book Antiqua" w:cs="Arial"/>
          <w:sz w:val="24"/>
          <w:szCs w:val="24"/>
        </w:rPr>
        <w:t xml:space="preserve"> </w:t>
      </w:r>
      <w:r w:rsidR="00301CDC" w:rsidRPr="00083C6A">
        <w:rPr>
          <w:rFonts w:ascii="Book Antiqua" w:hAnsi="Book Antiqua" w:cs="Arial"/>
          <w:sz w:val="24"/>
          <w:szCs w:val="24"/>
        </w:rPr>
        <w:t xml:space="preserve">because they were aware of the pending deportation when it developed.  She also submits that the appellant will have access to medication in Nigeria and “a level of support from </w:t>
      </w:r>
      <w:r w:rsidR="00B0354C" w:rsidRPr="00083C6A">
        <w:rPr>
          <w:rFonts w:ascii="Book Antiqua" w:hAnsi="Book Antiqua" w:cs="Arial"/>
          <w:sz w:val="24"/>
          <w:szCs w:val="24"/>
        </w:rPr>
        <w:t>[RL]</w:t>
      </w:r>
      <w:r w:rsidR="00301CDC" w:rsidRPr="00083C6A">
        <w:rPr>
          <w:rFonts w:ascii="Book Antiqua" w:hAnsi="Book Antiqua" w:cs="Arial"/>
          <w:sz w:val="24"/>
          <w:szCs w:val="24"/>
        </w:rPr>
        <w:t xml:space="preserve">”.  </w:t>
      </w:r>
      <w:r w:rsidR="004916E7" w:rsidRPr="00083C6A">
        <w:rPr>
          <w:rFonts w:ascii="Book Antiqua" w:hAnsi="Book Antiqua" w:cs="Arial"/>
          <w:sz w:val="24"/>
          <w:szCs w:val="24"/>
        </w:rPr>
        <w:t xml:space="preserve">  </w:t>
      </w:r>
      <w:r w:rsidR="00301CDC" w:rsidRPr="00083C6A">
        <w:rPr>
          <w:rFonts w:ascii="Book Antiqua" w:hAnsi="Book Antiqua" w:cs="Arial"/>
          <w:sz w:val="24"/>
          <w:szCs w:val="24"/>
        </w:rPr>
        <w:t xml:space="preserve">The case boils down to the narrow issue of whether the seriousness of his offence and offending is sufficient to overcome the points in his favour.  The respondent’s case is that there is too much risk to the public and not enough evidence of a profound and lasting change in the appellant’s behaviour.  </w:t>
      </w:r>
      <w:r w:rsidR="000B58D9" w:rsidRPr="00083C6A">
        <w:rPr>
          <w:rFonts w:ascii="Book Antiqua" w:hAnsi="Book Antiqua" w:cs="Arial"/>
          <w:sz w:val="24"/>
          <w:szCs w:val="24"/>
        </w:rPr>
        <w:t xml:space="preserve"> </w:t>
      </w:r>
    </w:p>
    <w:p w14:paraId="62E50439" w14:textId="48009797" w:rsidR="00025343" w:rsidRPr="00083C6A" w:rsidRDefault="00025343" w:rsidP="00083C6A">
      <w:pPr>
        <w:spacing w:before="160" w:after="0" w:line="240" w:lineRule="auto"/>
        <w:ind w:left="567"/>
        <w:jc w:val="both"/>
        <w:rPr>
          <w:rFonts w:ascii="Book Antiqua" w:hAnsi="Book Antiqua" w:cs="Arial"/>
          <w:i/>
          <w:sz w:val="24"/>
          <w:szCs w:val="24"/>
        </w:rPr>
      </w:pPr>
      <w:r w:rsidRPr="00083C6A">
        <w:rPr>
          <w:rFonts w:ascii="Book Antiqua" w:hAnsi="Book Antiqua" w:cs="Arial"/>
          <w:i/>
          <w:sz w:val="24"/>
          <w:szCs w:val="24"/>
        </w:rPr>
        <w:t>Assessment and Conclusions</w:t>
      </w:r>
    </w:p>
    <w:p w14:paraId="06DFF1E0" w14:textId="77777777" w:rsidR="00B24F90" w:rsidRPr="00083C6A" w:rsidRDefault="00996F7B"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relevant </w:t>
      </w:r>
      <w:r w:rsidR="00D97473" w:rsidRPr="00083C6A">
        <w:rPr>
          <w:rFonts w:ascii="Book Antiqua" w:hAnsi="Book Antiqua" w:cs="Arial"/>
          <w:sz w:val="24"/>
          <w:szCs w:val="24"/>
        </w:rPr>
        <w:t>deportation provisions of the 2002 Act</w:t>
      </w:r>
      <w:r w:rsidRPr="00083C6A">
        <w:rPr>
          <w:rFonts w:ascii="Book Antiqua" w:hAnsi="Book Antiqua" w:cs="Arial"/>
          <w:sz w:val="24"/>
          <w:szCs w:val="24"/>
        </w:rPr>
        <w:t xml:space="preserve"> Section </w:t>
      </w:r>
      <w:r w:rsidR="00B24F90" w:rsidRPr="00083C6A">
        <w:rPr>
          <w:rFonts w:ascii="Book Antiqua" w:hAnsi="Book Antiqua" w:cs="Arial"/>
          <w:sz w:val="24"/>
          <w:szCs w:val="24"/>
        </w:rPr>
        <w:t>117A-C provide:</w:t>
      </w:r>
    </w:p>
    <w:p w14:paraId="63E0BDD7" w14:textId="4B50AE2B" w:rsidR="00B24F90" w:rsidRPr="00083C6A" w:rsidRDefault="00B24F90" w:rsidP="00B10A64">
      <w:pPr>
        <w:shd w:val="clear" w:color="auto" w:fill="FFFFFF"/>
        <w:spacing w:before="120" w:after="0" w:line="240" w:lineRule="auto"/>
        <w:ind w:left="567" w:right="567"/>
        <w:jc w:val="center"/>
        <w:outlineLvl w:val="4"/>
        <w:rPr>
          <w:rStyle w:val="legamendingtext"/>
          <w:rFonts w:ascii="Book Antiqua" w:hAnsi="Book Antiqua" w:cs="Arial"/>
          <w:b/>
          <w:bCs/>
          <w:smallCaps/>
          <w:sz w:val="24"/>
          <w:szCs w:val="24"/>
          <w:lang w:val="en"/>
        </w:rPr>
      </w:pPr>
      <w:r w:rsidRPr="00083C6A">
        <w:rPr>
          <w:rStyle w:val="legamendquote1"/>
          <w:rFonts w:ascii="Book Antiqua" w:hAnsi="Book Antiqua" w:cs="Arial"/>
          <w:smallCaps/>
          <w:sz w:val="24"/>
          <w:szCs w:val="24"/>
          <w:lang w:val="en"/>
        </w:rPr>
        <w:t>“</w:t>
      </w:r>
      <w:r w:rsidRPr="00083C6A">
        <w:rPr>
          <w:rStyle w:val="legamendingtext"/>
          <w:rFonts w:ascii="Book Antiqua" w:hAnsi="Book Antiqua" w:cs="Arial"/>
          <w:b/>
          <w:bCs/>
          <w:smallCaps/>
          <w:sz w:val="24"/>
          <w:szCs w:val="24"/>
          <w:lang w:val="en"/>
        </w:rPr>
        <w:t>PART 5A</w:t>
      </w:r>
    </w:p>
    <w:p w14:paraId="0510C7B8" w14:textId="77777777" w:rsidR="00B24F90" w:rsidRPr="00083C6A" w:rsidRDefault="00B24F90" w:rsidP="00B10A64">
      <w:pPr>
        <w:shd w:val="clear" w:color="auto" w:fill="FFFFFF"/>
        <w:spacing w:before="120" w:after="0" w:line="240" w:lineRule="auto"/>
        <w:ind w:left="567" w:right="567" w:firstLine="283"/>
        <w:jc w:val="center"/>
        <w:outlineLvl w:val="4"/>
        <w:rPr>
          <w:rStyle w:val="legamendingtext"/>
          <w:rFonts w:ascii="Book Antiqua" w:hAnsi="Book Antiqua" w:cs="Arial"/>
          <w:smallCaps/>
          <w:sz w:val="24"/>
          <w:szCs w:val="24"/>
          <w:lang w:val="en"/>
        </w:rPr>
      </w:pPr>
      <w:r w:rsidRPr="00083C6A">
        <w:rPr>
          <w:rStyle w:val="legamendingtext"/>
          <w:rFonts w:ascii="Book Antiqua" w:hAnsi="Book Antiqua" w:cs="Arial"/>
          <w:smallCaps/>
          <w:sz w:val="24"/>
          <w:szCs w:val="24"/>
          <w:lang w:val="en"/>
        </w:rPr>
        <w:t>Article 8 of the ECHR: public interest considerations</w:t>
      </w:r>
    </w:p>
    <w:p w14:paraId="49C2A220" w14:textId="14BADD98" w:rsidR="00B24F90" w:rsidRPr="00083C6A" w:rsidRDefault="00B24F90" w:rsidP="00B10A64">
      <w:pPr>
        <w:shd w:val="clear" w:color="auto" w:fill="FFFFFF"/>
        <w:tabs>
          <w:tab w:val="left" w:pos="1418"/>
        </w:tabs>
        <w:spacing w:before="120" w:after="0" w:line="240" w:lineRule="auto"/>
        <w:ind w:left="567" w:right="567"/>
        <w:jc w:val="both"/>
        <w:outlineLvl w:val="5"/>
        <w:rPr>
          <w:rFonts w:ascii="Book Antiqua" w:hAnsi="Book Antiqua" w:cs="Arial"/>
          <w:b/>
          <w:sz w:val="24"/>
          <w:szCs w:val="24"/>
          <w:lang w:val="en"/>
        </w:rPr>
      </w:pPr>
      <w:r w:rsidRPr="00083C6A">
        <w:rPr>
          <w:rStyle w:val="legamendingtext"/>
          <w:rFonts w:ascii="Book Antiqua" w:hAnsi="Book Antiqua" w:cs="Arial"/>
          <w:b/>
          <w:sz w:val="24"/>
          <w:szCs w:val="24"/>
          <w:lang w:val="en"/>
        </w:rPr>
        <w:t>117A</w:t>
      </w:r>
      <w:r w:rsidR="000E6895" w:rsidRPr="00083C6A">
        <w:rPr>
          <w:rStyle w:val="legamendingtext"/>
          <w:rFonts w:ascii="Book Antiqua" w:hAnsi="Book Antiqua" w:cs="Arial"/>
          <w:b/>
          <w:sz w:val="24"/>
          <w:szCs w:val="24"/>
          <w:lang w:val="en"/>
        </w:rPr>
        <w:tab/>
        <w:t>Application</w:t>
      </w:r>
      <w:r w:rsidRPr="00083C6A">
        <w:rPr>
          <w:rStyle w:val="legamendingtext"/>
          <w:rFonts w:ascii="Book Antiqua" w:hAnsi="Book Antiqua" w:cs="Arial"/>
          <w:b/>
          <w:sz w:val="24"/>
          <w:szCs w:val="24"/>
          <w:lang w:val="en"/>
        </w:rPr>
        <w:t xml:space="preserve"> of this Part</w:t>
      </w:r>
    </w:p>
    <w:p w14:paraId="4AD274F9"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(1)</w:t>
      </w:r>
      <w:r w:rsidRPr="00083C6A">
        <w:rPr>
          <w:rStyle w:val="legamendingtext"/>
          <w:rFonts w:ascii="Book Antiqua" w:hAnsi="Book Antiqua" w:cs="Arial"/>
          <w:color w:val="auto"/>
          <w:sz w:val="24"/>
          <w:szCs w:val="24"/>
          <w:lang w:val="en"/>
        </w:rPr>
        <w:tab/>
        <w:t>This Part applies where a court or tribunal is required to determine whether a decision made under the Immigration Acts—</w:t>
      </w:r>
    </w:p>
    <w:p w14:paraId="06DE5C03" w14:textId="11D9111A"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breaches a person’s right to respect for private and family life under Article 8, and</w:t>
      </w:r>
    </w:p>
    <w:p w14:paraId="1B7C939E" w14:textId="48B760D4"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 xml:space="preserve">as a </w:t>
      </w:r>
      <w:proofErr w:type="gramStart"/>
      <w:r w:rsidRPr="00083C6A">
        <w:rPr>
          <w:rStyle w:val="legamendingtext"/>
          <w:rFonts w:ascii="Book Antiqua" w:hAnsi="Book Antiqua" w:cs="Arial"/>
          <w:color w:val="auto"/>
          <w:sz w:val="24"/>
          <w:szCs w:val="24"/>
          <w:lang w:val="en"/>
        </w:rPr>
        <w:t>result</w:t>
      </w:r>
      <w:proofErr w:type="gramEnd"/>
      <w:r w:rsidRPr="00083C6A">
        <w:rPr>
          <w:rStyle w:val="legamendingtext"/>
          <w:rFonts w:ascii="Book Antiqua" w:hAnsi="Book Antiqua" w:cs="Arial"/>
          <w:color w:val="auto"/>
          <w:sz w:val="24"/>
          <w:szCs w:val="24"/>
          <w:lang w:val="en"/>
        </w:rPr>
        <w:t xml:space="preserve"> would be unlawful under section 6 of the Human Rights Act 1998.</w:t>
      </w:r>
    </w:p>
    <w:p w14:paraId="1537D48A" w14:textId="54FEC399"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(2)</w:t>
      </w:r>
      <w:r w:rsidRPr="00083C6A">
        <w:rPr>
          <w:rStyle w:val="legamendingtext"/>
          <w:rFonts w:ascii="Book Antiqua" w:hAnsi="Book Antiqua" w:cs="Arial"/>
          <w:color w:val="auto"/>
          <w:sz w:val="24"/>
          <w:szCs w:val="24"/>
          <w:lang w:val="en"/>
        </w:rPr>
        <w:tab/>
        <w:t>In considering the public interest question, the court or tribunal must (in particular) have regard—</w:t>
      </w:r>
    </w:p>
    <w:p w14:paraId="19E17832" w14:textId="0913A733"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in all cases, to the considerations listed in section 117B, and</w:t>
      </w:r>
    </w:p>
    <w:p w14:paraId="79CCC345" w14:textId="42B2B211"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lastRenderedPageBreak/>
        <w:t>(b)</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in cases concerning the deportation of foreign criminals, to the considerations listed in section 117C.</w:t>
      </w:r>
    </w:p>
    <w:p w14:paraId="3F6C153E" w14:textId="01E6BDD7" w:rsidR="00B24F90" w:rsidRPr="00083C6A" w:rsidRDefault="00B10A64" w:rsidP="00B10A64">
      <w:pPr>
        <w:pStyle w:val="legclearfix2"/>
        <w:spacing w:before="120" w:after="0" w:line="240" w:lineRule="auto"/>
        <w:ind w:left="1134" w:right="567" w:hanging="567"/>
        <w:jc w:val="both"/>
        <w:rPr>
          <w:rStyle w:val="legamendingtext"/>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(3)</w:t>
      </w:r>
      <w:r w:rsidR="00B24F90" w:rsidRPr="00083C6A">
        <w:rPr>
          <w:rStyle w:val="legamendingtext"/>
          <w:rFonts w:ascii="Book Antiqua" w:hAnsi="Book Antiqua" w:cs="Arial"/>
          <w:color w:val="auto"/>
          <w:sz w:val="24"/>
          <w:szCs w:val="24"/>
          <w:lang w:val="en"/>
        </w:rPr>
        <w:tab/>
        <w:t>In subsection (2), “the public interest question” means the question of whether an interference with a person’s right to respect for private and family life is justified under Article 8(2).</w:t>
      </w:r>
    </w:p>
    <w:p w14:paraId="7E8D8A6F" w14:textId="77777777" w:rsidR="00B24F90" w:rsidRPr="00083C6A" w:rsidRDefault="00B24F90" w:rsidP="00B10A64">
      <w:pPr>
        <w:shd w:val="clear" w:color="auto" w:fill="FFFFFF"/>
        <w:tabs>
          <w:tab w:val="left" w:pos="1418"/>
        </w:tabs>
        <w:spacing w:before="120" w:after="0" w:line="240" w:lineRule="auto"/>
        <w:ind w:left="567" w:right="567"/>
        <w:jc w:val="both"/>
        <w:outlineLvl w:val="5"/>
        <w:rPr>
          <w:rStyle w:val="legamendingtext"/>
        </w:rPr>
      </w:pPr>
      <w:r w:rsidRPr="00083C6A">
        <w:rPr>
          <w:rStyle w:val="legamendingtext"/>
          <w:rFonts w:ascii="Book Antiqua" w:hAnsi="Book Antiqua" w:cs="Arial"/>
          <w:b/>
          <w:sz w:val="24"/>
          <w:szCs w:val="24"/>
          <w:lang w:val="en"/>
        </w:rPr>
        <w:t>117B</w:t>
      </w:r>
      <w:r w:rsidRPr="00083C6A">
        <w:rPr>
          <w:rStyle w:val="legamendingtext"/>
          <w:rFonts w:ascii="Book Antiqua" w:hAnsi="Book Antiqua" w:cs="Arial"/>
          <w:b/>
          <w:sz w:val="24"/>
          <w:szCs w:val="24"/>
          <w:lang w:val="en"/>
        </w:rPr>
        <w:tab/>
        <w:t>Article 8: public interest considerations applicable in all cases</w:t>
      </w:r>
    </w:p>
    <w:p w14:paraId="1704D11E" w14:textId="22ECB149"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(1)</w:t>
      </w:r>
      <w:r w:rsidRPr="00083C6A">
        <w:rPr>
          <w:rStyle w:val="legamendingtext"/>
          <w:rFonts w:ascii="Book Antiqua" w:hAnsi="Book Antiqua" w:cs="Arial"/>
          <w:color w:val="auto"/>
          <w:sz w:val="24"/>
          <w:szCs w:val="24"/>
          <w:lang w:val="en"/>
        </w:rPr>
        <w:tab/>
        <w:t>The maintenance of effective immigration controls is in the public interest.</w:t>
      </w:r>
    </w:p>
    <w:p w14:paraId="2ED72B10"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(2)</w:t>
      </w:r>
      <w:r w:rsidRPr="00083C6A">
        <w:rPr>
          <w:rStyle w:val="legamendingtext"/>
          <w:rFonts w:ascii="Book Antiqua" w:hAnsi="Book Antiqua" w:cs="Arial"/>
          <w:color w:val="auto"/>
          <w:sz w:val="24"/>
          <w:szCs w:val="24"/>
          <w:lang w:val="en"/>
        </w:rPr>
        <w:tab/>
        <w:t xml:space="preserve">It is in the public interest, and </w:t>
      </w:r>
      <w:proofErr w:type="gramStart"/>
      <w:r w:rsidRPr="00083C6A">
        <w:rPr>
          <w:rStyle w:val="legamendingtext"/>
          <w:rFonts w:ascii="Book Antiqua" w:hAnsi="Book Antiqua" w:cs="Arial"/>
          <w:color w:val="auto"/>
          <w:sz w:val="24"/>
          <w:szCs w:val="24"/>
          <w:lang w:val="en"/>
        </w:rPr>
        <w:t>in particular in</w:t>
      </w:r>
      <w:proofErr w:type="gramEnd"/>
      <w:r w:rsidRPr="00083C6A">
        <w:rPr>
          <w:rStyle w:val="legamendingtext"/>
          <w:rFonts w:ascii="Book Antiqua" w:hAnsi="Book Antiqua" w:cs="Arial"/>
          <w:color w:val="auto"/>
          <w:sz w:val="24"/>
          <w:szCs w:val="24"/>
          <w:lang w:val="en"/>
        </w:rPr>
        <w:t xml:space="preserve"> the interests of the economic well-being of the United Kingdom, that persons who seek to enter or remain in the United Kingdom are able to speak English, because persons who can speak English—</w:t>
      </w:r>
    </w:p>
    <w:p w14:paraId="0F9BE360" w14:textId="77777777"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(a)are less of a burden on taxpayers, and</w:t>
      </w:r>
    </w:p>
    <w:p w14:paraId="6A6E9631" w14:textId="77777777"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(b)are better able to integrate into society.</w:t>
      </w:r>
    </w:p>
    <w:p w14:paraId="2F84B81C" w14:textId="594F451B"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(3)</w:t>
      </w:r>
      <w:r w:rsidRPr="00083C6A">
        <w:rPr>
          <w:rStyle w:val="legamendingtext"/>
          <w:rFonts w:ascii="Book Antiqua" w:hAnsi="Book Antiqua" w:cs="Arial"/>
          <w:color w:val="auto"/>
          <w:sz w:val="24"/>
          <w:szCs w:val="24"/>
          <w:lang w:val="en"/>
        </w:rPr>
        <w:tab/>
        <w:t xml:space="preserve">It is in the public interest, and </w:t>
      </w:r>
      <w:proofErr w:type="gramStart"/>
      <w:r w:rsidRPr="00083C6A">
        <w:rPr>
          <w:rStyle w:val="legamendingtext"/>
          <w:rFonts w:ascii="Book Antiqua" w:hAnsi="Book Antiqua" w:cs="Arial"/>
          <w:color w:val="auto"/>
          <w:sz w:val="24"/>
          <w:szCs w:val="24"/>
          <w:lang w:val="en"/>
        </w:rPr>
        <w:t>in particular in</w:t>
      </w:r>
      <w:proofErr w:type="gramEnd"/>
      <w:r w:rsidRPr="00083C6A">
        <w:rPr>
          <w:rStyle w:val="legamendingtext"/>
          <w:rFonts w:ascii="Book Antiqua" w:hAnsi="Book Antiqua" w:cs="Arial"/>
          <w:color w:val="auto"/>
          <w:sz w:val="24"/>
          <w:szCs w:val="24"/>
          <w:lang w:val="en"/>
        </w:rPr>
        <w:t xml:space="preserve"> the interests of the economic well-being of the United Kingdom, that persons who seek to enter or remain in the United Kingdom are financially independent, because such persons—</w:t>
      </w:r>
    </w:p>
    <w:p w14:paraId="1197C9A4" w14:textId="0A77C6E6" w:rsidR="00B24F90" w:rsidRPr="00083C6A" w:rsidRDefault="00B10A64"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Pr="00083C6A">
        <w:rPr>
          <w:rStyle w:val="legamendingtext"/>
          <w:rFonts w:ascii="Book Antiqua" w:hAnsi="Book Antiqua" w:cs="Arial"/>
          <w:color w:val="auto"/>
          <w:sz w:val="24"/>
          <w:szCs w:val="24"/>
          <w:lang w:val="en"/>
        </w:rPr>
        <w:tab/>
      </w:r>
      <w:r w:rsidR="00B24F90" w:rsidRPr="00083C6A">
        <w:rPr>
          <w:rStyle w:val="legamendingtext"/>
          <w:rFonts w:ascii="Book Antiqua" w:hAnsi="Book Antiqua" w:cs="Arial"/>
          <w:color w:val="auto"/>
          <w:sz w:val="24"/>
          <w:szCs w:val="24"/>
          <w:lang w:val="en"/>
        </w:rPr>
        <w:t>are not a burden on taxpayers, and</w:t>
      </w:r>
    </w:p>
    <w:p w14:paraId="071F464A" w14:textId="423CF7C0" w:rsidR="00B24F90" w:rsidRPr="00083C6A" w:rsidRDefault="00B10A64"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w:t>
      </w:r>
      <w:r w:rsidRPr="00083C6A">
        <w:rPr>
          <w:rStyle w:val="legamendingtext"/>
          <w:rFonts w:ascii="Book Antiqua" w:hAnsi="Book Antiqua" w:cs="Arial"/>
          <w:color w:val="auto"/>
          <w:sz w:val="24"/>
          <w:szCs w:val="24"/>
          <w:lang w:val="en"/>
        </w:rPr>
        <w:tab/>
      </w:r>
      <w:r w:rsidR="00B24F90" w:rsidRPr="00083C6A">
        <w:rPr>
          <w:rStyle w:val="legamendingtext"/>
          <w:rFonts w:ascii="Book Antiqua" w:hAnsi="Book Antiqua" w:cs="Arial"/>
          <w:color w:val="auto"/>
          <w:sz w:val="24"/>
          <w:szCs w:val="24"/>
          <w:lang w:val="en"/>
        </w:rPr>
        <w:t>are better able to integrate into society.</w:t>
      </w:r>
    </w:p>
    <w:p w14:paraId="55D830B7" w14:textId="77777777" w:rsidR="00B24F90" w:rsidRPr="00083C6A" w:rsidRDefault="00B24F90" w:rsidP="00B10A64">
      <w:pPr>
        <w:pStyle w:val="legclearfix2"/>
        <w:tabs>
          <w:tab w:val="left" w:pos="1701"/>
        </w:tabs>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(4)</w:t>
      </w:r>
      <w:r w:rsidRPr="00083C6A">
        <w:rPr>
          <w:rStyle w:val="legamendingtext"/>
          <w:rFonts w:ascii="Book Antiqua" w:hAnsi="Book Antiqua" w:cs="Arial"/>
          <w:color w:val="auto"/>
          <w:sz w:val="24"/>
          <w:szCs w:val="24"/>
          <w:lang w:val="en"/>
        </w:rPr>
        <w:tab/>
        <w:t>Little weight should be given to—</w:t>
      </w:r>
    </w:p>
    <w:p w14:paraId="61D1C049" w14:textId="4817F879" w:rsidR="00B24F90" w:rsidRPr="00083C6A" w:rsidRDefault="00B10A64"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Pr="00083C6A">
        <w:rPr>
          <w:rStyle w:val="legamendingtext"/>
          <w:rFonts w:ascii="Book Antiqua" w:hAnsi="Book Antiqua" w:cs="Arial"/>
          <w:color w:val="auto"/>
          <w:sz w:val="24"/>
          <w:szCs w:val="24"/>
          <w:lang w:val="en"/>
        </w:rPr>
        <w:tab/>
      </w:r>
      <w:r w:rsidR="00B24F90" w:rsidRPr="00083C6A">
        <w:rPr>
          <w:rStyle w:val="legamendingtext"/>
          <w:rFonts w:ascii="Book Antiqua" w:hAnsi="Book Antiqua" w:cs="Arial"/>
          <w:color w:val="auto"/>
          <w:sz w:val="24"/>
          <w:szCs w:val="24"/>
          <w:lang w:val="en"/>
        </w:rPr>
        <w:t>a private life, or</w:t>
      </w:r>
    </w:p>
    <w:p w14:paraId="46CA8843" w14:textId="0F84D53C" w:rsidR="00B24F90" w:rsidRPr="00083C6A" w:rsidRDefault="00B10A64"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w:t>
      </w:r>
      <w:r w:rsidRPr="00083C6A">
        <w:rPr>
          <w:rStyle w:val="legamendingtext"/>
          <w:rFonts w:ascii="Book Antiqua" w:hAnsi="Book Antiqua" w:cs="Arial"/>
          <w:color w:val="auto"/>
          <w:sz w:val="24"/>
          <w:szCs w:val="24"/>
          <w:lang w:val="en"/>
        </w:rPr>
        <w:tab/>
      </w:r>
      <w:r w:rsidR="00B24F90" w:rsidRPr="00083C6A">
        <w:rPr>
          <w:rStyle w:val="legamendingtext"/>
          <w:rFonts w:ascii="Book Antiqua" w:hAnsi="Book Antiqua" w:cs="Arial"/>
          <w:color w:val="auto"/>
          <w:sz w:val="24"/>
          <w:szCs w:val="24"/>
          <w:lang w:val="en"/>
        </w:rPr>
        <w:t>a relationship formed with a qualifying partner,</w:t>
      </w:r>
    </w:p>
    <w:p w14:paraId="62DA40B7" w14:textId="77777777" w:rsidR="00B24F90" w:rsidRPr="00083C6A" w:rsidRDefault="00B24F90" w:rsidP="00B10A64">
      <w:pPr>
        <w:pStyle w:val="legrhs1"/>
        <w:spacing w:before="120" w:after="0" w:line="240" w:lineRule="auto"/>
        <w:ind w:left="1134" w:right="567"/>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that is established by a person at a time when the person is in the United Kingdom unlawfully.</w:t>
      </w:r>
      <w:r w:rsidRPr="00083C6A">
        <w:rPr>
          <w:rFonts w:ascii="Book Antiqua" w:hAnsi="Book Antiqua" w:cs="Arial"/>
          <w:color w:val="auto"/>
          <w:sz w:val="24"/>
          <w:szCs w:val="24"/>
          <w:lang w:val="en"/>
        </w:rPr>
        <w:t xml:space="preserve"> </w:t>
      </w:r>
    </w:p>
    <w:p w14:paraId="69F1862B"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(5)</w:t>
      </w:r>
      <w:r w:rsidRPr="00083C6A">
        <w:rPr>
          <w:rStyle w:val="legamendingtext"/>
          <w:rFonts w:ascii="Book Antiqua" w:hAnsi="Book Antiqua" w:cs="Arial"/>
          <w:color w:val="auto"/>
          <w:sz w:val="24"/>
          <w:szCs w:val="24"/>
          <w:lang w:val="en"/>
        </w:rPr>
        <w:tab/>
        <w:t>Little weight should be given to a private life established by a person at a time when the person’s immigration status is precarious.</w:t>
      </w:r>
    </w:p>
    <w:p w14:paraId="71B509B8"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(6)</w:t>
      </w:r>
      <w:r w:rsidRPr="00083C6A">
        <w:rPr>
          <w:rStyle w:val="legamendingtext"/>
          <w:rFonts w:ascii="Book Antiqua" w:hAnsi="Book Antiqua" w:cs="Arial"/>
          <w:color w:val="auto"/>
          <w:sz w:val="24"/>
          <w:szCs w:val="24"/>
          <w:lang w:val="en"/>
        </w:rPr>
        <w:tab/>
        <w:t>In the case of a person who is not liable to deportation, the public interest does not require the person’s removal where—</w:t>
      </w:r>
    </w:p>
    <w:p w14:paraId="4942B97A" w14:textId="5F79B6D5"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the person has a genuine and subsisting parental relationship with a qualifying child, and</w:t>
      </w:r>
    </w:p>
    <w:p w14:paraId="1FD24AE0" w14:textId="1314D043" w:rsidR="00B24F90" w:rsidRPr="00083C6A" w:rsidRDefault="00B24F90" w:rsidP="00B10A64">
      <w:pPr>
        <w:pStyle w:val="legclearfix2"/>
        <w:spacing w:before="120" w:after="0" w:line="240" w:lineRule="auto"/>
        <w:ind w:left="1701" w:right="567" w:hanging="567"/>
        <w:jc w:val="both"/>
        <w:rPr>
          <w:rStyle w:val="legamendingtext"/>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it would not be reasonable to expect the child to leave the United Kingdom.</w:t>
      </w:r>
    </w:p>
    <w:p w14:paraId="4BCF6AFF" w14:textId="77777777" w:rsidR="00B24F90" w:rsidRPr="00083C6A" w:rsidRDefault="00B24F90" w:rsidP="00B10A64">
      <w:pPr>
        <w:shd w:val="clear" w:color="auto" w:fill="FFFFFF"/>
        <w:spacing w:before="120" w:after="0" w:line="240" w:lineRule="auto"/>
        <w:ind w:left="1418" w:right="567" w:hanging="851"/>
        <w:jc w:val="both"/>
        <w:outlineLvl w:val="5"/>
        <w:rPr>
          <w:rStyle w:val="legamendingtext"/>
        </w:rPr>
      </w:pPr>
      <w:r w:rsidRPr="00083C6A">
        <w:rPr>
          <w:rStyle w:val="legamendingtext"/>
          <w:rFonts w:ascii="Book Antiqua" w:hAnsi="Book Antiqua" w:cs="Arial"/>
          <w:b/>
          <w:sz w:val="24"/>
          <w:szCs w:val="24"/>
          <w:lang w:val="en"/>
        </w:rPr>
        <w:t>117C</w:t>
      </w:r>
      <w:r w:rsidRPr="00083C6A">
        <w:rPr>
          <w:rStyle w:val="legamendingtext"/>
          <w:rFonts w:ascii="Book Antiqua" w:hAnsi="Book Antiqua" w:cs="Arial"/>
          <w:b/>
          <w:sz w:val="24"/>
          <w:szCs w:val="24"/>
          <w:lang w:val="en"/>
        </w:rPr>
        <w:tab/>
        <w:t>Article 8: additional considerations in cases involving foreign criminals</w:t>
      </w:r>
    </w:p>
    <w:p w14:paraId="6F489625" w14:textId="4ED3BACF"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(1)</w:t>
      </w:r>
      <w:r w:rsidRPr="00083C6A">
        <w:rPr>
          <w:rStyle w:val="legamendingtext"/>
          <w:rFonts w:ascii="Book Antiqua" w:hAnsi="Book Antiqua" w:cs="Arial"/>
          <w:color w:val="auto"/>
          <w:sz w:val="24"/>
          <w:szCs w:val="24"/>
          <w:lang w:val="en"/>
        </w:rPr>
        <w:tab/>
        <w:t>The deportation of foreign criminals is in the public interest.</w:t>
      </w:r>
    </w:p>
    <w:p w14:paraId="4EB4FDA8" w14:textId="6E3D5100"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(2)</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The more serious the offence committed by a foreign criminal, the greater is the public interest in deportation of the criminal.</w:t>
      </w:r>
    </w:p>
    <w:p w14:paraId="1073E562" w14:textId="731ACF3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lastRenderedPageBreak/>
        <w:t>(3)</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In the case of a foreign criminal (“C”) who has not been sentenced to a period of imprisonment of four years or more, the public interest requires C’s deportation unless Exception 1 or Exception 2 applies.</w:t>
      </w:r>
    </w:p>
    <w:p w14:paraId="4933A1CA" w14:textId="1F87E5E6"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(4)</w:t>
      </w:r>
      <w:r w:rsidRPr="00083C6A">
        <w:rPr>
          <w:rStyle w:val="legamendingtext"/>
          <w:rFonts w:ascii="Book Antiqua" w:hAnsi="Book Antiqua" w:cs="Arial"/>
          <w:color w:val="auto"/>
          <w:sz w:val="24"/>
          <w:szCs w:val="24"/>
          <w:lang w:val="en"/>
        </w:rPr>
        <w:tab/>
        <w:t>Exception 1 applies where—</w:t>
      </w:r>
    </w:p>
    <w:p w14:paraId="5CD29D45" w14:textId="53C656A9"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(a)</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C has been lawfully resident in the United Kingdom for most of C’s life,</w:t>
      </w:r>
    </w:p>
    <w:p w14:paraId="16E84692" w14:textId="336DAC8A"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(b)</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C is socially and culturally integrated in the United Kingdom, and</w:t>
      </w:r>
    </w:p>
    <w:p w14:paraId="67E81518" w14:textId="71799932" w:rsidR="00B24F90" w:rsidRPr="00083C6A" w:rsidRDefault="00B24F90" w:rsidP="00B10A64">
      <w:pPr>
        <w:pStyle w:val="legclearfix2"/>
        <w:spacing w:before="120" w:after="0" w:line="240" w:lineRule="auto"/>
        <w:ind w:left="1701"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(c)</w:t>
      </w:r>
      <w:r w:rsidR="00B10A64" w:rsidRPr="00083C6A">
        <w:rPr>
          <w:rStyle w:val="legamendingtext"/>
          <w:rFonts w:ascii="Book Antiqua" w:hAnsi="Book Antiqua" w:cs="Arial"/>
          <w:color w:val="auto"/>
          <w:sz w:val="24"/>
          <w:szCs w:val="24"/>
          <w:lang w:val="en"/>
        </w:rPr>
        <w:tab/>
      </w:r>
      <w:r w:rsidRPr="00083C6A">
        <w:rPr>
          <w:rStyle w:val="legamendingtext"/>
          <w:rFonts w:ascii="Book Antiqua" w:hAnsi="Book Antiqua" w:cs="Arial"/>
          <w:color w:val="auto"/>
          <w:sz w:val="24"/>
          <w:szCs w:val="24"/>
          <w:lang w:val="en"/>
        </w:rPr>
        <w:t>there would be very significant obstacles to C’s integration into the country to which C is proposed to be deported.</w:t>
      </w:r>
    </w:p>
    <w:p w14:paraId="4D7E338D"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(5)</w:t>
      </w:r>
      <w:r w:rsidRPr="00083C6A">
        <w:rPr>
          <w:rStyle w:val="legamendingtext"/>
          <w:rFonts w:ascii="Book Antiqua" w:hAnsi="Book Antiqua" w:cs="Arial"/>
          <w:color w:val="auto"/>
          <w:sz w:val="24"/>
          <w:szCs w:val="24"/>
          <w:lang w:val="en"/>
        </w:rPr>
        <w:tab/>
        <w:t>Exception 2 applies where C has a genuine and subsisting relationship with a qualifying partner, or a genuine and subsisting parental relationship with a qualifying child, and the effect of C’s deportation on the partner or child would be unduly harsh.</w:t>
      </w:r>
    </w:p>
    <w:p w14:paraId="7D8C8F65" w14:textId="77777777" w:rsidR="00B24F90" w:rsidRPr="00083C6A" w:rsidRDefault="00B24F90" w:rsidP="00B10A64">
      <w:pPr>
        <w:pStyle w:val="legclearfix2"/>
        <w:spacing w:before="120" w:after="0" w:line="240" w:lineRule="auto"/>
        <w:ind w:left="1134" w:right="567" w:hanging="567"/>
        <w:jc w:val="both"/>
        <w:rPr>
          <w:rFonts w:ascii="Book Antiqua" w:hAnsi="Book Antiqua" w:cs="Arial"/>
          <w:color w:val="auto"/>
          <w:sz w:val="24"/>
          <w:szCs w:val="24"/>
          <w:lang w:val="en"/>
        </w:rPr>
      </w:pPr>
      <w:r w:rsidRPr="00083C6A">
        <w:rPr>
          <w:rStyle w:val="legamendingtext"/>
          <w:rFonts w:ascii="Book Antiqua" w:hAnsi="Book Antiqua" w:cs="Arial"/>
          <w:color w:val="auto"/>
          <w:sz w:val="24"/>
          <w:szCs w:val="24"/>
          <w:lang w:val="en"/>
        </w:rPr>
        <w:t>(6)</w:t>
      </w:r>
      <w:r w:rsidRPr="00083C6A">
        <w:rPr>
          <w:rStyle w:val="legamendingtext"/>
          <w:rFonts w:ascii="Book Antiqua" w:hAnsi="Book Antiqua" w:cs="Arial"/>
          <w:color w:val="auto"/>
          <w:sz w:val="24"/>
          <w:szCs w:val="24"/>
          <w:lang w:val="en"/>
        </w:rPr>
        <w:tab/>
        <w:t>In the case of a foreign criminal who has been sentenced to a period of imprisonment of at least four years, the public interest requires deportation unless there are very compelling circumstances, over and above those described in Exceptions 1 and 2.</w:t>
      </w:r>
    </w:p>
    <w:p w14:paraId="14661A78" w14:textId="77777777" w:rsidR="00B24F90" w:rsidRPr="00083C6A" w:rsidRDefault="00B24F90" w:rsidP="00B10A64">
      <w:pPr>
        <w:spacing w:before="120" w:after="0" w:line="240" w:lineRule="auto"/>
        <w:ind w:left="1134" w:right="567" w:hanging="567"/>
        <w:jc w:val="both"/>
        <w:rPr>
          <w:rFonts w:ascii="Book Antiqua" w:hAnsi="Book Antiqua" w:cs="Arial"/>
          <w:sz w:val="24"/>
          <w:szCs w:val="24"/>
          <w:lang w:val="en"/>
        </w:rPr>
      </w:pPr>
      <w:r w:rsidRPr="00083C6A">
        <w:rPr>
          <w:rStyle w:val="legamendingtext"/>
          <w:rFonts w:ascii="Book Antiqua" w:hAnsi="Book Antiqua" w:cs="Arial"/>
          <w:sz w:val="24"/>
          <w:szCs w:val="24"/>
          <w:lang w:val="en"/>
        </w:rPr>
        <w:t>(7)</w:t>
      </w:r>
      <w:r w:rsidRPr="00083C6A">
        <w:rPr>
          <w:rStyle w:val="legamendingtext"/>
          <w:rFonts w:ascii="Book Antiqua" w:hAnsi="Book Antiqua" w:cs="Arial"/>
          <w:sz w:val="24"/>
          <w:szCs w:val="24"/>
          <w:lang w:val="en"/>
        </w:rPr>
        <w:tab/>
        <w:t xml:space="preserve">The considerations in subsections </w:t>
      </w:r>
      <w:hyperlink r:id="rId9" w:anchor="p00130" w:tooltip="Go to 19 Article 8 of the ECHR: public interest considerations Article 8: additional considerations in cases involving foreign criminals (1) in PART 2" w:history="1">
        <w:r w:rsidRPr="00083C6A">
          <w:rPr>
            <w:rStyle w:val="legamendingtext"/>
            <w:rFonts w:ascii="Book Antiqua" w:hAnsi="Book Antiqua" w:cs="Arial"/>
            <w:sz w:val="24"/>
            <w:szCs w:val="24"/>
            <w:lang w:val="en"/>
          </w:rPr>
          <w:t>(1)</w:t>
        </w:r>
      </w:hyperlink>
      <w:r w:rsidRPr="00083C6A">
        <w:rPr>
          <w:rStyle w:val="legamendingtext"/>
          <w:rFonts w:ascii="Book Antiqua" w:hAnsi="Book Antiqua" w:cs="Arial"/>
          <w:sz w:val="24"/>
          <w:szCs w:val="24"/>
          <w:lang w:val="en"/>
        </w:rPr>
        <w:t xml:space="preserve"> to </w:t>
      </w:r>
      <w:hyperlink r:id="rId10" w:anchor="p00131" w:tooltip="Go to 19 Article 8 of the ECHR: public interest considerations Article 8: additional considerations in cases involving foreign criminals (6) in PART 2" w:history="1">
        <w:r w:rsidRPr="00083C6A">
          <w:rPr>
            <w:rStyle w:val="legamendingtext"/>
            <w:rFonts w:ascii="Book Antiqua" w:hAnsi="Book Antiqua" w:cs="Arial"/>
            <w:sz w:val="24"/>
            <w:szCs w:val="24"/>
            <w:lang w:val="en"/>
          </w:rPr>
          <w:t>(6)</w:t>
        </w:r>
      </w:hyperlink>
      <w:r w:rsidRPr="00083C6A">
        <w:rPr>
          <w:rStyle w:val="legamendingtext"/>
          <w:rFonts w:ascii="Book Antiqua" w:hAnsi="Book Antiqua" w:cs="Arial"/>
          <w:sz w:val="24"/>
          <w:szCs w:val="24"/>
          <w:lang w:val="en"/>
        </w:rPr>
        <w:t xml:space="preserve"> are to be taken into account where a court or tribunal is considering a decision to deport a foreign criminal only to the extent that the reason for the decision was the offence or offences for which the criminal has been convicted…”</w:t>
      </w:r>
    </w:p>
    <w:p w14:paraId="2C121BFA" w14:textId="77777777" w:rsidR="00B24F90" w:rsidRPr="00083C6A" w:rsidRDefault="00B24F90"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applicable Immigration Rules are paragraphs 398 and 399.  </w:t>
      </w:r>
      <w:r w:rsidR="00996F7B" w:rsidRPr="00083C6A">
        <w:rPr>
          <w:rFonts w:ascii="Book Antiqua" w:hAnsi="Book Antiqua" w:cs="Arial"/>
          <w:sz w:val="24"/>
          <w:szCs w:val="24"/>
        </w:rPr>
        <w:t xml:space="preserve">They provide - </w:t>
      </w:r>
    </w:p>
    <w:p w14:paraId="4DC80A01" w14:textId="1C1E7BF7" w:rsidR="00B24F90" w:rsidRPr="00083C6A" w:rsidRDefault="00B24F90" w:rsidP="00083C6A">
      <w:pPr>
        <w:tabs>
          <w:tab w:val="left" w:pos="1985"/>
        </w:tabs>
        <w:spacing w:before="120" w:after="0" w:line="240" w:lineRule="auto"/>
        <w:ind w:left="1134" w:right="567"/>
        <w:jc w:val="both"/>
        <w:rPr>
          <w:rFonts w:ascii="Book Antiqua" w:eastAsia="Times New Roman" w:hAnsi="Book Antiqua"/>
          <w:sz w:val="24"/>
          <w:szCs w:val="24"/>
          <w:lang w:val="en" w:eastAsia="en-GB"/>
        </w:rPr>
      </w:pPr>
      <w:r w:rsidRPr="00083C6A">
        <w:rPr>
          <w:rFonts w:ascii="Book Antiqua" w:eastAsia="Times New Roman" w:hAnsi="Book Antiqua"/>
          <w:b/>
          <w:sz w:val="24"/>
          <w:szCs w:val="24"/>
          <w:lang w:val="en" w:eastAsia="en-GB"/>
        </w:rPr>
        <w:t>398.</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Where a person claims that their deportation would be contrary to the UK’s obligations under Article 8 of the Human Rights Convention, and</w:t>
      </w:r>
    </w:p>
    <w:p w14:paraId="0E34AD72" w14:textId="47E178D5"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(a)</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deportation of the person from the UK is conducive to the public good and in the public interest because they have been convicted of an offence for which they have been sentenced to a period of imprisonment of at least 4 years;</w:t>
      </w:r>
    </w:p>
    <w:p w14:paraId="15EEA32B" w14:textId="26158412"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(b)</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deportation of the person from the UK is conducive to the public good and in the public interest because they have been convicted of an offence for which they have been sentenced to a period of imprisonment of less than 4 years but at least 12 months; or</w:t>
      </w:r>
    </w:p>
    <w:p w14:paraId="7EF6574C" w14:textId="3D4C369D"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(c)</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14:paraId="4B800508" w14:textId="66A7852D" w:rsidR="00B24F90" w:rsidRPr="00083C6A" w:rsidRDefault="00B24F90" w:rsidP="00083C6A">
      <w:pPr>
        <w:tabs>
          <w:tab w:val="left" w:pos="1985"/>
        </w:tabs>
        <w:spacing w:before="120" w:after="0" w:line="240" w:lineRule="auto"/>
        <w:ind w:left="1134" w:right="567"/>
        <w:jc w:val="both"/>
        <w:rPr>
          <w:rFonts w:ascii="Book Antiqua" w:eastAsia="Times New Roman" w:hAnsi="Book Antiqua"/>
          <w:sz w:val="24"/>
          <w:szCs w:val="24"/>
          <w:lang w:val="en" w:eastAsia="en-GB"/>
        </w:rPr>
      </w:pPr>
      <w:r w:rsidRPr="00083C6A">
        <w:rPr>
          <w:rFonts w:ascii="Book Antiqua" w:eastAsia="Times New Roman" w:hAnsi="Book Antiqua"/>
          <w:b/>
          <w:sz w:val="24"/>
          <w:szCs w:val="24"/>
          <w:lang w:val="en" w:eastAsia="en-GB"/>
        </w:rPr>
        <w:lastRenderedPageBreak/>
        <w:t>399.</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This paragraph applies where paragraph 398 (b) or (c) applies if –</w:t>
      </w:r>
    </w:p>
    <w:p w14:paraId="094DD8A7" w14:textId="60A503BB"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(a)</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person has a genuine and subsisting parental relationship with a child under the age of 18 years who is in the UK, and</w:t>
      </w:r>
    </w:p>
    <w:p w14:paraId="0A7D42DB" w14:textId="3D3863F4"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w:t>
      </w:r>
      <w:proofErr w:type="spellStart"/>
      <w:r w:rsidRPr="00083C6A">
        <w:rPr>
          <w:rFonts w:ascii="Book Antiqua" w:eastAsia="Times New Roman" w:hAnsi="Book Antiqua"/>
          <w:sz w:val="24"/>
          <w:szCs w:val="24"/>
          <w:lang w:val="en" w:eastAsia="en-GB"/>
        </w:rPr>
        <w:t>i</w:t>
      </w:r>
      <w:proofErr w:type="spellEnd"/>
      <w:r w:rsidRPr="00083C6A">
        <w:rPr>
          <w:rFonts w:ascii="Book Antiqua" w:eastAsia="Times New Roman" w:hAnsi="Book Antiqua"/>
          <w:sz w:val="24"/>
          <w:szCs w:val="24"/>
          <w:lang w:val="en" w:eastAsia="en-GB"/>
        </w:rPr>
        <w:t>)</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child is a British Citizen; or</w:t>
      </w:r>
    </w:p>
    <w:p w14:paraId="027A8A47" w14:textId="35D233F5"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(ii)</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child has lived in the UK continuously for at least the 7 years immediately preceding the date of the immigration decision; and in either case</w:t>
      </w:r>
    </w:p>
    <w:p w14:paraId="32177A8B" w14:textId="40B3F737"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(iii)</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it would be unduly harsh for the child to live in the country to which the person is to be deported; and</w:t>
      </w:r>
    </w:p>
    <w:p w14:paraId="49C4FB8B" w14:textId="77A48C61"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(iv)</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 xml:space="preserve">it would be unduly harsh for the child to remain in the UK without the person who is to be deported; or </w:t>
      </w:r>
    </w:p>
    <w:p w14:paraId="24F2D432" w14:textId="2B94622B"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(b)</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person has a genuine and subsisting relationship with a partner who is in the UK and is a British Citizen or settled in the UK, and</w:t>
      </w:r>
    </w:p>
    <w:p w14:paraId="12C34DB2" w14:textId="188F7CE4"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w:t>
      </w:r>
      <w:proofErr w:type="spellStart"/>
      <w:r w:rsidRPr="00083C6A">
        <w:rPr>
          <w:rFonts w:ascii="Book Antiqua" w:eastAsia="Times New Roman" w:hAnsi="Book Antiqua"/>
          <w:sz w:val="24"/>
          <w:szCs w:val="24"/>
          <w:lang w:val="en" w:eastAsia="en-GB"/>
        </w:rPr>
        <w:t>i</w:t>
      </w:r>
      <w:proofErr w:type="spellEnd"/>
      <w:r w:rsidRPr="00083C6A">
        <w:rPr>
          <w:rFonts w:ascii="Book Antiqua" w:eastAsia="Times New Roman" w:hAnsi="Book Antiqua"/>
          <w:sz w:val="24"/>
          <w:szCs w:val="24"/>
          <w:lang w:val="en" w:eastAsia="en-GB"/>
        </w:rPr>
        <w:t>)</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relationship was formed at a time when the person (deportee) was in the UK lawfully and their immigration status was not precarious; and</w:t>
      </w:r>
    </w:p>
    <w:p w14:paraId="69885CBC" w14:textId="22FB4E51"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(ii)</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it would be unduly harsh for that partner to live in the country to which the person is to be deported, because of compelling circumstances over and above those described in paragraph EX.2. of Appendix FM; and</w:t>
      </w:r>
    </w:p>
    <w:p w14:paraId="2F5A858B" w14:textId="58C5EDCE" w:rsidR="00B24F90" w:rsidRPr="00083C6A" w:rsidRDefault="00B24F90" w:rsidP="00083C6A">
      <w:pPr>
        <w:spacing w:before="120" w:after="0" w:line="240" w:lineRule="auto"/>
        <w:ind w:left="2268"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(iii)</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it would be unduly harsh for that partner to remain in the UK without the person who is to be deported.</w:t>
      </w:r>
    </w:p>
    <w:p w14:paraId="3276230A" w14:textId="230E6D66" w:rsidR="00B24F90" w:rsidRPr="00083C6A" w:rsidRDefault="00B24F90" w:rsidP="00083C6A">
      <w:pPr>
        <w:tabs>
          <w:tab w:val="left" w:pos="1985"/>
        </w:tabs>
        <w:spacing w:before="120" w:after="0" w:line="240" w:lineRule="auto"/>
        <w:ind w:left="1134" w:right="567"/>
        <w:jc w:val="both"/>
        <w:rPr>
          <w:rFonts w:ascii="Book Antiqua" w:eastAsia="Times New Roman" w:hAnsi="Book Antiqua"/>
          <w:sz w:val="24"/>
          <w:szCs w:val="24"/>
          <w:lang w:val="en" w:eastAsia="en-GB"/>
        </w:rPr>
      </w:pPr>
      <w:r w:rsidRPr="00083C6A">
        <w:rPr>
          <w:rFonts w:ascii="Book Antiqua" w:eastAsia="Times New Roman" w:hAnsi="Book Antiqua"/>
          <w:b/>
          <w:sz w:val="24"/>
          <w:szCs w:val="24"/>
          <w:lang w:val="en" w:eastAsia="en-GB"/>
        </w:rPr>
        <w:t>399A.</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This paragraph applies where paragraph 398(b) or (c) applies if –</w:t>
      </w:r>
    </w:p>
    <w:p w14:paraId="792AF2CC" w14:textId="5D510C60"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(a)</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 person has been lawfully resident in the UK for most of his life; and</w:t>
      </w:r>
    </w:p>
    <w:p w14:paraId="7FB176D7" w14:textId="43F53575"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(b)</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 xml:space="preserve">he is socially and culturally integrated in the UK; and </w:t>
      </w:r>
    </w:p>
    <w:p w14:paraId="56290453" w14:textId="403AF079" w:rsidR="00B24F90" w:rsidRPr="00083C6A" w:rsidRDefault="00B24F90" w:rsidP="00083C6A">
      <w:pPr>
        <w:spacing w:before="120" w:after="0" w:line="240" w:lineRule="auto"/>
        <w:ind w:left="1701" w:right="567" w:hanging="567"/>
        <w:jc w:val="both"/>
        <w:rPr>
          <w:rFonts w:ascii="Book Antiqua" w:eastAsia="Times New Roman" w:hAnsi="Book Antiqua"/>
          <w:sz w:val="24"/>
          <w:szCs w:val="24"/>
          <w:lang w:val="en" w:eastAsia="en-GB"/>
        </w:rPr>
      </w:pPr>
      <w:r w:rsidRPr="00083C6A">
        <w:rPr>
          <w:rFonts w:ascii="Book Antiqua" w:eastAsia="Times New Roman" w:hAnsi="Book Antiqua"/>
          <w:sz w:val="24"/>
          <w:szCs w:val="24"/>
          <w:lang w:val="en" w:eastAsia="en-GB"/>
        </w:rPr>
        <w:t>(c)</w:t>
      </w:r>
      <w:r w:rsidR="00083C6A">
        <w:rPr>
          <w:rFonts w:ascii="Book Antiqua" w:eastAsia="Times New Roman" w:hAnsi="Book Antiqua"/>
          <w:sz w:val="24"/>
          <w:szCs w:val="24"/>
          <w:lang w:val="en" w:eastAsia="en-GB"/>
        </w:rPr>
        <w:tab/>
      </w:r>
      <w:r w:rsidRPr="00083C6A">
        <w:rPr>
          <w:rFonts w:ascii="Book Antiqua" w:eastAsia="Times New Roman" w:hAnsi="Book Antiqua"/>
          <w:sz w:val="24"/>
          <w:szCs w:val="24"/>
          <w:lang w:val="en" w:eastAsia="en-GB"/>
        </w:rPr>
        <w:t>there would be very significant obstacles to his integration into the country to which it is proposed he is deported.</w:t>
      </w:r>
    </w:p>
    <w:p w14:paraId="7E97C57B" w14:textId="77777777" w:rsidR="00B24F90" w:rsidRPr="00083C6A" w:rsidRDefault="00B24F90" w:rsidP="00083C6A">
      <w:pPr>
        <w:spacing w:before="160" w:after="0" w:line="240" w:lineRule="auto"/>
        <w:ind w:left="567" w:right="567"/>
        <w:jc w:val="both"/>
        <w:rPr>
          <w:rFonts w:ascii="Book Antiqua" w:hAnsi="Book Antiqua" w:cs="Arial"/>
          <w:sz w:val="24"/>
          <w:szCs w:val="24"/>
          <w:lang w:val="en"/>
        </w:rPr>
      </w:pPr>
      <w:r w:rsidRPr="00083C6A">
        <w:rPr>
          <w:rFonts w:ascii="Book Antiqua" w:hAnsi="Book Antiqua" w:cs="Arial"/>
          <w:sz w:val="24"/>
          <w:szCs w:val="24"/>
        </w:rPr>
        <w:t>Lastly, in terms of the Rules, paragraph 398</w:t>
      </w:r>
      <w:r w:rsidRPr="00083C6A">
        <w:rPr>
          <w:rFonts w:ascii="Book Antiqua" w:hAnsi="Book Antiqua" w:cs="Arial"/>
          <w:sz w:val="24"/>
          <w:szCs w:val="24"/>
          <w:lang w:val="en"/>
        </w:rPr>
        <w:t>(c) states that:</w:t>
      </w:r>
    </w:p>
    <w:p w14:paraId="1F7FFE04" w14:textId="77777777" w:rsidR="00B24F90" w:rsidRPr="00083C6A" w:rsidRDefault="00B24F90" w:rsidP="00083C6A">
      <w:pPr>
        <w:spacing w:before="120" w:after="0" w:line="240" w:lineRule="auto"/>
        <w:ind w:left="1134" w:right="567"/>
        <w:jc w:val="both"/>
        <w:rPr>
          <w:rFonts w:ascii="Book Antiqua" w:hAnsi="Book Antiqua" w:cs="Arial"/>
          <w:sz w:val="24"/>
          <w:szCs w:val="24"/>
          <w:lang w:val="en"/>
        </w:rPr>
      </w:pPr>
      <w:r w:rsidRPr="00083C6A">
        <w:rPr>
          <w:rFonts w:ascii="Book Antiqua" w:hAnsi="Book Antiqua" w:cs="Arial"/>
          <w:sz w:val="24"/>
          <w:szCs w:val="24"/>
          <w:lang w:val="en"/>
        </w:rPr>
        <w:t xml:space="preserve">“…the Secretary of State in assessing that claim will consider whether paragraph 399 or 399A applies and, if it does not, the </w:t>
      </w:r>
      <w:bookmarkStart w:id="1" w:name="_Hlk519317243"/>
      <w:r w:rsidRPr="00083C6A">
        <w:rPr>
          <w:rFonts w:ascii="Book Antiqua" w:hAnsi="Book Antiqua" w:cs="Arial"/>
          <w:sz w:val="24"/>
          <w:szCs w:val="24"/>
          <w:lang w:val="en"/>
        </w:rPr>
        <w:t xml:space="preserve">public interest in deportation will only be outweighed by other factors where there are very compelling circumstances over and above those described </w:t>
      </w:r>
      <w:bookmarkEnd w:id="1"/>
      <w:r w:rsidRPr="00083C6A">
        <w:rPr>
          <w:rFonts w:ascii="Book Antiqua" w:hAnsi="Book Antiqua" w:cs="Arial"/>
          <w:sz w:val="24"/>
          <w:szCs w:val="24"/>
          <w:lang w:val="en"/>
        </w:rPr>
        <w:t>in paragraphs 399 and 399A.”</w:t>
      </w:r>
    </w:p>
    <w:p w14:paraId="0C409C86" w14:textId="05BE0362" w:rsidR="004E02C2" w:rsidRPr="00083C6A" w:rsidRDefault="004E02C2"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The appellant is a foreign criminal who has been sentenced to a period of imprisonment for at least 4 years.  The tribunal must (in particular) have regard to the statutory provision that the public interest requires his deportation unless there are very compelling circumstances over and above those describe</w:t>
      </w:r>
      <w:r w:rsidR="00083C6A">
        <w:rPr>
          <w:rFonts w:ascii="Book Antiqua" w:hAnsi="Book Antiqua" w:cs="Arial"/>
          <w:sz w:val="24"/>
          <w:szCs w:val="24"/>
        </w:rPr>
        <w:t>d in Exceptions 1 and 2.</w:t>
      </w:r>
    </w:p>
    <w:p w14:paraId="25C17595" w14:textId="77777777" w:rsidR="00012809" w:rsidRPr="00083C6A" w:rsidRDefault="008E1311"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lastRenderedPageBreak/>
        <w:t xml:space="preserve">It is relevant to set out some more detail of the history of the appellant’s life in the UK.  As was noted and summarised in paragraph 22 of the judgment of Underhill LJ in the Court of Appeal in this case, there was a </w:t>
      </w:r>
      <w:proofErr w:type="gramStart"/>
      <w:r w:rsidRPr="00083C6A">
        <w:rPr>
          <w:rFonts w:ascii="Book Antiqua" w:hAnsi="Book Antiqua" w:cs="Arial"/>
          <w:sz w:val="24"/>
          <w:szCs w:val="24"/>
        </w:rPr>
        <w:t>19 year</w:t>
      </w:r>
      <w:proofErr w:type="gramEnd"/>
      <w:r w:rsidRPr="00083C6A">
        <w:rPr>
          <w:rFonts w:ascii="Book Antiqua" w:hAnsi="Book Antiqua" w:cs="Arial"/>
          <w:sz w:val="24"/>
          <w:szCs w:val="24"/>
        </w:rPr>
        <w:t xml:space="preserve"> window when the appellant was aged between 4 and 23 years when application could have been made for him to acquire British citizenship.  From the age of 18-23 it would have been for him to apply. </w:t>
      </w:r>
    </w:p>
    <w:p w14:paraId="6E8C2433" w14:textId="77777777" w:rsidR="00012809" w:rsidRPr="00083C6A" w:rsidRDefault="00012809" w:rsidP="00083C6A">
      <w:pPr>
        <w:numPr>
          <w:ilvl w:val="0"/>
          <w:numId w:val="1"/>
        </w:numPr>
        <w:spacing w:before="160" w:after="0" w:line="240" w:lineRule="auto"/>
        <w:jc w:val="both"/>
        <w:rPr>
          <w:rFonts w:ascii="Book Antiqua" w:hAnsi="Book Antiqua"/>
          <w:sz w:val="24"/>
          <w:szCs w:val="24"/>
        </w:rPr>
      </w:pPr>
      <w:r w:rsidRPr="00083C6A">
        <w:rPr>
          <w:rFonts w:ascii="Book Antiqua" w:hAnsi="Book Antiqua"/>
          <w:sz w:val="24"/>
          <w:szCs w:val="24"/>
        </w:rPr>
        <w:t>The appellant has committed a large number of offences from his teenage years.  At the time of the decision appealed against he had 20 sets of convictions for 42 offences.  He has been convicted of further offences during the course of these proceedings.  The most significant offences are his conviction for causing death by dangerous driving on 5</w:t>
      </w:r>
      <w:r w:rsidRPr="00083C6A">
        <w:rPr>
          <w:rFonts w:ascii="Book Antiqua" w:hAnsi="Book Antiqua"/>
          <w:sz w:val="24"/>
          <w:szCs w:val="24"/>
          <w:vertAlign w:val="superscript"/>
        </w:rPr>
        <w:t>th</w:t>
      </w:r>
      <w:r w:rsidRPr="00083C6A">
        <w:rPr>
          <w:rFonts w:ascii="Book Antiqua" w:hAnsi="Book Antiqua"/>
          <w:sz w:val="24"/>
          <w:szCs w:val="24"/>
        </w:rPr>
        <w:t xml:space="preserve"> July 2007, when he was 23 years old, for which he was sentenced to four years’ imprisonment (he was a disqualified driver at the time) and for four offences of supplying a Class A controlled drug (heroin) on 4</w:t>
      </w:r>
      <w:r w:rsidRPr="00083C6A">
        <w:rPr>
          <w:rFonts w:ascii="Book Antiqua" w:hAnsi="Book Antiqua"/>
          <w:sz w:val="24"/>
          <w:szCs w:val="24"/>
          <w:vertAlign w:val="superscript"/>
        </w:rPr>
        <w:t>th</w:t>
      </w:r>
      <w:r w:rsidRPr="00083C6A">
        <w:rPr>
          <w:rFonts w:ascii="Book Antiqua" w:hAnsi="Book Antiqua"/>
          <w:sz w:val="24"/>
          <w:szCs w:val="24"/>
        </w:rPr>
        <w:t xml:space="preserve"> February 2013 for which he received concurrent sentences of 3 years 4 months’ imprisonment with a suspended sentence of 2 months of which he was in breach being activated and ordered to be served consecutively, making the total sentence one of three and a half years’ imprisonment.  The majority of his other convictions were for driving offences.  However, he ha</w:t>
      </w:r>
      <w:r w:rsidR="00C65ED1" w:rsidRPr="00083C6A">
        <w:rPr>
          <w:rFonts w:ascii="Book Antiqua" w:hAnsi="Book Antiqua"/>
          <w:sz w:val="24"/>
          <w:szCs w:val="24"/>
        </w:rPr>
        <w:t>s</w:t>
      </w:r>
      <w:r w:rsidRPr="00083C6A">
        <w:rPr>
          <w:rFonts w:ascii="Book Antiqua" w:hAnsi="Book Antiqua"/>
          <w:sz w:val="24"/>
          <w:szCs w:val="24"/>
        </w:rPr>
        <w:t xml:space="preserve"> two convictions in 2000 and 2012 for possession of a bladed or sharp pointed article, conspiracy to rob and possessing a bladed article in 2001.  Following his conviction for a further offence of driving whilst disqualified on 4</w:t>
      </w:r>
      <w:r w:rsidRPr="00083C6A">
        <w:rPr>
          <w:rFonts w:ascii="Book Antiqua" w:hAnsi="Book Antiqua"/>
          <w:sz w:val="24"/>
          <w:szCs w:val="24"/>
          <w:vertAlign w:val="superscript"/>
        </w:rPr>
        <w:t>th</w:t>
      </w:r>
      <w:r w:rsidRPr="00083C6A">
        <w:rPr>
          <w:rFonts w:ascii="Book Antiqua" w:hAnsi="Book Antiqua"/>
          <w:sz w:val="24"/>
          <w:szCs w:val="24"/>
        </w:rPr>
        <w:t xml:space="preserve"> February 2011 (with an associated offence of taking a motor vehicle without consent), for which he received a total sentence of 16 weeks’ imprisonment, he was written to by the Home Office and informed that although consideration had been given to make a deportation order in his case, it had been decided not to make one at that stage but that if he committed further offences he would be at risk of such an order being made.  Thereafter, he was convicted of the possession of cocaine and heroin on 19</w:t>
      </w:r>
      <w:r w:rsidRPr="00083C6A">
        <w:rPr>
          <w:rFonts w:ascii="Book Antiqua" w:hAnsi="Book Antiqua"/>
          <w:sz w:val="24"/>
          <w:szCs w:val="24"/>
          <w:vertAlign w:val="superscript"/>
        </w:rPr>
        <w:t>th</w:t>
      </w:r>
      <w:r w:rsidRPr="00083C6A">
        <w:rPr>
          <w:rFonts w:ascii="Book Antiqua" w:hAnsi="Book Antiqua"/>
          <w:sz w:val="24"/>
          <w:szCs w:val="24"/>
        </w:rPr>
        <w:t xml:space="preserve"> August 2011, driving whilst disqualified and whilst uninsured on 5</w:t>
      </w:r>
      <w:r w:rsidRPr="00083C6A">
        <w:rPr>
          <w:rFonts w:ascii="Book Antiqua" w:hAnsi="Book Antiqua"/>
          <w:sz w:val="24"/>
          <w:szCs w:val="24"/>
          <w:vertAlign w:val="superscript"/>
        </w:rPr>
        <w:t>th</w:t>
      </w:r>
      <w:r w:rsidRPr="00083C6A">
        <w:rPr>
          <w:rFonts w:ascii="Book Antiqua" w:hAnsi="Book Antiqua"/>
          <w:sz w:val="24"/>
          <w:szCs w:val="24"/>
        </w:rPr>
        <w:t xml:space="preserve"> July 2012, possessing a knife blade or sharp pointed article in a public place on 5</w:t>
      </w:r>
      <w:r w:rsidRPr="00083C6A">
        <w:rPr>
          <w:rFonts w:ascii="Book Antiqua" w:hAnsi="Book Antiqua"/>
          <w:sz w:val="24"/>
          <w:szCs w:val="24"/>
          <w:vertAlign w:val="superscript"/>
        </w:rPr>
        <w:t>th</w:t>
      </w:r>
      <w:r w:rsidRPr="00083C6A">
        <w:rPr>
          <w:rFonts w:ascii="Book Antiqua" w:hAnsi="Book Antiqua"/>
          <w:sz w:val="24"/>
          <w:szCs w:val="24"/>
        </w:rPr>
        <w:t xml:space="preserve"> December 2012.  </w:t>
      </w:r>
      <w:r w:rsidR="00C65ED1" w:rsidRPr="00083C6A">
        <w:rPr>
          <w:rFonts w:ascii="Book Antiqua" w:hAnsi="Book Antiqua"/>
          <w:sz w:val="24"/>
          <w:szCs w:val="24"/>
        </w:rPr>
        <w:t>A</w:t>
      </w:r>
      <w:r w:rsidRPr="00083C6A">
        <w:rPr>
          <w:rFonts w:ascii="Book Antiqua" w:hAnsi="Book Antiqua"/>
          <w:sz w:val="24"/>
          <w:szCs w:val="24"/>
        </w:rPr>
        <w:t xml:space="preserve">fter his conviction of the offences of supplying heroin in February 2013, the order for his deportation was made. </w:t>
      </w:r>
    </w:p>
    <w:p w14:paraId="1155B43D" w14:textId="77777777" w:rsidR="00012809" w:rsidRPr="00083C6A" w:rsidRDefault="00012809" w:rsidP="00083C6A">
      <w:pPr>
        <w:numPr>
          <w:ilvl w:val="0"/>
          <w:numId w:val="1"/>
        </w:numPr>
        <w:spacing w:before="160" w:after="0" w:line="240" w:lineRule="auto"/>
        <w:jc w:val="both"/>
        <w:rPr>
          <w:rFonts w:ascii="Book Antiqua" w:hAnsi="Book Antiqua"/>
          <w:sz w:val="24"/>
          <w:szCs w:val="24"/>
        </w:rPr>
      </w:pPr>
      <w:r w:rsidRPr="00083C6A">
        <w:rPr>
          <w:rFonts w:ascii="Book Antiqua" w:hAnsi="Book Antiqua"/>
          <w:sz w:val="24"/>
          <w:szCs w:val="24"/>
        </w:rPr>
        <w:t>S</w:t>
      </w:r>
      <w:r w:rsidR="00C65ED1" w:rsidRPr="00083C6A">
        <w:rPr>
          <w:rFonts w:ascii="Book Antiqua" w:hAnsi="Book Antiqua"/>
          <w:sz w:val="24"/>
          <w:szCs w:val="24"/>
        </w:rPr>
        <w:t xml:space="preserve">ubsequent to the </w:t>
      </w:r>
      <w:r w:rsidRPr="00083C6A">
        <w:rPr>
          <w:rFonts w:ascii="Book Antiqua" w:hAnsi="Book Antiqua"/>
          <w:sz w:val="24"/>
          <w:szCs w:val="24"/>
        </w:rPr>
        <w:t xml:space="preserve">service of the deportation order the appellant </w:t>
      </w:r>
      <w:r w:rsidR="00C65ED1" w:rsidRPr="00083C6A">
        <w:rPr>
          <w:rFonts w:ascii="Book Antiqua" w:hAnsi="Book Antiqua"/>
          <w:sz w:val="24"/>
          <w:szCs w:val="24"/>
        </w:rPr>
        <w:t>w</w:t>
      </w:r>
      <w:r w:rsidRPr="00083C6A">
        <w:rPr>
          <w:rFonts w:ascii="Book Antiqua" w:hAnsi="Book Antiqua"/>
          <w:sz w:val="24"/>
          <w:szCs w:val="24"/>
        </w:rPr>
        <w:t>as convicted on 18</w:t>
      </w:r>
      <w:r w:rsidRPr="00083C6A">
        <w:rPr>
          <w:rFonts w:ascii="Book Antiqua" w:hAnsi="Book Antiqua"/>
          <w:sz w:val="24"/>
          <w:szCs w:val="24"/>
          <w:vertAlign w:val="superscript"/>
        </w:rPr>
        <w:t>th</w:t>
      </w:r>
      <w:r w:rsidRPr="00083C6A">
        <w:rPr>
          <w:rFonts w:ascii="Book Antiqua" w:hAnsi="Book Antiqua"/>
          <w:sz w:val="24"/>
          <w:szCs w:val="24"/>
        </w:rPr>
        <w:t xml:space="preserve"> March 2016 of driving whilst disqualified and sentenced to 20 weeks’ imprisonment suspended for 2 years; on the same occasion he was fined for driving whilst uninsured.  </w:t>
      </w:r>
      <w:r w:rsidR="00C65ED1" w:rsidRPr="00083C6A">
        <w:rPr>
          <w:rFonts w:ascii="Book Antiqua" w:hAnsi="Book Antiqua"/>
          <w:sz w:val="24"/>
          <w:szCs w:val="24"/>
        </w:rPr>
        <w:t>Thereafter</w:t>
      </w:r>
      <w:r w:rsidRPr="00083C6A">
        <w:rPr>
          <w:rFonts w:ascii="Book Antiqua" w:hAnsi="Book Antiqua"/>
          <w:sz w:val="24"/>
          <w:szCs w:val="24"/>
        </w:rPr>
        <w:t>, on 15</w:t>
      </w:r>
      <w:r w:rsidRPr="00083C6A">
        <w:rPr>
          <w:rFonts w:ascii="Book Antiqua" w:hAnsi="Book Antiqua"/>
          <w:sz w:val="24"/>
          <w:szCs w:val="24"/>
          <w:vertAlign w:val="superscript"/>
        </w:rPr>
        <w:t>th</w:t>
      </w:r>
      <w:r w:rsidRPr="00083C6A">
        <w:rPr>
          <w:rFonts w:ascii="Book Antiqua" w:hAnsi="Book Antiqua"/>
          <w:sz w:val="24"/>
          <w:szCs w:val="24"/>
        </w:rPr>
        <w:t xml:space="preserve"> June 2017</w:t>
      </w:r>
      <w:r w:rsidR="00C65ED1" w:rsidRPr="00083C6A">
        <w:rPr>
          <w:rFonts w:ascii="Book Antiqua" w:hAnsi="Book Antiqua"/>
          <w:sz w:val="24"/>
          <w:szCs w:val="24"/>
        </w:rPr>
        <w:t>,</w:t>
      </w:r>
      <w:r w:rsidRPr="00083C6A">
        <w:rPr>
          <w:rFonts w:ascii="Book Antiqua" w:hAnsi="Book Antiqua"/>
          <w:sz w:val="24"/>
          <w:szCs w:val="24"/>
        </w:rPr>
        <w:t xml:space="preserve"> he was convicted of another offence of driving whilst uninured and fined for committing a further offence during the operational period of a suspended sentence, then, on 31</w:t>
      </w:r>
      <w:r w:rsidRPr="00083C6A">
        <w:rPr>
          <w:rFonts w:ascii="Book Antiqua" w:hAnsi="Book Antiqua"/>
          <w:sz w:val="24"/>
          <w:szCs w:val="24"/>
          <w:vertAlign w:val="superscript"/>
        </w:rPr>
        <w:t>st</w:t>
      </w:r>
      <w:r w:rsidRPr="00083C6A">
        <w:rPr>
          <w:rFonts w:ascii="Book Antiqua" w:hAnsi="Book Antiqua"/>
          <w:sz w:val="24"/>
          <w:szCs w:val="24"/>
        </w:rPr>
        <w:t xml:space="preserve"> August 2017, he was ordered to serve the balance of the suspended sentence having committed further offences of possessing heroin and cannabis resin.</w:t>
      </w:r>
    </w:p>
    <w:p w14:paraId="1FF03771" w14:textId="77777777" w:rsidR="000C5FCD" w:rsidRPr="00083C6A" w:rsidRDefault="006600C9"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recent </w:t>
      </w:r>
      <w:r w:rsidR="00025343" w:rsidRPr="00083C6A">
        <w:rPr>
          <w:rFonts w:ascii="Book Antiqua" w:hAnsi="Book Antiqua" w:cs="Arial"/>
          <w:sz w:val="24"/>
          <w:szCs w:val="24"/>
        </w:rPr>
        <w:t>OASys report</w:t>
      </w:r>
      <w:r w:rsidRPr="00083C6A">
        <w:rPr>
          <w:rFonts w:ascii="Book Antiqua" w:hAnsi="Book Antiqua" w:cs="Arial"/>
          <w:sz w:val="24"/>
          <w:szCs w:val="24"/>
        </w:rPr>
        <w:t xml:space="preserve"> dated 30</w:t>
      </w:r>
      <w:r w:rsidRPr="00083C6A">
        <w:rPr>
          <w:rFonts w:ascii="Book Antiqua" w:hAnsi="Book Antiqua" w:cs="Arial"/>
          <w:sz w:val="24"/>
          <w:szCs w:val="24"/>
          <w:vertAlign w:val="superscript"/>
        </w:rPr>
        <w:t>th</w:t>
      </w:r>
      <w:r w:rsidRPr="00083C6A">
        <w:rPr>
          <w:rFonts w:ascii="Book Antiqua" w:hAnsi="Book Antiqua" w:cs="Arial"/>
          <w:sz w:val="24"/>
          <w:szCs w:val="24"/>
        </w:rPr>
        <w:t xml:space="preserve"> October 2017</w:t>
      </w:r>
      <w:r w:rsidR="00025343" w:rsidRPr="00083C6A">
        <w:rPr>
          <w:rFonts w:ascii="Book Antiqua" w:hAnsi="Book Antiqua" w:cs="Arial"/>
          <w:sz w:val="24"/>
          <w:szCs w:val="24"/>
        </w:rPr>
        <w:t xml:space="preserve">, </w:t>
      </w:r>
      <w:r w:rsidRPr="00083C6A">
        <w:rPr>
          <w:rFonts w:ascii="Book Antiqua" w:hAnsi="Book Antiqua" w:cs="Arial"/>
          <w:sz w:val="24"/>
          <w:szCs w:val="24"/>
        </w:rPr>
        <w:t>refers to the appellant driving to relieve stress (paragraph 2.1)</w:t>
      </w:r>
      <w:r w:rsidR="000C5FCD" w:rsidRPr="00083C6A">
        <w:rPr>
          <w:rFonts w:ascii="Book Antiqua" w:hAnsi="Book Antiqua" w:cs="Arial"/>
          <w:sz w:val="24"/>
          <w:szCs w:val="24"/>
        </w:rPr>
        <w:t>.  In evidence he accepted this had been the case, but he was now able to cope without resorting to driving.  Th</w:t>
      </w:r>
      <w:r w:rsidRPr="00083C6A">
        <w:rPr>
          <w:rFonts w:ascii="Book Antiqua" w:hAnsi="Book Antiqua" w:cs="Arial"/>
          <w:sz w:val="24"/>
          <w:szCs w:val="24"/>
        </w:rPr>
        <w:t xml:space="preserve">e assessment writer </w:t>
      </w:r>
      <w:r w:rsidR="000C5FCD" w:rsidRPr="00083C6A">
        <w:rPr>
          <w:rFonts w:ascii="Book Antiqua" w:hAnsi="Book Antiqua" w:cs="Arial"/>
          <w:sz w:val="24"/>
          <w:szCs w:val="24"/>
        </w:rPr>
        <w:t xml:space="preserve">stated </w:t>
      </w:r>
      <w:r w:rsidRPr="00083C6A">
        <w:rPr>
          <w:rFonts w:ascii="Book Antiqua" w:hAnsi="Book Antiqua" w:cs="Arial"/>
          <w:sz w:val="24"/>
          <w:szCs w:val="24"/>
        </w:rPr>
        <w:t xml:space="preserve">that the appellant “enjoys driving and it would appear that he does not believe that </w:t>
      </w:r>
      <w:r w:rsidR="00440925" w:rsidRPr="00083C6A">
        <w:rPr>
          <w:rFonts w:ascii="Book Antiqua" w:hAnsi="Book Antiqua" w:cs="Arial"/>
          <w:sz w:val="24"/>
          <w:szCs w:val="24"/>
        </w:rPr>
        <w:t>t</w:t>
      </w:r>
      <w:r w:rsidRPr="00083C6A">
        <w:rPr>
          <w:rFonts w:ascii="Book Antiqua" w:hAnsi="Book Antiqua" w:cs="Arial"/>
          <w:sz w:val="24"/>
          <w:szCs w:val="24"/>
        </w:rPr>
        <w:t xml:space="preserve">he law should apply to him” (paragraph 2.8).  </w:t>
      </w:r>
      <w:r w:rsidR="000C5FCD" w:rsidRPr="00083C6A">
        <w:rPr>
          <w:rFonts w:ascii="Book Antiqua" w:hAnsi="Book Antiqua" w:cs="Arial"/>
          <w:sz w:val="24"/>
          <w:szCs w:val="24"/>
        </w:rPr>
        <w:t>U</w:t>
      </w:r>
      <w:r w:rsidRPr="00083C6A">
        <w:rPr>
          <w:rFonts w:ascii="Book Antiqua" w:hAnsi="Book Antiqua" w:cs="Arial"/>
          <w:sz w:val="24"/>
          <w:szCs w:val="24"/>
        </w:rPr>
        <w:t xml:space="preserve">nder the heading ‘Accommodation’ the writer refers to the appellant residing with his partner but informing him that “he also has his own council flat… </w:t>
      </w:r>
      <w:r w:rsidR="005F403B" w:rsidRPr="00083C6A">
        <w:rPr>
          <w:rFonts w:ascii="Book Antiqua" w:hAnsi="Book Antiqua" w:cs="Arial"/>
          <w:sz w:val="24"/>
          <w:szCs w:val="24"/>
        </w:rPr>
        <w:t>which he said he is keen to get back to (paragrap</w:t>
      </w:r>
      <w:r w:rsidR="000C5FCD" w:rsidRPr="00083C6A">
        <w:rPr>
          <w:rFonts w:ascii="Book Antiqua" w:hAnsi="Book Antiqua" w:cs="Arial"/>
          <w:sz w:val="24"/>
          <w:szCs w:val="24"/>
        </w:rPr>
        <w:t>h</w:t>
      </w:r>
      <w:r w:rsidR="005F403B" w:rsidRPr="00083C6A">
        <w:rPr>
          <w:rFonts w:ascii="Book Antiqua" w:hAnsi="Book Antiqua" w:cs="Arial"/>
          <w:sz w:val="24"/>
          <w:szCs w:val="24"/>
        </w:rPr>
        <w:t xml:space="preserve"> 3.6).”  Under the heading ‘Education, Training and Employability’ it is</w:t>
      </w:r>
      <w:r w:rsidR="008730F9" w:rsidRPr="00083C6A">
        <w:rPr>
          <w:rFonts w:ascii="Book Antiqua" w:hAnsi="Book Antiqua" w:cs="Arial"/>
          <w:sz w:val="24"/>
          <w:szCs w:val="24"/>
        </w:rPr>
        <w:t xml:space="preserve"> </w:t>
      </w:r>
      <w:r w:rsidR="005F403B" w:rsidRPr="00083C6A">
        <w:rPr>
          <w:rFonts w:ascii="Book Antiqua" w:hAnsi="Book Antiqua" w:cs="Arial"/>
          <w:sz w:val="24"/>
          <w:szCs w:val="24"/>
        </w:rPr>
        <w:t xml:space="preserve">reported that </w:t>
      </w:r>
      <w:r w:rsidR="008730F9" w:rsidRPr="00083C6A">
        <w:rPr>
          <w:rFonts w:ascii="Book Antiqua" w:hAnsi="Book Antiqua" w:cs="Arial"/>
          <w:sz w:val="24"/>
          <w:szCs w:val="24"/>
        </w:rPr>
        <w:t>t</w:t>
      </w:r>
      <w:r w:rsidR="005F403B" w:rsidRPr="00083C6A">
        <w:rPr>
          <w:rFonts w:ascii="Book Antiqua" w:hAnsi="Book Antiqua" w:cs="Arial"/>
          <w:sz w:val="24"/>
          <w:szCs w:val="24"/>
        </w:rPr>
        <w:t xml:space="preserve">he appellant </w:t>
      </w:r>
      <w:r w:rsidR="005F403B" w:rsidRPr="00083C6A">
        <w:rPr>
          <w:rFonts w:ascii="Book Antiqua" w:hAnsi="Book Antiqua" w:cs="Arial"/>
          <w:sz w:val="24"/>
          <w:szCs w:val="24"/>
        </w:rPr>
        <w:lastRenderedPageBreak/>
        <w:t xml:space="preserve">informed </w:t>
      </w:r>
      <w:r w:rsidR="000C5FCD" w:rsidRPr="00083C6A">
        <w:rPr>
          <w:rFonts w:ascii="Book Antiqua" w:hAnsi="Book Antiqua" w:cs="Arial"/>
          <w:sz w:val="24"/>
          <w:szCs w:val="24"/>
        </w:rPr>
        <w:t xml:space="preserve">the writer </w:t>
      </w:r>
      <w:r w:rsidR="005F403B" w:rsidRPr="00083C6A">
        <w:rPr>
          <w:rFonts w:ascii="Book Antiqua" w:hAnsi="Book Antiqua" w:cs="Arial"/>
          <w:sz w:val="24"/>
          <w:szCs w:val="24"/>
        </w:rPr>
        <w:t xml:space="preserve">that </w:t>
      </w:r>
      <w:r w:rsidRPr="00083C6A">
        <w:rPr>
          <w:rFonts w:ascii="Book Antiqua" w:hAnsi="Book Antiqua" w:cs="Arial"/>
          <w:sz w:val="24"/>
          <w:szCs w:val="24"/>
        </w:rPr>
        <w:t xml:space="preserve">he </w:t>
      </w:r>
      <w:r w:rsidR="000C5FCD" w:rsidRPr="00083C6A">
        <w:rPr>
          <w:rFonts w:ascii="Book Antiqua" w:hAnsi="Book Antiqua" w:cs="Arial"/>
          <w:sz w:val="24"/>
          <w:szCs w:val="24"/>
        </w:rPr>
        <w:t>“graduated with a degree from university with a degree in Business Studies” and “mentioned during the custody assessment that he had previously run his own property business</w:t>
      </w:r>
      <w:r w:rsidRPr="00083C6A">
        <w:rPr>
          <w:rFonts w:ascii="Book Antiqua" w:hAnsi="Book Antiqua" w:cs="Arial"/>
          <w:sz w:val="24"/>
          <w:szCs w:val="24"/>
        </w:rPr>
        <w:t xml:space="preserve"> </w:t>
      </w:r>
      <w:r w:rsidR="000C5FCD" w:rsidRPr="00083C6A">
        <w:rPr>
          <w:rFonts w:ascii="Book Antiqua" w:hAnsi="Book Antiqua" w:cs="Arial"/>
          <w:sz w:val="24"/>
          <w:szCs w:val="24"/>
        </w:rPr>
        <w:t xml:space="preserve">which had a turnover of £50,000” (paragraph 4.10).  The appellant in his evidence disputed that any of this was accurate.  </w:t>
      </w:r>
      <w:r w:rsidR="00865711" w:rsidRPr="00083C6A">
        <w:rPr>
          <w:rFonts w:ascii="Book Antiqua" w:hAnsi="Book Antiqua" w:cs="Arial"/>
          <w:sz w:val="24"/>
          <w:szCs w:val="24"/>
        </w:rPr>
        <w:t>The full risk of serious harm analysis to a known adult in the community was indicated to be medium and to others to be low.</w:t>
      </w:r>
    </w:p>
    <w:p w14:paraId="5D8BB521" w14:textId="5E798975" w:rsidR="00025343" w:rsidRPr="00083C6A" w:rsidRDefault="00865711"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We have also taken account of the more recent assessment of Lisa Davies.  We are satisfied that there is a medium risk of further reoffending by the appellant.  We note that although there is evidence of a change of attitude by the appellant, as referred to by his partner and father, we note that he was still prepared to continue to commit offences</w:t>
      </w:r>
      <w:r w:rsidR="00025343" w:rsidRPr="00083C6A">
        <w:rPr>
          <w:rFonts w:ascii="Book Antiqua" w:hAnsi="Book Antiqua" w:cs="Arial"/>
          <w:sz w:val="24"/>
          <w:szCs w:val="24"/>
        </w:rPr>
        <w:t xml:space="preserve"> </w:t>
      </w:r>
      <w:r w:rsidRPr="00083C6A">
        <w:rPr>
          <w:rFonts w:ascii="Book Antiqua" w:hAnsi="Book Antiqua" w:cs="Arial"/>
          <w:sz w:val="24"/>
          <w:szCs w:val="24"/>
        </w:rPr>
        <w:t>after he formed the relation</w:t>
      </w:r>
      <w:r w:rsidR="008C47F2" w:rsidRPr="00083C6A">
        <w:rPr>
          <w:rFonts w:ascii="Book Antiqua" w:hAnsi="Book Antiqua" w:cs="Arial"/>
          <w:sz w:val="24"/>
          <w:szCs w:val="24"/>
        </w:rPr>
        <w:t xml:space="preserve">ship with </w:t>
      </w:r>
      <w:r w:rsidR="00B0354C" w:rsidRPr="00083C6A">
        <w:rPr>
          <w:rFonts w:ascii="Book Antiqua" w:hAnsi="Book Antiqua" w:cs="Arial"/>
          <w:sz w:val="24"/>
          <w:szCs w:val="24"/>
        </w:rPr>
        <w:t>[RL]</w:t>
      </w:r>
      <w:r w:rsidR="008C47F2" w:rsidRPr="00083C6A">
        <w:rPr>
          <w:rFonts w:ascii="Book Antiqua" w:hAnsi="Book Antiqua" w:cs="Arial"/>
          <w:sz w:val="24"/>
          <w:szCs w:val="24"/>
        </w:rPr>
        <w:t xml:space="preserve">, so it is very early days to be satisfied of a fundamental change.  </w:t>
      </w:r>
    </w:p>
    <w:p w14:paraId="53B08CFA" w14:textId="77777777" w:rsidR="00025343" w:rsidRPr="00083C6A" w:rsidRDefault="008C47F2"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T</w:t>
      </w:r>
      <w:r w:rsidR="00025343" w:rsidRPr="00083C6A">
        <w:rPr>
          <w:rFonts w:ascii="Book Antiqua" w:hAnsi="Book Antiqua" w:cs="Arial"/>
          <w:sz w:val="24"/>
          <w:szCs w:val="24"/>
        </w:rPr>
        <w:t xml:space="preserve">he risk of reoffending is not the only, or even the most important factor, to be taken into account in terms of the public interest. Whilst Lord Wilson in </w:t>
      </w:r>
      <w:r w:rsidR="00025343" w:rsidRPr="00083C6A">
        <w:rPr>
          <w:rFonts w:ascii="Book Antiqua" w:hAnsi="Book Antiqua" w:cs="Arial"/>
          <w:i/>
          <w:sz w:val="24"/>
          <w:szCs w:val="24"/>
        </w:rPr>
        <w:t>Hesham Ali</w:t>
      </w:r>
      <w:r w:rsidR="00025343" w:rsidRPr="00083C6A">
        <w:rPr>
          <w:rFonts w:ascii="Book Antiqua" w:hAnsi="Book Antiqua" w:cs="Arial"/>
          <w:sz w:val="24"/>
          <w:szCs w:val="24"/>
        </w:rPr>
        <w:t xml:space="preserve"> disavowed the phrase “public revulsion” that he used in </w:t>
      </w:r>
      <w:bookmarkStart w:id="2" w:name="para70"/>
      <w:r w:rsidR="00025343" w:rsidRPr="00083C6A">
        <w:rPr>
          <w:rFonts w:ascii="Book Antiqua" w:hAnsi="Book Antiqua"/>
          <w:i/>
          <w:iCs/>
          <w:sz w:val="24"/>
          <w:szCs w:val="24"/>
        </w:rPr>
        <w:t>OH (Serbia) v Secretary of State for the Home Department</w:t>
      </w:r>
      <w:r w:rsidR="00025343" w:rsidRPr="00083C6A">
        <w:rPr>
          <w:rFonts w:ascii="Book Antiqua" w:hAnsi="Book Antiqua"/>
          <w:sz w:val="24"/>
          <w:szCs w:val="24"/>
        </w:rPr>
        <w:t> </w:t>
      </w:r>
      <w:bookmarkEnd w:id="2"/>
      <w:r w:rsidR="00025343" w:rsidRPr="00083C6A">
        <w:rPr>
          <w:rFonts w:ascii="Book Antiqua" w:hAnsi="Book Antiqua"/>
          <w:sz w:val="24"/>
          <w:szCs w:val="24"/>
        </w:rPr>
        <w:t xml:space="preserve">[2008] EWCA </w:t>
      </w:r>
      <w:proofErr w:type="spellStart"/>
      <w:r w:rsidR="00025343" w:rsidRPr="00083C6A">
        <w:rPr>
          <w:rFonts w:ascii="Book Antiqua" w:hAnsi="Book Antiqua"/>
          <w:sz w:val="24"/>
          <w:szCs w:val="24"/>
        </w:rPr>
        <w:t>Civ</w:t>
      </w:r>
      <w:proofErr w:type="spellEnd"/>
      <w:r w:rsidR="00025343" w:rsidRPr="00083C6A">
        <w:rPr>
          <w:rFonts w:ascii="Book Antiqua" w:hAnsi="Book Antiqua"/>
          <w:sz w:val="24"/>
          <w:szCs w:val="24"/>
        </w:rPr>
        <w:t xml:space="preserve"> 694, the depth of public concern about the facility for a foreign criminal’s rights under article 8 to preclude his deportation is a significant factor to be taken into account (see [70] of </w:t>
      </w:r>
      <w:r w:rsidR="00025343" w:rsidRPr="00083C6A">
        <w:rPr>
          <w:rFonts w:ascii="Book Antiqua" w:hAnsi="Book Antiqua"/>
          <w:i/>
          <w:sz w:val="24"/>
          <w:szCs w:val="24"/>
        </w:rPr>
        <w:t>Hesham Ali</w:t>
      </w:r>
      <w:r w:rsidR="00025343" w:rsidRPr="00083C6A">
        <w:rPr>
          <w:rFonts w:ascii="Book Antiqua" w:hAnsi="Book Antiqua"/>
          <w:sz w:val="24"/>
          <w:szCs w:val="24"/>
        </w:rPr>
        <w:t xml:space="preserve">). </w:t>
      </w:r>
    </w:p>
    <w:p w14:paraId="371D326E" w14:textId="77777777" w:rsidR="00E92DB6" w:rsidRPr="00083C6A" w:rsidRDefault="00E92DB6"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We have also considered all the matters and authorities referred to by Mr </w:t>
      </w:r>
      <w:proofErr w:type="spellStart"/>
      <w:r w:rsidRPr="00083C6A">
        <w:rPr>
          <w:rFonts w:ascii="Book Antiqua" w:hAnsi="Book Antiqua" w:cs="Arial"/>
          <w:sz w:val="24"/>
          <w:szCs w:val="24"/>
        </w:rPr>
        <w:t>Khubb</w:t>
      </w:r>
      <w:r w:rsidR="00836992" w:rsidRPr="00083C6A">
        <w:rPr>
          <w:rFonts w:ascii="Book Antiqua" w:hAnsi="Book Antiqua" w:cs="Arial"/>
          <w:sz w:val="24"/>
          <w:szCs w:val="24"/>
        </w:rPr>
        <w:t>e</w:t>
      </w:r>
      <w:r w:rsidRPr="00083C6A">
        <w:rPr>
          <w:rFonts w:ascii="Book Antiqua" w:hAnsi="Book Antiqua" w:cs="Arial"/>
          <w:sz w:val="24"/>
          <w:szCs w:val="24"/>
        </w:rPr>
        <w:t>r</w:t>
      </w:r>
      <w:proofErr w:type="spellEnd"/>
      <w:r w:rsidRPr="00083C6A">
        <w:rPr>
          <w:rFonts w:ascii="Book Antiqua" w:hAnsi="Book Antiqua" w:cs="Arial"/>
          <w:sz w:val="24"/>
          <w:szCs w:val="24"/>
        </w:rPr>
        <w:t xml:space="preserve"> in his written and oral submissions.</w:t>
      </w:r>
    </w:p>
    <w:p w14:paraId="7624771B" w14:textId="43B4A0F0" w:rsidR="006715FC" w:rsidRPr="00083C6A" w:rsidRDefault="00025343"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The </w:t>
      </w:r>
      <w:r w:rsidR="00B520D4" w:rsidRPr="00083C6A">
        <w:rPr>
          <w:rFonts w:ascii="Book Antiqua" w:hAnsi="Book Antiqua" w:cs="Arial"/>
          <w:sz w:val="24"/>
          <w:szCs w:val="24"/>
        </w:rPr>
        <w:t xml:space="preserve">factors </w:t>
      </w:r>
      <w:r w:rsidR="00AD3237" w:rsidRPr="00083C6A">
        <w:rPr>
          <w:rFonts w:ascii="Book Antiqua" w:hAnsi="Book Antiqua" w:cs="Arial"/>
          <w:sz w:val="24"/>
          <w:szCs w:val="24"/>
        </w:rPr>
        <w:t xml:space="preserve">against </w:t>
      </w:r>
      <w:r w:rsidR="006A392D" w:rsidRPr="00083C6A">
        <w:rPr>
          <w:rFonts w:ascii="Book Antiqua" w:hAnsi="Book Antiqua" w:cs="Arial"/>
          <w:sz w:val="24"/>
          <w:szCs w:val="24"/>
        </w:rPr>
        <w:t xml:space="preserve">deportation </w:t>
      </w:r>
      <w:r w:rsidR="006715FC" w:rsidRPr="00083C6A">
        <w:rPr>
          <w:rFonts w:ascii="Book Antiqua" w:hAnsi="Book Antiqua" w:cs="Arial"/>
          <w:sz w:val="24"/>
          <w:szCs w:val="24"/>
        </w:rPr>
        <w:t xml:space="preserve">are set out in paragraphs </w:t>
      </w:r>
      <w:r w:rsidR="009E6EBF" w:rsidRPr="00083C6A">
        <w:rPr>
          <w:rFonts w:ascii="Book Antiqua" w:hAnsi="Book Antiqua" w:cs="Arial"/>
          <w:sz w:val="24"/>
          <w:szCs w:val="24"/>
        </w:rPr>
        <w:t>14</w:t>
      </w:r>
      <w:r w:rsidR="006715FC" w:rsidRPr="00083C6A">
        <w:rPr>
          <w:rFonts w:ascii="Book Antiqua" w:hAnsi="Book Antiqua" w:cs="Arial"/>
          <w:sz w:val="24"/>
          <w:szCs w:val="24"/>
        </w:rPr>
        <w:t xml:space="preserve"> and </w:t>
      </w:r>
      <w:r w:rsidR="009E6EBF" w:rsidRPr="00083C6A">
        <w:rPr>
          <w:rFonts w:ascii="Book Antiqua" w:hAnsi="Book Antiqua" w:cs="Arial"/>
          <w:sz w:val="24"/>
          <w:szCs w:val="24"/>
        </w:rPr>
        <w:t>15</w:t>
      </w:r>
      <w:r w:rsidR="006715FC" w:rsidRPr="00083C6A">
        <w:rPr>
          <w:rFonts w:ascii="Book Antiqua" w:hAnsi="Book Antiqua" w:cs="Arial"/>
          <w:sz w:val="24"/>
          <w:szCs w:val="24"/>
        </w:rPr>
        <w:t xml:space="preserve"> above. </w:t>
      </w:r>
      <w:r w:rsidR="00A85952" w:rsidRPr="00083C6A">
        <w:rPr>
          <w:rFonts w:ascii="Book Antiqua" w:hAnsi="Book Antiqua" w:cs="Arial"/>
          <w:sz w:val="24"/>
          <w:szCs w:val="24"/>
        </w:rPr>
        <w:t xml:space="preserve"> We accept that the appellant is socially and culturally integrated in the UK, although the extent of that integration is marred by his repeat offending.  </w:t>
      </w:r>
      <w:r w:rsidR="006715FC" w:rsidRPr="00083C6A">
        <w:rPr>
          <w:rFonts w:ascii="Book Antiqua" w:hAnsi="Book Antiqua" w:cs="Arial"/>
          <w:sz w:val="24"/>
          <w:szCs w:val="24"/>
        </w:rPr>
        <w:t xml:space="preserve"> His </w:t>
      </w:r>
      <w:r w:rsidR="00B403C5" w:rsidRPr="00083C6A">
        <w:rPr>
          <w:rFonts w:ascii="Book Antiqua" w:hAnsi="Book Antiqua" w:cs="Arial"/>
          <w:sz w:val="24"/>
          <w:szCs w:val="24"/>
        </w:rPr>
        <w:t xml:space="preserve">relationship with </w:t>
      </w:r>
      <w:r w:rsidR="00B0354C" w:rsidRPr="00083C6A">
        <w:rPr>
          <w:rFonts w:ascii="Book Antiqua" w:hAnsi="Book Antiqua" w:cs="Arial"/>
          <w:sz w:val="24"/>
          <w:szCs w:val="24"/>
        </w:rPr>
        <w:t>[RL]</w:t>
      </w:r>
      <w:r w:rsidR="00B403C5" w:rsidRPr="00083C6A">
        <w:rPr>
          <w:rFonts w:ascii="Book Antiqua" w:hAnsi="Book Antiqua" w:cs="Arial"/>
          <w:sz w:val="24"/>
          <w:szCs w:val="24"/>
        </w:rPr>
        <w:t xml:space="preserve"> is not particularly longstanding and was formed at a time that the appellant was subject to the deportation proceedings</w:t>
      </w:r>
      <w:r w:rsidR="005349C7" w:rsidRPr="00083C6A">
        <w:rPr>
          <w:rFonts w:ascii="Book Antiqua" w:hAnsi="Book Antiqua" w:cs="Arial"/>
          <w:sz w:val="24"/>
          <w:szCs w:val="24"/>
        </w:rPr>
        <w:t xml:space="preserve"> and therefore his status was precarious</w:t>
      </w:r>
      <w:r w:rsidR="00B403C5" w:rsidRPr="00083C6A">
        <w:rPr>
          <w:rFonts w:ascii="Book Antiqua" w:hAnsi="Book Antiqua" w:cs="Arial"/>
          <w:sz w:val="24"/>
          <w:szCs w:val="24"/>
        </w:rPr>
        <w:t xml:space="preserve">.  </w:t>
      </w:r>
      <w:r w:rsidR="006715FC" w:rsidRPr="00083C6A">
        <w:rPr>
          <w:rFonts w:ascii="Book Antiqua" w:hAnsi="Book Antiqua" w:cs="Arial"/>
          <w:sz w:val="24"/>
          <w:szCs w:val="24"/>
        </w:rPr>
        <w:t>It is also of note that, certainly in its early stages</w:t>
      </w:r>
      <w:r w:rsidR="00E92DB6" w:rsidRPr="00083C6A">
        <w:rPr>
          <w:rFonts w:ascii="Book Antiqua" w:hAnsi="Book Antiqua" w:cs="Arial"/>
          <w:sz w:val="24"/>
          <w:szCs w:val="24"/>
        </w:rPr>
        <w:t>,</w:t>
      </w:r>
      <w:r w:rsidR="006715FC" w:rsidRPr="00083C6A">
        <w:rPr>
          <w:rFonts w:ascii="Book Antiqua" w:hAnsi="Book Antiqua" w:cs="Arial"/>
          <w:sz w:val="24"/>
          <w:szCs w:val="24"/>
        </w:rPr>
        <w:t xml:space="preserve"> </w:t>
      </w:r>
      <w:r w:rsidR="00E92DB6" w:rsidRPr="00083C6A">
        <w:rPr>
          <w:rFonts w:ascii="Book Antiqua" w:hAnsi="Book Antiqua" w:cs="Arial"/>
          <w:sz w:val="24"/>
          <w:szCs w:val="24"/>
        </w:rPr>
        <w:t>t</w:t>
      </w:r>
      <w:r w:rsidR="006715FC" w:rsidRPr="00083C6A">
        <w:rPr>
          <w:rFonts w:ascii="Book Antiqua" w:hAnsi="Book Antiqua" w:cs="Arial"/>
          <w:sz w:val="24"/>
          <w:szCs w:val="24"/>
        </w:rPr>
        <w:t xml:space="preserve">he </w:t>
      </w:r>
      <w:r w:rsidR="00E92DB6" w:rsidRPr="00083C6A">
        <w:rPr>
          <w:rFonts w:ascii="Book Antiqua" w:hAnsi="Book Antiqua" w:cs="Arial"/>
          <w:sz w:val="24"/>
          <w:szCs w:val="24"/>
        </w:rPr>
        <w:t xml:space="preserve">appellant </w:t>
      </w:r>
      <w:r w:rsidR="006715FC" w:rsidRPr="00083C6A">
        <w:rPr>
          <w:rFonts w:ascii="Book Antiqua" w:hAnsi="Book Antiqua" w:cs="Arial"/>
          <w:sz w:val="24"/>
          <w:szCs w:val="24"/>
        </w:rPr>
        <w:t xml:space="preserve">wanted his own space (and flat) and continued to offend.  </w:t>
      </w:r>
      <w:r w:rsidR="00B403C5" w:rsidRPr="00083C6A">
        <w:rPr>
          <w:rFonts w:ascii="Book Antiqua" w:hAnsi="Book Antiqua" w:cs="Arial"/>
          <w:sz w:val="24"/>
          <w:szCs w:val="24"/>
        </w:rPr>
        <w:t xml:space="preserve">It may well be that </w:t>
      </w:r>
      <w:r w:rsidR="005349C7" w:rsidRPr="00083C6A">
        <w:rPr>
          <w:rFonts w:ascii="Book Antiqua" w:hAnsi="Book Antiqua" w:cs="Arial"/>
          <w:sz w:val="24"/>
          <w:szCs w:val="24"/>
        </w:rPr>
        <w:t xml:space="preserve">the relationship </w:t>
      </w:r>
      <w:r w:rsidR="00B403C5" w:rsidRPr="00083C6A">
        <w:rPr>
          <w:rFonts w:ascii="Book Antiqua" w:hAnsi="Book Antiqua" w:cs="Arial"/>
          <w:sz w:val="24"/>
          <w:szCs w:val="24"/>
        </w:rPr>
        <w:t>has developed over recent months</w:t>
      </w:r>
      <w:r w:rsidR="003411DE" w:rsidRPr="00083C6A">
        <w:rPr>
          <w:rFonts w:ascii="Book Antiqua" w:hAnsi="Book Antiqua" w:cs="Arial"/>
          <w:sz w:val="24"/>
          <w:szCs w:val="24"/>
        </w:rPr>
        <w:t xml:space="preserve"> and we are prepared to accept that it has</w:t>
      </w:r>
      <w:r w:rsidR="00B403C5" w:rsidRPr="00083C6A">
        <w:rPr>
          <w:rFonts w:ascii="Book Antiqua" w:hAnsi="Book Antiqua" w:cs="Arial"/>
          <w:sz w:val="24"/>
          <w:szCs w:val="24"/>
        </w:rPr>
        <w:t xml:space="preserve">.  We accept that the appellant has never been to Nigeria and has no family or personal connections with the country and that it would be very difficult for </w:t>
      </w:r>
      <w:r w:rsidR="00B0354C" w:rsidRPr="00083C6A">
        <w:rPr>
          <w:rFonts w:ascii="Book Antiqua" w:hAnsi="Book Antiqua" w:cs="Arial"/>
          <w:sz w:val="24"/>
          <w:szCs w:val="24"/>
        </w:rPr>
        <w:t>[RL]</w:t>
      </w:r>
      <w:r w:rsidR="00B403C5" w:rsidRPr="00083C6A">
        <w:rPr>
          <w:rFonts w:ascii="Book Antiqua" w:hAnsi="Book Antiqua" w:cs="Arial"/>
          <w:sz w:val="24"/>
          <w:szCs w:val="24"/>
        </w:rPr>
        <w:t xml:space="preserve"> </w:t>
      </w:r>
      <w:r w:rsidR="00AC1CA9" w:rsidRPr="00083C6A">
        <w:rPr>
          <w:rFonts w:ascii="Book Antiqua" w:hAnsi="Book Antiqua" w:cs="Arial"/>
          <w:sz w:val="24"/>
          <w:szCs w:val="24"/>
        </w:rPr>
        <w:t>to continue the relationship without relocating with the appellant</w:t>
      </w:r>
      <w:r w:rsidR="005349C7" w:rsidRPr="00083C6A">
        <w:rPr>
          <w:rFonts w:ascii="Book Antiqua" w:hAnsi="Book Antiqua" w:cs="Arial"/>
          <w:sz w:val="24"/>
          <w:szCs w:val="24"/>
        </w:rPr>
        <w:t xml:space="preserve"> and that s</w:t>
      </w:r>
      <w:r w:rsidR="0005136B" w:rsidRPr="00083C6A">
        <w:rPr>
          <w:rFonts w:ascii="Book Antiqua" w:hAnsi="Book Antiqua" w:cs="Arial"/>
          <w:sz w:val="24"/>
          <w:szCs w:val="24"/>
        </w:rPr>
        <w:t>he would not relocate</w:t>
      </w:r>
      <w:r w:rsidR="005349C7" w:rsidRPr="00083C6A">
        <w:rPr>
          <w:rFonts w:ascii="Book Antiqua" w:hAnsi="Book Antiqua" w:cs="Arial"/>
          <w:sz w:val="24"/>
          <w:szCs w:val="24"/>
        </w:rPr>
        <w:t>.</w:t>
      </w:r>
      <w:r w:rsidR="00AC1CA9" w:rsidRPr="00083C6A">
        <w:rPr>
          <w:rFonts w:ascii="Book Antiqua" w:hAnsi="Book Antiqua" w:cs="Arial"/>
          <w:sz w:val="24"/>
          <w:szCs w:val="24"/>
        </w:rPr>
        <w:t xml:space="preserve"> </w:t>
      </w:r>
      <w:r w:rsidR="005349C7" w:rsidRPr="00083C6A">
        <w:rPr>
          <w:rFonts w:ascii="Book Antiqua" w:hAnsi="Book Antiqua" w:cs="Arial"/>
          <w:sz w:val="24"/>
          <w:szCs w:val="24"/>
        </w:rPr>
        <w:t xml:space="preserve"> We also accept that he has family connections here that have</w:t>
      </w:r>
      <w:r w:rsidR="003411DE" w:rsidRPr="00083C6A">
        <w:rPr>
          <w:rFonts w:ascii="Book Antiqua" w:hAnsi="Book Antiqua" w:cs="Arial"/>
          <w:sz w:val="24"/>
          <w:szCs w:val="24"/>
        </w:rPr>
        <w:t>, particularly in relation to his father,</w:t>
      </w:r>
      <w:r w:rsidR="005349C7" w:rsidRPr="00083C6A">
        <w:rPr>
          <w:rFonts w:ascii="Book Antiqua" w:hAnsi="Book Antiqua" w:cs="Arial"/>
          <w:sz w:val="24"/>
          <w:szCs w:val="24"/>
        </w:rPr>
        <w:t xml:space="preserve"> strengthened in recent times</w:t>
      </w:r>
      <w:r w:rsidR="00364FB5" w:rsidRPr="00083C6A">
        <w:rPr>
          <w:rFonts w:ascii="Book Antiqua" w:hAnsi="Book Antiqua" w:cs="Arial"/>
          <w:sz w:val="24"/>
          <w:szCs w:val="24"/>
        </w:rPr>
        <w:t xml:space="preserve"> and that, although he has not acquired British citizenship, his presence in the UK has not been unlawful.</w:t>
      </w:r>
    </w:p>
    <w:p w14:paraId="6FFA3C25" w14:textId="77777777" w:rsidR="00B44397" w:rsidRPr="00083C6A" w:rsidRDefault="0005136B" w:rsidP="00083C6A">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‘Mere’ separation of a deportee from his spouse and/or children is manifestly not a sufficient basis from which to conclude that deportation would be unduly harsh. To decide otherwise would be to neutralise the effect of the Rules and the deportation provisions of s.117 of the 2002 Act (see also [34] of </w:t>
      </w:r>
      <w:r w:rsidRPr="00083C6A">
        <w:rPr>
          <w:rFonts w:ascii="Book Antiqua" w:hAnsi="Book Antiqua" w:cs="Arial"/>
          <w:i/>
          <w:sz w:val="24"/>
          <w:szCs w:val="24"/>
        </w:rPr>
        <w:t>NA (Pakistan) v Secretary of State for the Home Department</w:t>
      </w:r>
      <w:r w:rsidRPr="00083C6A">
        <w:rPr>
          <w:rFonts w:ascii="Book Antiqua" w:hAnsi="Book Antiqua" w:cs="Arial"/>
          <w:sz w:val="24"/>
          <w:szCs w:val="24"/>
        </w:rPr>
        <w:t xml:space="preserve"> [2016] EWCA </w:t>
      </w:r>
      <w:proofErr w:type="spellStart"/>
      <w:r w:rsidRPr="00083C6A">
        <w:rPr>
          <w:rFonts w:ascii="Book Antiqua" w:hAnsi="Book Antiqua" w:cs="Arial"/>
          <w:sz w:val="24"/>
          <w:szCs w:val="24"/>
        </w:rPr>
        <w:t>Civ</w:t>
      </w:r>
      <w:proofErr w:type="spellEnd"/>
      <w:r w:rsidRPr="00083C6A">
        <w:rPr>
          <w:rFonts w:ascii="Book Antiqua" w:hAnsi="Book Antiqua" w:cs="Arial"/>
          <w:sz w:val="24"/>
          <w:szCs w:val="24"/>
        </w:rPr>
        <w:t xml:space="preserve"> 662).</w:t>
      </w:r>
      <w:r w:rsidR="00F97A1F" w:rsidRPr="00083C6A">
        <w:rPr>
          <w:rFonts w:ascii="Book Antiqua" w:hAnsi="Book Antiqua" w:cs="Arial"/>
          <w:sz w:val="24"/>
          <w:szCs w:val="24"/>
        </w:rPr>
        <w:t xml:space="preserve"> </w:t>
      </w:r>
      <w:r w:rsidR="00B44397" w:rsidRPr="00083C6A">
        <w:rPr>
          <w:rFonts w:ascii="Book Antiqua" w:hAnsi="Book Antiqua" w:cs="Arial"/>
          <w:sz w:val="24"/>
          <w:szCs w:val="24"/>
        </w:rPr>
        <w:t xml:space="preserve">In </w:t>
      </w:r>
      <w:r w:rsidR="00B44397" w:rsidRPr="00083C6A">
        <w:rPr>
          <w:rFonts w:ascii="Book Antiqua" w:hAnsi="Book Antiqua" w:cs="Arial"/>
          <w:i/>
          <w:sz w:val="24"/>
          <w:szCs w:val="24"/>
        </w:rPr>
        <w:t xml:space="preserve">MM (Uganda) </w:t>
      </w:r>
      <w:r w:rsidR="00B44397" w:rsidRPr="00083C6A">
        <w:rPr>
          <w:rFonts w:ascii="Book Antiqua" w:hAnsi="Book Antiqua" w:cs="Arial"/>
          <w:sz w:val="24"/>
          <w:szCs w:val="24"/>
        </w:rPr>
        <w:t>in relation to the expression “unduly harsh, at [26] the court said that:</w:t>
      </w:r>
    </w:p>
    <w:p w14:paraId="6DE242A9" w14:textId="77777777" w:rsidR="00B44397" w:rsidRPr="00D02557" w:rsidRDefault="00B44397" w:rsidP="00D02557">
      <w:pPr>
        <w:spacing w:before="120" w:after="0" w:line="240" w:lineRule="auto"/>
        <w:ind w:left="1134" w:right="567"/>
        <w:jc w:val="both"/>
        <w:rPr>
          <w:rFonts w:ascii="Book Antiqua" w:hAnsi="Book Antiqua" w:cs="Arial"/>
          <w:szCs w:val="24"/>
        </w:rPr>
      </w:pPr>
      <w:r w:rsidRPr="00D02557">
        <w:rPr>
          <w:rFonts w:ascii="Book Antiqua" w:hAnsi="Book Antiqua" w:cs="Arial"/>
          <w:szCs w:val="24"/>
        </w:rPr>
        <w:t>“The expression ‘unduly harsh’ in section 117</w:t>
      </w:r>
      <w:proofErr w:type="gramStart"/>
      <w:r w:rsidRPr="00D02557">
        <w:rPr>
          <w:rFonts w:ascii="Book Antiqua" w:hAnsi="Book Antiqua" w:cs="Arial"/>
          <w:szCs w:val="24"/>
        </w:rPr>
        <w:t>C(</w:t>
      </w:r>
      <w:proofErr w:type="gramEnd"/>
      <w:r w:rsidRPr="00D02557">
        <w:rPr>
          <w:rFonts w:ascii="Book Antiqua" w:hAnsi="Book Antiqua" w:cs="Arial"/>
          <w:szCs w:val="24"/>
        </w:rPr>
        <w:t xml:space="preserve">5) and Rule 399(a) and (b) requires regard to be had to all the circumstances including the criminal’s immigration and criminal history.” </w:t>
      </w:r>
    </w:p>
    <w:p w14:paraId="1C244AE7" w14:textId="77777777" w:rsidR="0005136B" w:rsidRPr="00083C6A" w:rsidRDefault="00F97A1F" w:rsidP="00D02557">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lastRenderedPageBreak/>
        <w:t xml:space="preserve">Albeit that the appellant needs to show very compelling circumstances because of the sentence of imprisonment of four years, we have considered whether removing him would be </w:t>
      </w:r>
      <w:r w:rsidR="00606FB5" w:rsidRPr="00083C6A">
        <w:rPr>
          <w:rFonts w:ascii="Book Antiqua" w:hAnsi="Book Antiqua" w:cs="Arial"/>
          <w:sz w:val="24"/>
          <w:szCs w:val="24"/>
        </w:rPr>
        <w:t xml:space="preserve">unduly </w:t>
      </w:r>
      <w:r w:rsidRPr="00083C6A">
        <w:rPr>
          <w:rFonts w:ascii="Book Antiqua" w:hAnsi="Book Antiqua" w:cs="Arial"/>
          <w:sz w:val="24"/>
          <w:szCs w:val="24"/>
        </w:rPr>
        <w:t xml:space="preserve">harsh in terms of separation from his partner. However, we are not satisfied that it would be </w:t>
      </w:r>
      <w:r w:rsidRPr="00083C6A">
        <w:rPr>
          <w:rFonts w:ascii="Book Antiqua" w:hAnsi="Book Antiqua" w:cs="Arial"/>
          <w:i/>
          <w:sz w:val="24"/>
          <w:szCs w:val="24"/>
        </w:rPr>
        <w:t>unduly</w:t>
      </w:r>
      <w:r w:rsidRPr="00083C6A">
        <w:rPr>
          <w:rFonts w:ascii="Book Antiqua" w:hAnsi="Book Antiqua" w:cs="Arial"/>
          <w:sz w:val="24"/>
          <w:szCs w:val="24"/>
        </w:rPr>
        <w:t xml:space="preserve"> harsh.</w:t>
      </w:r>
    </w:p>
    <w:p w14:paraId="375A3CFC" w14:textId="77777777" w:rsidR="00025343" w:rsidRPr="00083C6A" w:rsidRDefault="00F97A1F" w:rsidP="00D02557">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F</w:t>
      </w:r>
      <w:r w:rsidR="005349C7" w:rsidRPr="00083C6A">
        <w:rPr>
          <w:rFonts w:ascii="Book Antiqua" w:hAnsi="Book Antiqua" w:cs="Arial"/>
          <w:sz w:val="24"/>
          <w:szCs w:val="24"/>
        </w:rPr>
        <w:t>or ma</w:t>
      </w:r>
      <w:r w:rsidR="003E2295" w:rsidRPr="00083C6A">
        <w:rPr>
          <w:rFonts w:ascii="Book Antiqua" w:hAnsi="Book Antiqua" w:cs="Arial"/>
          <w:sz w:val="24"/>
          <w:szCs w:val="24"/>
        </w:rPr>
        <w:t>n</w:t>
      </w:r>
      <w:r w:rsidR="005349C7" w:rsidRPr="00083C6A">
        <w:rPr>
          <w:rFonts w:ascii="Book Antiqua" w:hAnsi="Book Antiqua" w:cs="Arial"/>
          <w:sz w:val="24"/>
          <w:szCs w:val="24"/>
        </w:rPr>
        <w:t>y years as an adult</w:t>
      </w:r>
      <w:r w:rsidR="006715FC" w:rsidRPr="00083C6A">
        <w:rPr>
          <w:rFonts w:ascii="Book Antiqua" w:hAnsi="Book Antiqua" w:cs="Arial"/>
          <w:sz w:val="24"/>
          <w:szCs w:val="24"/>
        </w:rPr>
        <w:t>,</w:t>
      </w:r>
      <w:r w:rsidR="005349C7" w:rsidRPr="00083C6A">
        <w:rPr>
          <w:rFonts w:ascii="Book Antiqua" w:hAnsi="Book Antiqua" w:cs="Arial"/>
          <w:sz w:val="24"/>
          <w:szCs w:val="24"/>
        </w:rPr>
        <w:t xml:space="preserve"> </w:t>
      </w:r>
      <w:r w:rsidR="003E2295" w:rsidRPr="00083C6A">
        <w:rPr>
          <w:rFonts w:ascii="Book Antiqua" w:hAnsi="Book Antiqua" w:cs="Arial"/>
          <w:sz w:val="24"/>
          <w:szCs w:val="24"/>
        </w:rPr>
        <w:t>t</w:t>
      </w:r>
      <w:r w:rsidR="005349C7" w:rsidRPr="00083C6A">
        <w:rPr>
          <w:rFonts w:ascii="Book Antiqua" w:hAnsi="Book Antiqua" w:cs="Arial"/>
          <w:sz w:val="24"/>
          <w:szCs w:val="24"/>
        </w:rPr>
        <w:t xml:space="preserve">he </w:t>
      </w:r>
      <w:r w:rsidR="003E2295" w:rsidRPr="00083C6A">
        <w:rPr>
          <w:rFonts w:ascii="Book Antiqua" w:hAnsi="Book Antiqua" w:cs="Arial"/>
          <w:sz w:val="24"/>
          <w:szCs w:val="24"/>
        </w:rPr>
        <w:t xml:space="preserve">appellant </w:t>
      </w:r>
      <w:r w:rsidR="005349C7" w:rsidRPr="00083C6A">
        <w:rPr>
          <w:rFonts w:ascii="Book Antiqua" w:hAnsi="Book Antiqua" w:cs="Arial"/>
          <w:sz w:val="24"/>
          <w:szCs w:val="24"/>
        </w:rPr>
        <w:t xml:space="preserve">has committed serious offences.  Even when warned of the potential consequences of continuing to offend, he </w:t>
      </w:r>
      <w:r w:rsidR="00B520D4" w:rsidRPr="00083C6A">
        <w:rPr>
          <w:rFonts w:ascii="Book Antiqua" w:hAnsi="Book Antiqua" w:cs="Arial"/>
          <w:sz w:val="24"/>
          <w:szCs w:val="24"/>
        </w:rPr>
        <w:t xml:space="preserve">went on to commit further </w:t>
      </w:r>
      <w:r w:rsidR="00364FB5" w:rsidRPr="00083C6A">
        <w:rPr>
          <w:rFonts w:ascii="Book Antiqua" w:hAnsi="Book Antiqua" w:cs="Arial"/>
          <w:sz w:val="24"/>
          <w:szCs w:val="24"/>
        </w:rPr>
        <w:t>s</w:t>
      </w:r>
      <w:r w:rsidR="00B520D4" w:rsidRPr="00083C6A">
        <w:rPr>
          <w:rFonts w:ascii="Book Antiqua" w:hAnsi="Book Antiqua" w:cs="Arial"/>
          <w:sz w:val="24"/>
          <w:szCs w:val="24"/>
        </w:rPr>
        <w:t>erious offences and to drive unlawfully</w:t>
      </w:r>
      <w:r w:rsidR="005349C7" w:rsidRPr="00083C6A">
        <w:rPr>
          <w:rFonts w:ascii="Book Antiqua" w:hAnsi="Book Antiqua" w:cs="Arial"/>
          <w:sz w:val="24"/>
          <w:szCs w:val="24"/>
        </w:rPr>
        <w:t>.  He has not had a settled work history and there are puzzling anomalies in relation to what he is reported as having said about his history, for example</w:t>
      </w:r>
      <w:r w:rsidR="00B520D4" w:rsidRPr="00083C6A">
        <w:rPr>
          <w:rFonts w:ascii="Book Antiqua" w:hAnsi="Book Antiqua" w:cs="Arial"/>
          <w:sz w:val="24"/>
          <w:szCs w:val="24"/>
        </w:rPr>
        <w:t>,</w:t>
      </w:r>
      <w:r w:rsidR="005349C7" w:rsidRPr="00083C6A">
        <w:rPr>
          <w:rFonts w:ascii="Book Antiqua" w:hAnsi="Book Antiqua" w:cs="Arial"/>
          <w:sz w:val="24"/>
          <w:szCs w:val="24"/>
        </w:rPr>
        <w:t xml:space="preserve"> his qualifications and </w:t>
      </w:r>
      <w:r w:rsidR="00B520D4" w:rsidRPr="00083C6A">
        <w:rPr>
          <w:rFonts w:ascii="Book Antiqua" w:hAnsi="Book Antiqua" w:cs="Arial"/>
          <w:sz w:val="24"/>
          <w:szCs w:val="24"/>
        </w:rPr>
        <w:t xml:space="preserve">previous business.  </w:t>
      </w:r>
      <w:r w:rsidR="003411DE" w:rsidRPr="00083C6A">
        <w:rPr>
          <w:rFonts w:ascii="Book Antiqua" w:hAnsi="Book Antiqua" w:cs="Arial"/>
          <w:sz w:val="24"/>
          <w:szCs w:val="24"/>
        </w:rPr>
        <w:t>We note that he must have some cultural ties</w:t>
      </w:r>
      <w:r w:rsidR="00B520D4" w:rsidRPr="00083C6A">
        <w:rPr>
          <w:rFonts w:ascii="Book Antiqua" w:hAnsi="Book Antiqua" w:cs="Arial"/>
          <w:sz w:val="24"/>
          <w:szCs w:val="24"/>
        </w:rPr>
        <w:t xml:space="preserve"> </w:t>
      </w:r>
      <w:r w:rsidR="003411DE" w:rsidRPr="00083C6A">
        <w:rPr>
          <w:rFonts w:ascii="Book Antiqua" w:hAnsi="Book Antiqua" w:cs="Arial"/>
          <w:sz w:val="24"/>
          <w:szCs w:val="24"/>
        </w:rPr>
        <w:t>with Nigeria</w:t>
      </w:r>
      <w:r w:rsidR="00B726FA" w:rsidRPr="00083C6A">
        <w:rPr>
          <w:rFonts w:ascii="Book Antiqua" w:hAnsi="Book Antiqua" w:cs="Arial"/>
          <w:sz w:val="24"/>
          <w:szCs w:val="24"/>
        </w:rPr>
        <w:t xml:space="preserve">, where </w:t>
      </w:r>
      <w:r w:rsidR="003411DE" w:rsidRPr="00083C6A">
        <w:rPr>
          <w:rFonts w:ascii="Book Antiqua" w:hAnsi="Book Antiqua" w:cs="Arial"/>
          <w:sz w:val="24"/>
          <w:szCs w:val="24"/>
        </w:rPr>
        <w:t xml:space="preserve">English is </w:t>
      </w:r>
      <w:r w:rsidR="00B726FA" w:rsidRPr="00083C6A">
        <w:rPr>
          <w:rFonts w:ascii="Book Antiqua" w:hAnsi="Book Antiqua" w:cs="Arial"/>
          <w:sz w:val="24"/>
          <w:szCs w:val="24"/>
        </w:rPr>
        <w:t>the official language</w:t>
      </w:r>
      <w:r w:rsidR="003411DE" w:rsidRPr="00083C6A">
        <w:rPr>
          <w:rFonts w:ascii="Book Antiqua" w:hAnsi="Book Antiqua" w:cs="Arial"/>
          <w:sz w:val="24"/>
          <w:szCs w:val="24"/>
        </w:rPr>
        <w:t>.  He will be able to gain employment opportunities.</w:t>
      </w:r>
      <w:r w:rsidR="00B726FA" w:rsidRPr="00083C6A">
        <w:rPr>
          <w:rFonts w:ascii="Book Antiqua" w:hAnsi="Book Antiqua" w:cs="Arial"/>
          <w:sz w:val="24"/>
          <w:szCs w:val="24"/>
        </w:rPr>
        <w:t xml:space="preserve">  Like the writer of the OASys report, we were impressed by the appellant’s ‘personable’ character.</w:t>
      </w:r>
      <w:r w:rsidR="0005136B" w:rsidRPr="00083C6A">
        <w:rPr>
          <w:rFonts w:ascii="Book Antiqua" w:hAnsi="Book Antiqua" w:cs="Arial"/>
          <w:sz w:val="24"/>
          <w:szCs w:val="24"/>
        </w:rPr>
        <w:t xml:space="preserve"> </w:t>
      </w:r>
      <w:r w:rsidR="00B726FA" w:rsidRPr="00083C6A">
        <w:rPr>
          <w:rFonts w:ascii="Book Antiqua" w:hAnsi="Book Antiqua" w:cs="Arial"/>
          <w:sz w:val="24"/>
          <w:szCs w:val="24"/>
        </w:rPr>
        <w:t xml:space="preserve"> </w:t>
      </w:r>
      <w:r w:rsidR="0005136B" w:rsidRPr="00083C6A">
        <w:rPr>
          <w:rFonts w:ascii="Book Antiqua" w:hAnsi="Book Antiqua" w:cs="Arial"/>
          <w:sz w:val="24"/>
          <w:szCs w:val="24"/>
        </w:rPr>
        <w:t xml:space="preserve">We acknowledge that the appellant has health issues </w:t>
      </w:r>
      <w:r w:rsidR="00B726FA" w:rsidRPr="00083C6A">
        <w:rPr>
          <w:rFonts w:ascii="Book Antiqua" w:hAnsi="Book Antiqua" w:cs="Arial"/>
          <w:sz w:val="24"/>
          <w:szCs w:val="24"/>
        </w:rPr>
        <w:t>in the form of epilepsy and depression but there is no reason to doubt treatment will be available to him in Nigeria.</w:t>
      </w:r>
    </w:p>
    <w:p w14:paraId="1BE26AD0" w14:textId="61E5D411" w:rsidR="004475A3" w:rsidRPr="00083C6A" w:rsidRDefault="004475A3" w:rsidP="00D02557">
      <w:pPr>
        <w:numPr>
          <w:ilvl w:val="0"/>
          <w:numId w:val="1"/>
        </w:numPr>
        <w:spacing w:before="160" w:after="0" w:line="240" w:lineRule="auto"/>
        <w:jc w:val="both"/>
        <w:rPr>
          <w:rFonts w:ascii="Book Antiqua" w:hAnsi="Book Antiqua" w:cs="Arial"/>
          <w:sz w:val="24"/>
          <w:szCs w:val="24"/>
        </w:rPr>
      </w:pPr>
      <w:r w:rsidRPr="00083C6A">
        <w:rPr>
          <w:rFonts w:ascii="Book Antiqua" w:hAnsi="Book Antiqua" w:cs="Arial"/>
          <w:sz w:val="24"/>
          <w:szCs w:val="24"/>
        </w:rPr>
        <w:t>We note what is said in the report of Lisa Davies as</w:t>
      </w:r>
      <w:r w:rsidR="00B44397" w:rsidRPr="00083C6A">
        <w:rPr>
          <w:rFonts w:ascii="Book Antiqua" w:hAnsi="Book Antiqua" w:cs="Arial"/>
          <w:sz w:val="24"/>
          <w:szCs w:val="24"/>
        </w:rPr>
        <w:t xml:space="preserve"> to</w:t>
      </w:r>
      <w:r w:rsidRPr="00083C6A">
        <w:rPr>
          <w:rFonts w:ascii="Book Antiqua" w:hAnsi="Book Antiqua" w:cs="Arial"/>
          <w:sz w:val="24"/>
          <w:szCs w:val="24"/>
        </w:rPr>
        <w:t xml:space="preserve"> there being a moderate risk of “suicidal ideation” or of “attempted suicide” as at the date of her report in January 2018, further stating that the risk would increase significantly in the event of forcible removal to Nigeria. </w:t>
      </w:r>
      <w:r w:rsidR="00643F7A" w:rsidRPr="00083C6A">
        <w:rPr>
          <w:rFonts w:ascii="Book Antiqua" w:hAnsi="Book Antiqua" w:cs="Arial"/>
          <w:sz w:val="24"/>
          <w:szCs w:val="24"/>
        </w:rPr>
        <w:t xml:space="preserve">We also note the evidence of previous suicide attempts or self -harm. </w:t>
      </w:r>
      <w:r w:rsidRPr="00083C6A">
        <w:rPr>
          <w:rFonts w:ascii="Book Antiqua" w:hAnsi="Book Antiqua" w:cs="Arial"/>
          <w:sz w:val="24"/>
          <w:szCs w:val="24"/>
        </w:rPr>
        <w:t xml:space="preserve">However, when we enquired of Mr </w:t>
      </w:r>
      <w:proofErr w:type="spellStart"/>
      <w:r w:rsidRPr="00083C6A">
        <w:rPr>
          <w:rFonts w:ascii="Book Antiqua" w:hAnsi="Book Antiqua" w:cs="Arial"/>
          <w:sz w:val="24"/>
          <w:szCs w:val="24"/>
        </w:rPr>
        <w:t>Khubber</w:t>
      </w:r>
      <w:proofErr w:type="spellEnd"/>
      <w:r w:rsidRPr="00083C6A">
        <w:rPr>
          <w:rFonts w:ascii="Book Antiqua" w:hAnsi="Book Antiqua" w:cs="Arial"/>
          <w:sz w:val="24"/>
          <w:szCs w:val="24"/>
        </w:rPr>
        <w:t xml:space="preserve"> in the course of his submissions as to whether a risk of suicide was a matter relied on, we were reminded that his skeleton argument does not rely on an Article 3 free-standing claim in terms of suicide. No submissions were made to us in relation to the approach to an assessment of such a risk as set out in </w:t>
      </w:r>
      <w:r w:rsidRPr="00083C6A">
        <w:rPr>
          <w:rFonts w:ascii="Book Antiqua" w:hAnsi="Book Antiqua" w:cs="Arial"/>
          <w:i/>
          <w:sz w:val="24"/>
          <w:szCs w:val="24"/>
        </w:rPr>
        <w:t>J v Secretary of State for the Home Department</w:t>
      </w:r>
      <w:bookmarkStart w:id="3" w:name="_GoBack"/>
      <w:r w:rsidRPr="00083C6A">
        <w:rPr>
          <w:rFonts w:ascii="Book Antiqua" w:hAnsi="Book Antiqua" w:cs="Arial"/>
          <w:sz w:val="24"/>
          <w:szCs w:val="24"/>
        </w:rPr>
        <w:t>.</w:t>
      </w:r>
      <w:bookmarkEnd w:id="3"/>
      <w:r w:rsidRPr="00083C6A">
        <w:rPr>
          <w:rFonts w:ascii="Book Antiqua" w:hAnsi="Book Antiqua" w:cs="Arial"/>
          <w:sz w:val="24"/>
          <w:szCs w:val="24"/>
        </w:rPr>
        <w:t xml:space="preserve"> We also bear in mind that the OASys report at 8.1 states that there were no “current” concerns about suicide. In addition, </w:t>
      </w:r>
      <w:r w:rsidR="00643F7A" w:rsidRPr="00083C6A">
        <w:rPr>
          <w:rFonts w:ascii="Book Antiqua" w:hAnsi="Book Antiqua" w:cs="Arial"/>
          <w:sz w:val="24"/>
          <w:szCs w:val="24"/>
        </w:rPr>
        <w:t xml:space="preserve">no oral evidence was led from the </w:t>
      </w:r>
      <w:r w:rsidRPr="00083C6A">
        <w:rPr>
          <w:rFonts w:ascii="Book Antiqua" w:hAnsi="Book Antiqua" w:cs="Arial"/>
          <w:sz w:val="24"/>
          <w:szCs w:val="24"/>
        </w:rPr>
        <w:t>appellant in examination-in-chief in relation to any asserted risk of suicide. We are not satisfied that the evidence does establish that there is a real risk of suicide in the event of his being removed to Nigeria or at any stage prior to that event and that there is thus a real risk of a breach of Article 3 in that respect.</w:t>
      </w:r>
      <w:r w:rsidR="00643F7A" w:rsidRPr="00083C6A">
        <w:rPr>
          <w:rFonts w:ascii="Book Antiqua" w:hAnsi="Book Antiqua" w:cs="Arial"/>
          <w:sz w:val="24"/>
          <w:szCs w:val="24"/>
        </w:rPr>
        <w:t xml:space="preserve"> Even if there is a risk of a suicide attempt, such was not relied on in advancing an Article 3 case.</w:t>
      </w:r>
    </w:p>
    <w:p w14:paraId="58286A2E" w14:textId="77777777" w:rsidR="00025343" w:rsidRPr="00083C6A" w:rsidRDefault="00A94C4C" w:rsidP="00D02557">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 xml:space="preserve">We accept that the appellant has made efforts </w:t>
      </w:r>
      <w:r w:rsidR="00E92DB6" w:rsidRPr="00083C6A">
        <w:rPr>
          <w:rFonts w:ascii="Book Antiqua" w:hAnsi="Book Antiqua" w:cs="Arial"/>
          <w:sz w:val="24"/>
          <w:szCs w:val="24"/>
        </w:rPr>
        <w:t xml:space="preserve">recently </w:t>
      </w:r>
      <w:r w:rsidRPr="00083C6A">
        <w:rPr>
          <w:rFonts w:ascii="Book Antiqua" w:hAnsi="Book Antiqua" w:cs="Arial"/>
          <w:sz w:val="24"/>
          <w:szCs w:val="24"/>
        </w:rPr>
        <w:t>to improve his attitude and desist from offending.  However, despite warnings and at a time he was in a precarious position</w:t>
      </w:r>
      <w:r w:rsidR="00837B45" w:rsidRPr="00083C6A">
        <w:rPr>
          <w:rFonts w:ascii="Book Antiqua" w:hAnsi="Book Antiqua" w:cs="Arial"/>
          <w:sz w:val="24"/>
          <w:szCs w:val="24"/>
        </w:rPr>
        <w:t>,</w:t>
      </w:r>
      <w:r w:rsidRPr="00083C6A">
        <w:rPr>
          <w:rFonts w:ascii="Book Antiqua" w:hAnsi="Book Antiqua" w:cs="Arial"/>
          <w:sz w:val="24"/>
          <w:szCs w:val="24"/>
        </w:rPr>
        <w:t xml:space="preserve"> he continued to offend and we did not find his recently asserted empathy with the victim of his driving offence to be convincing.  We have no doubt that he still presents a </w:t>
      </w:r>
      <w:r w:rsidR="006A2301" w:rsidRPr="00083C6A">
        <w:rPr>
          <w:rFonts w:ascii="Book Antiqua" w:hAnsi="Book Antiqua" w:cs="Arial"/>
          <w:sz w:val="24"/>
          <w:szCs w:val="24"/>
        </w:rPr>
        <w:t xml:space="preserve">significant </w:t>
      </w:r>
      <w:r w:rsidRPr="00083C6A">
        <w:rPr>
          <w:rFonts w:ascii="Book Antiqua" w:hAnsi="Book Antiqua" w:cs="Arial"/>
          <w:sz w:val="24"/>
          <w:szCs w:val="24"/>
        </w:rPr>
        <w:t xml:space="preserve">risk of continuing to offend, including driving unlawfully.  In these circumstances he </w:t>
      </w:r>
      <w:r w:rsidR="00837B45" w:rsidRPr="00083C6A">
        <w:rPr>
          <w:rFonts w:ascii="Book Antiqua" w:hAnsi="Book Antiqua" w:cs="Arial"/>
          <w:sz w:val="24"/>
          <w:szCs w:val="24"/>
        </w:rPr>
        <w:t xml:space="preserve">remains </w:t>
      </w:r>
      <w:r w:rsidRPr="00083C6A">
        <w:rPr>
          <w:rFonts w:ascii="Book Antiqua" w:hAnsi="Book Antiqua" w:cs="Arial"/>
          <w:sz w:val="24"/>
          <w:szCs w:val="24"/>
        </w:rPr>
        <w:t>a significant risk to the public</w:t>
      </w:r>
      <w:r w:rsidR="00FA2DA3" w:rsidRPr="00083C6A">
        <w:rPr>
          <w:rFonts w:ascii="Book Antiqua" w:hAnsi="Book Antiqua" w:cs="Arial"/>
          <w:sz w:val="24"/>
          <w:szCs w:val="24"/>
        </w:rPr>
        <w:t xml:space="preserve">. </w:t>
      </w:r>
      <w:r w:rsidR="00E92DB6" w:rsidRPr="00083C6A">
        <w:rPr>
          <w:rFonts w:ascii="Book Antiqua" w:hAnsi="Book Antiqua" w:cs="Arial"/>
          <w:sz w:val="24"/>
          <w:szCs w:val="24"/>
        </w:rPr>
        <w:t xml:space="preserve"> </w:t>
      </w:r>
      <w:r w:rsidR="00025343" w:rsidRPr="00083C6A">
        <w:rPr>
          <w:rFonts w:ascii="Book Antiqua" w:hAnsi="Book Antiqua" w:cs="Arial"/>
          <w:sz w:val="24"/>
          <w:szCs w:val="24"/>
        </w:rPr>
        <w:t xml:space="preserve">The very strong public interest in deportation is manifest. </w:t>
      </w:r>
      <w:r w:rsidRPr="00083C6A">
        <w:rPr>
          <w:rFonts w:ascii="Book Antiqua" w:hAnsi="Book Antiqua" w:cs="Arial"/>
          <w:sz w:val="24"/>
          <w:szCs w:val="24"/>
        </w:rPr>
        <w:t xml:space="preserve"> </w:t>
      </w:r>
    </w:p>
    <w:p w14:paraId="217E3E87" w14:textId="2843A8AD" w:rsidR="00025343" w:rsidRPr="00083C6A" w:rsidRDefault="00545177" w:rsidP="00D02557">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t>In considering</w:t>
      </w:r>
      <w:r w:rsidR="00F40917" w:rsidRPr="00083C6A">
        <w:rPr>
          <w:rFonts w:ascii="Book Antiqua" w:hAnsi="Book Antiqua" w:cs="Arial"/>
          <w:sz w:val="24"/>
          <w:szCs w:val="24"/>
        </w:rPr>
        <w:t xml:space="preserve"> </w:t>
      </w:r>
      <w:r w:rsidR="00025343" w:rsidRPr="00083C6A">
        <w:rPr>
          <w:rFonts w:ascii="Book Antiqua" w:hAnsi="Book Antiqua" w:cs="Arial"/>
          <w:sz w:val="24"/>
          <w:szCs w:val="24"/>
        </w:rPr>
        <w:t>whether there are very compelling circumstances over and above those described in</w:t>
      </w:r>
      <w:r w:rsidR="00873118" w:rsidRPr="00083C6A">
        <w:rPr>
          <w:rFonts w:ascii="Book Antiqua" w:hAnsi="Book Antiqua" w:cs="Arial"/>
          <w:sz w:val="24"/>
          <w:szCs w:val="24"/>
        </w:rPr>
        <w:t xml:space="preserve"> the Rules</w:t>
      </w:r>
      <w:r w:rsidR="00025343" w:rsidRPr="00083C6A">
        <w:rPr>
          <w:rFonts w:ascii="Book Antiqua" w:hAnsi="Book Antiqua" w:cs="Arial"/>
          <w:sz w:val="24"/>
          <w:szCs w:val="24"/>
        </w:rPr>
        <w:t>, as well as the parallel provisions of s.117C of the 2002 Act</w:t>
      </w:r>
      <w:r w:rsidRPr="00083C6A">
        <w:rPr>
          <w:rFonts w:ascii="Book Antiqua" w:hAnsi="Book Antiqua" w:cs="Arial"/>
          <w:sz w:val="24"/>
          <w:szCs w:val="24"/>
        </w:rPr>
        <w:t>,</w:t>
      </w:r>
      <w:r w:rsidR="006A2301" w:rsidRPr="00083C6A">
        <w:rPr>
          <w:rFonts w:ascii="Book Antiqua" w:hAnsi="Book Antiqua" w:cs="Arial"/>
          <w:sz w:val="24"/>
          <w:szCs w:val="24"/>
        </w:rPr>
        <w:t xml:space="preserve"> we have looked at matters collectively (see [30]</w:t>
      </w:r>
      <w:proofErr w:type="gramStart"/>
      <w:r w:rsidR="006A2301" w:rsidRPr="00083C6A">
        <w:rPr>
          <w:rFonts w:ascii="Book Antiqua" w:hAnsi="Book Antiqua" w:cs="Arial"/>
          <w:sz w:val="24"/>
          <w:szCs w:val="24"/>
        </w:rPr>
        <w:t>-[</w:t>
      </w:r>
      <w:proofErr w:type="gramEnd"/>
      <w:r w:rsidR="006A2301" w:rsidRPr="00083C6A">
        <w:rPr>
          <w:rFonts w:ascii="Book Antiqua" w:hAnsi="Book Antiqua" w:cs="Arial"/>
          <w:sz w:val="24"/>
          <w:szCs w:val="24"/>
        </w:rPr>
        <w:t xml:space="preserve">32] of </w:t>
      </w:r>
      <w:r w:rsidR="006A2301" w:rsidRPr="00083C6A">
        <w:rPr>
          <w:rFonts w:ascii="Book Antiqua" w:hAnsi="Book Antiqua" w:cs="Arial"/>
          <w:i/>
          <w:sz w:val="24"/>
          <w:szCs w:val="24"/>
        </w:rPr>
        <w:t>NA (Pakistan)</w:t>
      </w:r>
      <w:r w:rsidR="007367A5" w:rsidRPr="00083C6A">
        <w:rPr>
          <w:rFonts w:ascii="Book Antiqua" w:hAnsi="Book Antiqua" w:cs="Arial"/>
          <w:sz w:val="24"/>
          <w:szCs w:val="24"/>
        </w:rPr>
        <w:t>)</w:t>
      </w:r>
      <w:r w:rsidR="00873118" w:rsidRPr="00083C6A">
        <w:rPr>
          <w:rFonts w:ascii="Book Antiqua" w:hAnsi="Book Antiqua" w:cs="Arial"/>
          <w:sz w:val="24"/>
          <w:szCs w:val="24"/>
        </w:rPr>
        <w:t>.</w:t>
      </w:r>
      <w:r w:rsidR="006A2301" w:rsidRPr="00083C6A">
        <w:rPr>
          <w:rFonts w:ascii="Book Antiqua" w:hAnsi="Book Antiqua" w:cs="Arial"/>
          <w:sz w:val="24"/>
          <w:szCs w:val="24"/>
        </w:rPr>
        <w:t xml:space="preserve"> </w:t>
      </w:r>
      <w:r w:rsidR="00873118" w:rsidRPr="00083C6A">
        <w:rPr>
          <w:rFonts w:ascii="Book Antiqua" w:hAnsi="Book Antiqua" w:cs="Arial"/>
          <w:sz w:val="24"/>
          <w:szCs w:val="24"/>
        </w:rPr>
        <w:t>W</w:t>
      </w:r>
      <w:r w:rsidRPr="00083C6A">
        <w:rPr>
          <w:rFonts w:ascii="Book Antiqua" w:hAnsi="Book Antiqua" w:cs="Arial"/>
          <w:sz w:val="24"/>
          <w:szCs w:val="24"/>
        </w:rPr>
        <w:t>e bear in mind that in</w:t>
      </w:r>
      <w:r w:rsidR="00025343" w:rsidRPr="00083C6A">
        <w:rPr>
          <w:rFonts w:ascii="Book Antiqua" w:hAnsi="Book Antiqua" w:cs="Arial"/>
          <w:sz w:val="24"/>
          <w:szCs w:val="24"/>
        </w:rPr>
        <w:t xml:space="preserve"> order for the public interest to be outweighed there would have to be “a very strong claim indeed” ([38] </w:t>
      </w:r>
      <w:r w:rsidR="00025343" w:rsidRPr="00083C6A">
        <w:rPr>
          <w:rFonts w:ascii="Book Antiqua" w:hAnsi="Book Antiqua" w:cs="Arial"/>
          <w:i/>
          <w:sz w:val="24"/>
          <w:szCs w:val="24"/>
        </w:rPr>
        <w:t>Hesham Ali</w:t>
      </w:r>
      <w:r w:rsidR="00025343" w:rsidRPr="00083C6A">
        <w:rPr>
          <w:rFonts w:ascii="Book Antiqua" w:hAnsi="Book Antiqua" w:cs="Arial"/>
          <w:sz w:val="24"/>
          <w:szCs w:val="24"/>
        </w:rPr>
        <w:t>). We cannot see that there are such circumstances in this appeal, reflecting again on all the matters that we have considered and there being no additional relevant factors to be taken into account.</w:t>
      </w:r>
    </w:p>
    <w:p w14:paraId="03319664" w14:textId="77777777" w:rsidR="00025343" w:rsidRPr="00083C6A" w:rsidRDefault="00025343" w:rsidP="00D02557">
      <w:pPr>
        <w:numPr>
          <w:ilvl w:val="0"/>
          <w:numId w:val="1"/>
        </w:numPr>
        <w:tabs>
          <w:tab w:val="clear" w:pos="567"/>
        </w:tabs>
        <w:spacing w:before="160" w:after="0" w:line="240" w:lineRule="auto"/>
        <w:jc w:val="both"/>
        <w:rPr>
          <w:rFonts w:ascii="Book Antiqua" w:hAnsi="Book Antiqua" w:cs="Arial"/>
          <w:sz w:val="24"/>
          <w:szCs w:val="24"/>
        </w:rPr>
      </w:pPr>
      <w:r w:rsidRPr="00083C6A">
        <w:rPr>
          <w:rFonts w:ascii="Book Antiqua" w:hAnsi="Book Antiqua" w:cs="Arial"/>
          <w:sz w:val="24"/>
          <w:szCs w:val="24"/>
        </w:rPr>
        <w:lastRenderedPageBreak/>
        <w:t>Accordingly, the appeal must be dismissed.</w:t>
      </w:r>
    </w:p>
    <w:p w14:paraId="20632989" w14:textId="77777777" w:rsidR="00025343" w:rsidRPr="00083C6A" w:rsidRDefault="00025343" w:rsidP="00D02557">
      <w:pPr>
        <w:spacing w:before="160" w:after="0" w:line="240" w:lineRule="auto"/>
        <w:ind w:left="567"/>
        <w:jc w:val="both"/>
        <w:rPr>
          <w:rFonts w:ascii="Book Antiqua" w:hAnsi="Book Antiqua" w:cs="Arial"/>
          <w:sz w:val="24"/>
          <w:szCs w:val="24"/>
        </w:rPr>
      </w:pPr>
      <w:r w:rsidRPr="00083C6A">
        <w:rPr>
          <w:rFonts w:ascii="Book Antiqua" w:hAnsi="Book Antiqua" w:cs="Arial"/>
          <w:i/>
          <w:sz w:val="24"/>
          <w:szCs w:val="24"/>
        </w:rPr>
        <w:t>Decision</w:t>
      </w:r>
    </w:p>
    <w:p w14:paraId="173D30E2" w14:textId="77777777" w:rsidR="00025343" w:rsidRPr="00083C6A" w:rsidRDefault="00025343" w:rsidP="00D02557">
      <w:pPr>
        <w:numPr>
          <w:ilvl w:val="0"/>
          <w:numId w:val="1"/>
        </w:numPr>
        <w:tabs>
          <w:tab w:val="clear" w:pos="567"/>
        </w:tabs>
        <w:spacing w:before="160" w:after="0" w:line="240" w:lineRule="auto"/>
        <w:jc w:val="both"/>
        <w:rPr>
          <w:rFonts w:ascii="Book Antiqua" w:hAnsi="Book Antiqua" w:cs="Arial"/>
          <w:b/>
          <w:sz w:val="24"/>
          <w:szCs w:val="24"/>
          <w:u w:val="single"/>
        </w:rPr>
      </w:pPr>
      <w:r w:rsidRPr="00083C6A">
        <w:rPr>
          <w:rFonts w:ascii="Book Antiqua" w:hAnsi="Book Antiqua" w:cs="Arial"/>
          <w:sz w:val="24"/>
          <w:szCs w:val="24"/>
        </w:rPr>
        <w:t xml:space="preserve">The decision of the First-tier Tribunal </w:t>
      </w:r>
      <w:r w:rsidR="00D06631" w:rsidRPr="00083C6A">
        <w:rPr>
          <w:rFonts w:ascii="Book Antiqua" w:hAnsi="Book Antiqua" w:cs="Arial"/>
          <w:sz w:val="24"/>
          <w:szCs w:val="24"/>
        </w:rPr>
        <w:t xml:space="preserve">having been </w:t>
      </w:r>
      <w:r w:rsidRPr="00083C6A">
        <w:rPr>
          <w:rFonts w:ascii="Book Antiqua" w:hAnsi="Book Antiqua" w:cs="Arial"/>
          <w:sz w:val="24"/>
          <w:szCs w:val="24"/>
        </w:rPr>
        <w:t xml:space="preserve">set aside, we re-make the decision by dismissing the appeal. </w:t>
      </w:r>
    </w:p>
    <w:p w14:paraId="21891CDA" w14:textId="089380C6" w:rsidR="00600DB2" w:rsidRDefault="00600DB2" w:rsidP="00D02557">
      <w:pPr>
        <w:spacing w:after="0" w:line="240" w:lineRule="auto"/>
        <w:ind w:left="567"/>
        <w:jc w:val="both"/>
        <w:rPr>
          <w:rFonts w:ascii="Book Antiqua" w:hAnsi="Book Antiqua" w:cs="Arial"/>
          <w:b/>
          <w:sz w:val="24"/>
          <w:szCs w:val="24"/>
          <w:u w:val="single"/>
        </w:rPr>
      </w:pPr>
    </w:p>
    <w:p w14:paraId="1DBFF271" w14:textId="77777777" w:rsidR="00D02557" w:rsidRPr="00083C6A" w:rsidRDefault="00D02557" w:rsidP="00D02557">
      <w:pPr>
        <w:spacing w:after="0" w:line="240" w:lineRule="auto"/>
        <w:ind w:left="567"/>
        <w:jc w:val="both"/>
        <w:rPr>
          <w:rFonts w:ascii="Book Antiqua" w:hAnsi="Book Antiqua" w:cs="Arial"/>
          <w:b/>
          <w:sz w:val="24"/>
          <w:szCs w:val="24"/>
          <w:u w:val="single"/>
        </w:rPr>
      </w:pPr>
    </w:p>
    <w:p w14:paraId="31DD544E" w14:textId="48663C2D" w:rsidR="007367A5" w:rsidRPr="00083C6A" w:rsidRDefault="00130540" w:rsidP="00D02557">
      <w:pPr>
        <w:tabs>
          <w:tab w:val="right" w:pos="9638"/>
        </w:tabs>
        <w:spacing w:after="0" w:line="240" w:lineRule="auto"/>
        <w:ind w:left="567"/>
        <w:jc w:val="both"/>
        <w:rPr>
          <w:rFonts w:ascii="Book Antiqua" w:hAnsi="Book Antiqua" w:cs="Arial"/>
          <w:b/>
          <w:sz w:val="24"/>
          <w:szCs w:val="24"/>
        </w:rPr>
      </w:pPr>
      <w:r w:rsidRPr="00083C6A">
        <w:rPr>
          <w:rFonts w:ascii="Book Antiqua" w:hAnsi="Book Antiqua" w:cs="Arial"/>
          <w:b/>
          <w:sz w:val="24"/>
          <w:szCs w:val="24"/>
        </w:rPr>
        <w:t xml:space="preserve">The </w:t>
      </w:r>
      <w:r w:rsidR="00D02557">
        <w:rPr>
          <w:rFonts w:ascii="Book Antiqua" w:hAnsi="Book Antiqua" w:cs="Arial"/>
          <w:b/>
          <w:sz w:val="24"/>
          <w:szCs w:val="24"/>
        </w:rPr>
        <w:t xml:space="preserve">Hon. </w:t>
      </w:r>
      <w:r w:rsidR="00600DB2" w:rsidRPr="00083C6A">
        <w:rPr>
          <w:rFonts w:ascii="Book Antiqua" w:hAnsi="Book Antiqua" w:cs="Arial"/>
          <w:b/>
          <w:sz w:val="24"/>
          <w:szCs w:val="24"/>
        </w:rPr>
        <w:t>Mr Justice Goss</w:t>
      </w:r>
      <w:r w:rsidR="007367A5" w:rsidRPr="00083C6A">
        <w:rPr>
          <w:rFonts w:ascii="Book Antiqua" w:hAnsi="Book Antiqua" w:cs="Arial"/>
          <w:b/>
          <w:sz w:val="24"/>
          <w:szCs w:val="24"/>
        </w:rPr>
        <w:tab/>
      </w:r>
      <w:r w:rsidR="000E6895" w:rsidRPr="00083C6A">
        <w:rPr>
          <w:rFonts w:ascii="Book Antiqua" w:hAnsi="Book Antiqua" w:cs="Arial"/>
          <w:b/>
          <w:sz w:val="24"/>
          <w:szCs w:val="24"/>
        </w:rPr>
        <w:t>06 August 20</w:t>
      </w:r>
      <w:r w:rsidR="00600DB2" w:rsidRPr="00083C6A">
        <w:rPr>
          <w:rFonts w:ascii="Book Antiqua" w:hAnsi="Book Antiqua" w:cs="Arial"/>
          <w:b/>
          <w:sz w:val="24"/>
          <w:szCs w:val="24"/>
        </w:rPr>
        <w:t>18</w:t>
      </w:r>
      <w:r w:rsidRPr="00083C6A">
        <w:rPr>
          <w:rFonts w:ascii="Book Antiqua" w:hAnsi="Book Antiqua" w:cs="Arial"/>
          <w:b/>
          <w:sz w:val="24"/>
          <w:szCs w:val="24"/>
        </w:rPr>
        <w:t xml:space="preserve"> </w:t>
      </w:r>
    </w:p>
    <w:p w14:paraId="6A035ED7" w14:textId="6BABD638" w:rsidR="00600DB2" w:rsidRPr="00D02557" w:rsidRDefault="00130540" w:rsidP="00D02557">
      <w:pPr>
        <w:spacing w:after="0" w:line="240" w:lineRule="auto"/>
        <w:ind w:left="567"/>
        <w:jc w:val="both"/>
        <w:rPr>
          <w:rFonts w:ascii="Book Antiqua" w:hAnsi="Book Antiqua" w:cs="Arial"/>
          <w:b/>
          <w:szCs w:val="24"/>
        </w:rPr>
      </w:pPr>
      <w:r w:rsidRPr="00D02557">
        <w:rPr>
          <w:rFonts w:ascii="Book Antiqua" w:hAnsi="Book Antiqua" w:cs="Arial"/>
          <w:b/>
          <w:szCs w:val="24"/>
        </w:rPr>
        <w:t xml:space="preserve">Sitting </w:t>
      </w:r>
      <w:r w:rsidR="00D02557">
        <w:rPr>
          <w:rFonts w:ascii="Book Antiqua" w:hAnsi="Book Antiqua" w:cs="Arial"/>
          <w:b/>
          <w:szCs w:val="24"/>
        </w:rPr>
        <w:t xml:space="preserve">as a </w:t>
      </w:r>
      <w:r w:rsidRPr="00D02557">
        <w:rPr>
          <w:rFonts w:ascii="Book Antiqua" w:hAnsi="Book Antiqua" w:cs="Arial"/>
          <w:b/>
          <w:szCs w:val="24"/>
        </w:rPr>
        <w:t xml:space="preserve">Judge </w:t>
      </w:r>
      <w:r w:rsidR="00D02557">
        <w:rPr>
          <w:rFonts w:ascii="Book Antiqua" w:hAnsi="Book Antiqua" w:cs="Arial"/>
          <w:b/>
          <w:szCs w:val="24"/>
        </w:rPr>
        <w:t xml:space="preserve">of the </w:t>
      </w:r>
      <w:r w:rsidRPr="00D02557">
        <w:rPr>
          <w:rFonts w:ascii="Book Antiqua" w:hAnsi="Book Antiqua" w:cs="Arial"/>
          <w:b/>
          <w:szCs w:val="24"/>
        </w:rPr>
        <w:t>Upper Tribunal</w:t>
      </w:r>
    </w:p>
    <w:p w14:paraId="1E5A3D0B" w14:textId="77777777" w:rsidR="00025343" w:rsidRPr="00083C6A" w:rsidRDefault="00025343" w:rsidP="00D02557">
      <w:pPr>
        <w:spacing w:after="0" w:line="240" w:lineRule="auto"/>
        <w:ind w:left="567"/>
        <w:jc w:val="both"/>
        <w:rPr>
          <w:rFonts w:ascii="Book Antiqua" w:hAnsi="Book Antiqua" w:cs="Arial"/>
          <w:b/>
          <w:sz w:val="24"/>
          <w:szCs w:val="24"/>
          <w:u w:val="single"/>
        </w:rPr>
      </w:pPr>
    </w:p>
    <w:sectPr w:rsidR="00025343" w:rsidRPr="00083C6A" w:rsidSect="00083C6A">
      <w:headerReference w:type="default" r:id="rId11"/>
      <w:footerReference w:type="default" r:id="rId12"/>
      <w:footerReference w:type="first" r:id="rId13"/>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BE4C8" w14:textId="77777777" w:rsidR="00CD6D62" w:rsidRDefault="00CD6D62" w:rsidP="00145F46">
      <w:pPr>
        <w:spacing w:after="0" w:line="240" w:lineRule="auto"/>
      </w:pPr>
      <w:r>
        <w:separator/>
      </w:r>
    </w:p>
  </w:endnote>
  <w:endnote w:type="continuationSeparator" w:id="0">
    <w:p w14:paraId="78A79F03" w14:textId="77777777" w:rsidR="00CD6D62" w:rsidRDefault="00CD6D62" w:rsidP="0014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8C1C" w14:textId="7D1CD0A6" w:rsidR="00D77386" w:rsidRDefault="00D77386" w:rsidP="007367A5">
    <w:pPr>
      <w:pStyle w:val="Footer"/>
      <w:spacing w:after="0" w:line="240" w:lineRule="auto"/>
      <w:jc w:val="center"/>
    </w:pPr>
    <w:r>
      <w:fldChar w:fldCharType="begin"/>
    </w:r>
    <w:r>
      <w:instrText xml:space="preserve"> PAGE   \* MERGEFORMAT </w:instrText>
    </w:r>
    <w:r>
      <w:fldChar w:fldCharType="separate"/>
    </w:r>
    <w:r w:rsidR="00DE2982">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CEF74" w14:textId="77777777" w:rsidR="00D77386" w:rsidRPr="00B90D75" w:rsidRDefault="00D77386" w:rsidP="007367A5">
    <w:pPr>
      <w:pStyle w:val="Footer"/>
      <w:spacing w:after="0" w:line="240" w:lineRule="auto"/>
      <w:jc w:val="center"/>
      <w:rPr>
        <w:sz w:val="24"/>
        <w:szCs w:val="24"/>
      </w:rPr>
    </w:pPr>
    <w:r w:rsidRPr="00B90D75">
      <w:rPr>
        <w:rFonts w:ascii="Book Antiqua" w:hAnsi="Book Antiqua" w:cs="Arial"/>
        <w:b/>
        <w:spacing w:val="-6"/>
        <w:sz w:val="24"/>
        <w:szCs w:val="24"/>
      </w:rPr>
      <w:t>©</w:t>
    </w:r>
    <w:r w:rsidRPr="00B90D75">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2043E" w14:textId="77777777" w:rsidR="00CD6D62" w:rsidRDefault="00CD6D62" w:rsidP="00145F46">
      <w:pPr>
        <w:spacing w:after="0" w:line="240" w:lineRule="auto"/>
      </w:pPr>
      <w:r>
        <w:separator/>
      </w:r>
    </w:p>
  </w:footnote>
  <w:footnote w:type="continuationSeparator" w:id="0">
    <w:p w14:paraId="45DAA6A6" w14:textId="77777777" w:rsidR="00CD6D62" w:rsidRDefault="00CD6D62" w:rsidP="00145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A01F3" w14:textId="77777777" w:rsidR="00145F46" w:rsidRPr="007367A5" w:rsidRDefault="00D77386" w:rsidP="007367A5">
    <w:pPr>
      <w:pStyle w:val="Header"/>
      <w:spacing w:after="0" w:line="240" w:lineRule="auto"/>
      <w:jc w:val="right"/>
      <w:rPr>
        <w:sz w:val="14"/>
        <w:szCs w:val="16"/>
        <w:u w:val="single"/>
      </w:rPr>
    </w:pPr>
    <w:r w:rsidRPr="007367A5">
      <w:rPr>
        <w:rFonts w:ascii="Book Antiqua" w:hAnsi="Book Antiqua" w:cs="Arial"/>
        <w:color w:val="000000"/>
        <w:sz w:val="20"/>
      </w:rPr>
      <w:t xml:space="preserve">Appeal Number: </w:t>
    </w:r>
    <w:r w:rsidRPr="007367A5">
      <w:rPr>
        <w:rFonts w:ascii="Book Antiqua" w:hAnsi="Book Antiqua" w:cs="Arial"/>
        <w:caps/>
        <w:color w:val="000000"/>
        <w:sz w:val="20"/>
      </w:rPr>
      <w:t>DA/00574/2014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75"/>
    <w:multiLevelType w:val="multilevel"/>
    <w:tmpl w:val="5BD8D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A4576"/>
    <w:multiLevelType w:val="multilevel"/>
    <w:tmpl w:val="A09C1478"/>
    <w:lvl w:ilvl="0">
      <w:start w:val="1"/>
      <w:numFmt w:val="decimal"/>
      <w:lvlText w:val="%1."/>
      <w:lvlJc w:val="left"/>
      <w:pPr>
        <w:tabs>
          <w:tab w:val="num" w:pos="567"/>
        </w:tabs>
        <w:ind w:left="567" w:hanging="567"/>
      </w:pPr>
      <w:rPr>
        <w:rFonts w:hint="default"/>
        <w:b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44E5FEE"/>
    <w:multiLevelType w:val="hybridMultilevel"/>
    <w:tmpl w:val="F95A893E"/>
    <w:lvl w:ilvl="0" w:tplc="08090001">
      <w:start w:val="1"/>
      <w:numFmt w:val="bullet"/>
      <w:lvlText w:val=""/>
      <w:lvlJc w:val="left"/>
      <w:pPr>
        <w:ind w:left="1408" w:hanging="360"/>
      </w:pPr>
      <w:rPr>
        <w:rFonts w:ascii="Symbol" w:hAnsi="Symbol" w:hint="default"/>
      </w:rPr>
    </w:lvl>
    <w:lvl w:ilvl="1" w:tplc="08090003" w:tentative="1">
      <w:start w:val="1"/>
      <w:numFmt w:val="bullet"/>
      <w:lvlText w:val="o"/>
      <w:lvlJc w:val="left"/>
      <w:pPr>
        <w:ind w:left="2128" w:hanging="360"/>
      </w:pPr>
      <w:rPr>
        <w:rFonts w:ascii="Courier New" w:hAnsi="Courier New" w:cs="Courier New" w:hint="default"/>
      </w:rPr>
    </w:lvl>
    <w:lvl w:ilvl="2" w:tplc="08090005" w:tentative="1">
      <w:start w:val="1"/>
      <w:numFmt w:val="bullet"/>
      <w:lvlText w:val=""/>
      <w:lvlJc w:val="left"/>
      <w:pPr>
        <w:ind w:left="2848" w:hanging="360"/>
      </w:pPr>
      <w:rPr>
        <w:rFonts w:ascii="Wingdings" w:hAnsi="Wingdings" w:hint="default"/>
      </w:rPr>
    </w:lvl>
    <w:lvl w:ilvl="3" w:tplc="08090001" w:tentative="1">
      <w:start w:val="1"/>
      <w:numFmt w:val="bullet"/>
      <w:lvlText w:val=""/>
      <w:lvlJc w:val="left"/>
      <w:pPr>
        <w:ind w:left="3568" w:hanging="360"/>
      </w:pPr>
      <w:rPr>
        <w:rFonts w:ascii="Symbol" w:hAnsi="Symbol" w:hint="default"/>
      </w:rPr>
    </w:lvl>
    <w:lvl w:ilvl="4" w:tplc="08090003" w:tentative="1">
      <w:start w:val="1"/>
      <w:numFmt w:val="bullet"/>
      <w:lvlText w:val="o"/>
      <w:lvlJc w:val="left"/>
      <w:pPr>
        <w:ind w:left="4288" w:hanging="360"/>
      </w:pPr>
      <w:rPr>
        <w:rFonts w:ascii="Courier New" w:hAnsi="Courier New" w:cs="Courier New" w:hint="default"/>
      </w:rPr>
    </w:lvl>
    <w:lvl w:ilvl="5" w:tplc="08090005" w:tentative="1">
      <w:start w:val="1"/>
      <w:numFmt w:val="bullet"/>
      <w:lvlText w:val=""/>
      <w:lvlJc w:val="left"/>
      <w:pPr>
        <w:ind w:left="5008" w:hanging="360"/>
      </w:pPr>
      <w:rPr>
        <w:rFonts w:ascii="Wingdings" w:hAnsi="Wingdings" w:hint="default"/>
      </w:rPr>
    </w:lvl>
    <w:lvl w:ilvl="6" w:tplc="08090001" w:tentative="1">
      <w:start w:val="1"/>
      <w:numFmt w:val="bullet"/>
      <w:lvlText w:val=""/>
      <w:lvlJc w:val="left"/>
      <w:pPr>
        <w:ind w:left="5728" w:hanging="360"/>
      </w:pPr>
      <w:rPr>
        <w:rFonts w:ascii="Symbol" w:hAnsi="Symbol" w:hint="default"/>
      </w:rPr>
    </w:lvl>
    <w:lvl w:ilvl="7" w:tplc="08090003" w:tentative="1">
      <w:start w:val="1"/>
      <w:numFmt w:val="bullet"/>
      <w:lvlText w:val="o"/>
      <w:lvlJc w:val="left"/>
      <w:pPr>
        <w:ind w:left="6448" w:hanging="360"/>
      </w:pPr>
      <w:rPr>
        <w:rFonts w:ascii="Courier New" w:hAnsi="Courier New" w:cs="Courier New" w:hint="default"/>
      </w:rPr>
    </w:lvl>
    <w:lvl w:ilvl="8" w:tplc="08090005" w:tentative="1">
      <w:start w:val="1"/>
      <w:numFmt w:val="bullet"/>
      <w:lvlText w:val=""/>
      <w:lvlJc w:val="left"/>
      <w:pPr>
        <w:ind w:left="71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06"/>
    <w:rsid w:val="000000EA"/>
    <w:rsid w:val="00012809"/>
    <w:rsid w:val="00017311"/>
    <w:rsid w:val="000208C5"/>
    <w:rsid w:val="00022135"/>
    <w:rsid w:val="00025343"/>
    <w:rsid w:val="0005136B"/>
    <w:rsid w:val="00067ED3"/>
    <w:rsid w:val="00083C6A"/>
    <w:rsid w:val="000B2200"/>
    <w:rsid w:val="000B5151"/>
    <w:rsid w:val="000B58D9"/>
    <w:rsid w:val="000B598C"/>
    <w:rsid w:val="000C5FCD"/>
    <w:rsid w:val="000E6895"/>
    <w:rsid w:val="000F1BCD"/>
    <w:rsid w:val="000F1FCB"/>
    <w:rsid w:val="00112D79"/>
    <w:rsid w:val="00130540"/>
    <w:rsid w:val="0013688B"/>
    <w:rsid w:val="00145F46"/>
    <w:rsid w:val="001669E0"/>
    <w:rsid w:val="00173EEC"/>
    <w:rsid w:val="001A53A7"/>
    <w:rsid w:val="001C1016"/>
    <w:rsid w:val="001E29C3"/>
    <w:rsid w:val="001F7DFF"/>
    <w:rsid w:val="002054D4"/>
    <w:rsid w:val="00217006"/>
    <w:rsid w:val="00226AE9"/>
    <w:rsid w:val="00226E4A"/>
    <w:rsid w:val="00231D1E"/>
    <w:rsid w:val="00267A55"/>
    <w:rsid w:val="00274E69"/>
    <w:rsid w:val="00276661"/>
    <w:rsid w:val="00283E58"/>
    <w:rsid w:val="002D62D2"/>
    <w:rsid w:val="002E1488"/>
    <w:rsid w:val="00301CDC"/>
    <w:rsid w:val="0031196E"/>
    <w:rsid w:val="003207F5"/>
    <w:rsid w:val="003411DE"/>
    <w:rsid w:val="00364FB5"/>
    <w:rsid w:val="00381655"/>
    <w:rsid w:val="00393345"/>
    <w:rsid w:val="003B521C"/>
    <w:rsid w:val="003D5C3A"/>
    <w:rsid w:val="003D6B0D"/>
    <w:rsid w:val="003E2295"/>
    <w:rsid w:val="00404830"/>
    <w:rsid w:val="00405369"/>
    <w:rsid w:val="00413C88"/>
    <w:rsid w:val="0042324B"/>
    <w:rsid w:val="00423C42"/>
    <w:rsid w:val="004328DF"/>
    <w:rsid w:val="00440925"/>
    <w:rsid w:val="004443EB"/>
    <w:rsid w:val="004475A3"/>
    <w:rsid w:val="00447E11"/>
    <w:rsid w:val="004605A9"/>
    <w:rsid w:val="004916E7"/>
    <w:rsid w:val="0049668E"/>
    <w:rsid w:val="004B30C0"/>
    <w:rsid w:val="004B458C"/>
    <w:rsid w:val="004E02C2"/>
    <w:rsid w:val="00504EFD"/>
    <w:rsid w:val="005349C7"/>
    <w:rsid w:val="0054132C"/>
    <w:rsid w:val="00545177"/>
    <w:rsid w:val="005B2A74"/>
    <w:rsid w:val="005D64C8"/>
    <w:rsid w:val="005E7CE7"/>
    <w:rsid w:val="005F403B"/>
    <w:rsid w:val="00600DB2"/>
    <w:rsid w:val="00606FB5"/>
    <w:rsid w:val="006120EA"/>
    <w:rsid w:val="00643F7A"/>
    <w:rsid w:val="006600C9"/>
    <w:rsid w:val="006715FC"/>
    <w:rsid w:val="00672F80"/>
    <w:rsid w:val="006A2301"/>
    <w:rsid w:val="006A392D"/>
    <w:rsid w:val="006B4312"/>
    <w:rsid w:val="006E6D24"/>
    <w:rsid w:val="00717B90"/>
    <w:rsid w:val="007367A5"/>
    <w:rsid w:val="007421B2"/>
    <w:rsid w:val="00751567"/>
    <w:rsid w:val="00751B03"/>
    <w:rsid w:val="0076301D"/>
    <w:rsid w:val="0077114D"/>
    <w:rsid w:val="00773C3B"/>
    <w:rsid w:val="007901C6"/>
    <w:rsid w:val="007A6340"/>
    <w:rsid w:val="007B1FB5"/>
    <w:rsid w:val="007B3D84"/>
    <w:rsid w:val="007E567C"/>
    <w:rsid w:val="007F59CC"/>
    <w:rsid w:val="008106C7"/>
    <w:rsid w:val="00836992"/>
    <w:rsid w:val="00837B45"/>
    <w:rsid w:val="00857554"/>
    <w:rsid w:val="008655B7"/>
    <w:rsid w:val="00865711"/>
    <w:rsid w:val="008730F9"/>
    <w:rsid w:val="00873118"/>
    <w:rsid w:val="008847B2"/>
    <w:rsid w:val="0088731E"/>
    <w:rsid w:val="008A13C8"/>
    <w:rsid w:val="008C47F2"/>
    <w:rsid w:val="008C6024"/>
    <w:rsid w:val="008E1311"/>
    <w:rsid w:val="008F0F70"/>
    <w:rsid w:val="0090520C"/>
    <w:rsid w:val="009147AE"/>
    <w:rsid w:val="00916596"/>
    <w:rsid w:val="00922537"/>
    <w:rsid w:val="00937F99"/>
    <w:rsid w:val="0097632A"/>
    <w:rsid w:val="009804F6"/>
    <w:rsid w:val="00995537"/>
    <w:rsid w:val="00996F7B"/>
    <w:rsid w:val="00997678"/>
    <w:rsid w:val="009B588E"/>
    <w:rsid w:val="009D0E58"/>
    <w:rsid w:val="009E6EBF"/>
    <w:rsid w:val="009F52CC"/>
    <w:rsid w:val="00A05A5D"/>
    <w:rsid w:val="00A10408"/>
    <w:rsid w:val="00A47138"/>
    <w:rsid w:val="00A66FEA"/>
    <w:rsid w:val="00A85952"/>
    <w:rsid w:val="00A94C4C"/>
    <w:rsid w:val="00AB248A"/>
    <w:rsid w:val="00AC1CA9"/>
    <w:rsid w:val="00AD3237"/>
    <w:rsid w:val="00AD706C"/>
    <w:rsid w:val="00AF4E05"/>
    <w:rsid w:val="00B0160E"/>
    <w:rsid w:val="00B0354C"/>
    <w:rsid w:val="00B06CFF"/>
    <w:rsid w:val="00B10A64"/>
    <w:rsid w:val="00B1211E"/>
    <w:rsid w:val="00B16B6F"/>
    <w:rsid w:val="00B173C9"/>
    <w:rsid w:val="00B24F90"/>
    <w:rsid w:val="00B403C5"/>
    <w:rsid w:val="00B44397"/>
    <w:rsid w:val="00B520D4"/>
    <w:rsid w:val="00B726FA"/>
    <w:rsid w:val="00B90D75"/>
    <w:rsid w:val="00B9282A"/>
    <w:rsid w:val="00B94796"/>
    <w:rsid w:val="00BE323F"/>
    <w:rsid w:val="00BE565C"/>
    <w:rsid w:val="00BF1C7C"/>
    <w:rsid w:val="00C01F00"/>
    <w:rsid w:val="00C4257C"/>
    <w:rsid w:val="00C5765A"/>
    <w:rsid w:val="00C65ED1"/>
    <w:rsid w:val="00C91268"/>
    <w:rsid w:val="00CA0B58"/>
    <w:rsid w:val="00CA51A8"/>
    <w:rsid w:val="00CC49F4"/>
    <w:rsid w:val="00CC7254"/>
    <w:rsid w:val="00CD6D62"/>
    <w:rsid w:val="00D02557"/>
    <w:rsid w:val="00D06631"/>
    <w:rsid w:val="00D3602C"/>
    <w:rsid w:val="00D64FCD"/>
    <w:rsid w:val="00D77386"/>
    <w:rsid w:val="00D937A2"/>
    <w:rsid w:val="00D97473"/>
    <w:rsid w:val="00DD1934"/>
    <w:rsid w:val="00DE2982"/>
    <w:rsid w:val="00DE5202"/>
    <w:rsid w:val="00E059D0"/>
    <w:rsid w:val="00E06C66"/>
    <w:rsid w:val="00E50AEE"/>
    <w:rsid w:val="00E74270"/>
    <w:rsid w:val="00E92DB6"/>
    <w:rsid w:val="00E954BC"/>
    <w:rsid w:val="00EA55E8"/>
    <w:rsid w:val="00EA7C91"/>
    <w:rsid w:val="00ED78DE"/>
    <w:rsid w:val="00EF3C1A"/>
    <w:rsid w:val="00F1741A"/>
    <w:rsid w:val="00F3670D"/>
    <w:rsid w:val="00F40917"/>
    <w:rsid w:val="00F41D85"/>
    <w:rsid w:val="00F62C19"/>
    <w:rsid w:val="00F63FFC"/>
    <w:rsid w:val="00F668A6"/>
    <w:rsid w:val="00F77F89"/>
    <w:rsid w:val="00F97A1F"/>
    <w:rsid w:val="00FA2DA3"/>
    <w:rsid w:val="00FD3239"/>
    <w:rsid w:val="00FF608A"/>
    <w:rsid w:val="00FF6A84"/>
    <w:rsid w:val="00FF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48503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025343"/>
    <w:pPr>
      <w:autoSpaceDE w:val="0"/>
      <w:autoSpaceDN w:val="0"/>
      <w:spacing w:after="0" w:line="240" w:lineRule="auto"/>
    </w:pPr>
    <w:rPr>
      <w:rFonts w:ascii="Arial" w:eastAsia="Times New Roman" w:hAnsi="Arial" w:cs="Arial"/>
      <w:color w:val="000000"/>
      <w:sz w:val="24"/>
      <w:szCs w:val="24"/>
      <w:lang w:eastAsia="en-GB"/>
    </w:rPr>
  </w:style>
  <w:style w:type="paragraph" w:customStyle="1" w:styleId="legrhs1">
    <w:name w:val="legrhs1"/>
    <w:basedOn w:val="Normal"/>
    <w:rsid w:val="00025343"/>
    <w:pPr>
      <w:shd w:val="clear" w:color="auto" w:fill="FFFFFF"/>
      <w:spacing w:after="120" w:line="360" w:lineRule="atLeast"/>
      <w:jc w:val="both"/>
    </w:pPr>
    <w:rPr>
      <w:rFonts w:ascii="Times New Roman" w:eastAsia="Times New Roman" w:hAnsi="Times New Roman"/>
      <w:color w:val="000000"/>
      <w:sz w:val="19"/>
      <w:szCs w:val="19"/>
      <w:lang w:eastAsia="en-GB"/>
    </w:rPr>
  </w:style>
  <w:style w:type="character" w:customStyle="1" w:styleId="legamendquote1">
    <w:name w:val="legamendquote1"/>
    <w:rsid w:val="00025343"/>
    <w:rPr>
      <w:b w:val="0"/>
      <w:bCs w:val="0"/>
      <w:i w:val="0"/>
      <w:iCs w:val="0"/>
    </w:rPr>
  </w:style>
  <w:style w:type="character" w:customStyle="1" w:styleId="legamendingtext">
    <w:name w:val="legamendingtext"/>
    <w:rsid w:val="00025343"/>
  </w:style>
  <w:style w:type="character" w:customStyle="1" w:styleId="legds2">
    <w:name w:val="legds2"/>
    <w:rsid w:val="00025343"/>
    <w:rPr>
      <w:vanish w:val="0"/>
      <w:webHidden w:val="0"/>
      <w:specVanish w:val="0"/>
    </w:rPr>
  </w:style>
  <w:style w:type="paragraph" w:customStyle="1" w:styleId="legclearfix2">
    <w:name w:val="legclearfix2"/>
    <w:basedOn w:val="Normal"/>
    <w:rsid w:val="00025343"/>
    <w:pPr>
      <w:shd w:val="clear" w:color="auto" w:fill="FFFFFF"/>
      <w:spacing w:after="120" w:line="360" w:lineRule="atLeast"/>
    </w:pPr>
    <w:rPr>
      <w:rFonts w:ascii="Times New Roman" w:eastAsia="Times New Roman" w:hAnsi="Times New Roman"/>
      <w:color w:val="000000"/>
      <w:sz w:val="19"/>
      <w:szCs w:val="19"/>
      <w:lang w:eastAsia="en-GB"/>
    </w:rPr>
  </w:style>
  <w:style w:type="paragraph" w:styleId="ListParagraph">
    <w:name w:val="List Paragraph"/>
    <w:basedOn w:val="Normal"/>
    <w:uiPriority w:val="34"/>
    <w:qFormat/>
    <w:rsid w:val="005B2A74"/>
    <w:pPr>
      <w:ind w:left="720"/>
    </w:pPr>
  </w:style>
  <w:style w:type="paragraph" w:styleId="NormalWeb">
    <w:name w:val="Normal (Web)"/>
    <w:basedOn w:val="Normal"/>
    <w:uiPriority w:val="99"/>
    <w:semiHidden/>
    <w:unhideWhenUsed/>
    <w:rsid w:val="00D97473"/>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145F46"/>
    <w:pPr>
      <w:tabs>
        <w:tab w:val="center" w:pos="4513"/>
        <w:tab w:val="right" w:pos="9026"/>
      </w:tabs>
    </w:pPr>
  </w:style>
  <w:style w:type="character" w:customStyle="1" w:styleId="HeaderChar">
    <w:name w:val="Header Char"/>
    <w:link w:val="Header"/>
    <w:uiPriority w:val="99"/>
    <w:rsid w:val="00145F46"/>
    <w:rPr>
      <w:sz w:val="22"/>
      <w:szCs w:val="22"/>
      <w:lang w:eastAsia="en-US"/>
    </w:rPr>
  </w:style>
  <w:style w:type="paragraph" w:styleId="Footer">
    <w:name w:val="footer"/>
    <w:basedOn w:val="Normal"/>
    <w:link w:val="FooterChar"/>
    <w:uiPriority w:val="99"/>
    <w:unhideWhenUsed/>
    <w:rsid w:val="00145F46"/>
    <w:pPr>
      <w:tabs>
        <w:tab w:val="center" w:pos="4513"/>
        <w:tab w:val="right" w:pos="9026"/>
      </w:tabs>
    </w:pPr>
  </w:style>
  <w:style w:type="character" w:customStyle="1" w:styleId="FooterChar">
    <w:name w:val="Footer Char"/>
    <w:link w:val="Footer"/>
    <w:uiPriority w:val="99"/>
    <w:rsid w:val="00145F46"/>
    <w:rPr>
      <w:sz w:val="22"/>
      <w:szCs w:val="22"/>
      <w:lang w:eastAsia="en-US"/>
    </w:rPr>
  </w:style>
  <w:style w:type="character" w:styleId="CommentReference">
    <w:name w:val="annotation reference"/>
    <w:uiPriority w:val="99"/>
    <w:semiHidden/>
    <w:unhideWhenUsed/>
    <w:rsid w:val="00B16B6F"/>
    <w:rPr>
      <w:sz w:val="16"/>
      <w:szCs w:val="16"/>
    </w:rPr>
  </w:style>
  <w:style w:type="paragraph" w:styleId="CommentText">
    <w:name w:val="annotation text"/>
    <w:basedOn w:val="Normal"/>
    <w:link w:val="CommentTextChar"/>
    <w:uiPriority w:val="99"/>
    <w:semiHidden/>
    <w:unhideWhenUsed/>
    <w:rsid w:val="00B16B6F"/>
    <w:rPr>
      <w:sz w:val="20"/>
      <w:szCs w:val="20"/>
    </w:rPr>
  </w:style>
  <w:style w:type="character" w:customStyle="1" w:styleId="CommentTextChar">
    <w:name w:val="Comment Text Char"/>
    <w:link w:val="CommentText"/>
    <w:uiPriority w:val="99"/>
    <w:semiHidden/>
    <w:rsid w:val="00B16B6F"/>
    <w:rPr>
      <w:lang w:eastAsia="en-US"/>
    </w:rPr>
  </w:style>
  <w:style w:type="paragraph" w:styleId="CommentSubject">
    <w:name w:val="annotation subject"/>
    <w:basedOn w:val="CommentText"/>
    <w:next w:val="CommentText"/>
    <w:link w:val="CommentSubjectChar"/>
    <w:uiPriority w:val="99"/>
    <w:semiHidden/>
    <w:unhideWhenUsed/>
    <w:rsid w:val="00B16B6F"/>
    <w:rPr>
      <w:b/>
      <w:bCs/>
    </w:rPr>
  </w:style>
  <w:style w:type="character" w:customStyle="1" w:styleId="CommentSubjectChar">
    <w:name w:val="Comment Subject Char"/>
    <w:link w:val="CommentSubject"/>
    <w:uiPriority w:val="99"/>
    <w:semiHidden/>
    <w:rsid w:val="00B16B6F"/>
    <w:rPr>
      <w:b/>
      <w:bCs/>
      <w:lang w:eastAsia="en-US"/>
    </w:rPr>
  </w:style>
  <w:style w:type="paragraph" w:styleId="BalloonText">
    <w:name w:val="Balloon Text"/>
    <w:basedOn w:val="Normal"/>
    <w:link w:val="BalloonTextChar"/>
    <w:uiPriority w:val="99"/>
    <w:semiHidden/>
    <w:unhideWhenUsed/>
    <w:rsid w:val="00B16B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16B6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55045">
      <w:bodyDiv w:val="1"/>
      <w:marLeft w:val="0"/>
      <w:marRight w:val="0"/>
      <w:marTop w:val="0"/>
      <w:marBottom w:val="0"/>
      <w:divBdr>
        <w:top w:val="none" w:sz="0" w:space="0" w:color="auto"/>
        <w:left w:val="none" w:sz="0" w:space="0" w:color="auto"/>
        <w:bottom w:val="none" w:sz="0" w:space="0" w:color="auto"/>
        <w:right w:val="none" w:sz="0" w:space="0" w:color="auto"/>
      </w:divBdr>
      <w:divsChild>
        <w:div w:id="1829587077">
          <w:marLeft w:val="0"/>
          <w:marRight w:val="0"/>
          <w:marTop w:val="0"/>
          <w:marBottom w:val="0"/>
          <w:divBdr>
            <w:top w:val="none" w:sz="0" w:space="0" w:color="auto"/>
            <w:left w:val="none" w:sz="0" w:space="0" w:color="auto"/>
            <w:bottom w:val="none" w:sz="0" w:space="0" w:color="auto"/>
            <w:right w:val="none" w:sz="0" w:space="0" w:color="auto"/>
          </w:divBdr>
          <w:divsChild>
            <w:div w:id="486480160">
              <w:marLeft w:val="0"/>
              <w:marRight w:val="0"/>
              <w:marTop w:val="0"/>
              <w:marBottom w:val="0"/>
              <w:divBdr>
                <w:top w:val="none" w:sz="0" w:space="0" w:color="auto"/>
                <w:left w:val="none" w:sz="0" w:space="0" w:color="auto"/>
                <w:bottom w:val="none" w:sz="0" w:space="0" w:color="auto"/>
                <w:right w:val="none" w:sz="0" w:space="0" w:color="auto"/>
              </w:divBdr>
              <w:divsChild>
                <w:div w:id="1772125033">
                  <w:marLeft w:val="0"/>
                  <w:marRight w:val="0"/>
                  <w:marTop w:val="0"/>
                  <w:marBottom w:val="0"/>
                  <w:divBdr>
                    <w:top w:val="none" w:sz="0" w:space="0" w:color="auto"/>
                    <w:left w:val="none" w:sz="0" w:space="0" w:color="auto"/>
                    <w:bottom w:val="none" w:sz="0" w:space="0" w:color="auto"/>
                    <w:right w:val="none" w:sz="0" w:space="0" w:color="auto"/>
                  </w:divBdr>
                  <w:divsChild>
                    <w:div w:id="231474352">
                      <w:marLeft w:val="0"/>
                      <w:marRight w:val="0"/>
                      <w:marTop w:val="0"/>
                      <w:marBottom w:val="0"/>
                      <w:divBdr>
                        <w:top w:val="none" w:sz="0" w:space="0" w:color="auto"/>
                        <w:left w:val="none" w:sz="0" w:space="0" w:color="auto"/>
                        <w:bottom w:val="none" w:sz="0" w:space="0" w:color="auto"/>
                        <w:right w:val="none" w:sz="0" w:space="0" w:color="auto"/>
                      </w:divBdr>
                      <w:divsChild>
                        <w:div w:id="1615097460">
                          <w:marLeft w:val="0"/>
                          <w:marRight w:val="0"/>
                          <w:marTop w:val="0"/>
                          <w:marBottom w:val="0"/>
                          <w:divBdr>
                            <w:top w:val="none" w:sz="0" w:space="0" w:color="auto"/>
                            <w:left w:val="none" w:sz="0" w:space="0" w:color="auto"/>
                            <w:bottom w:val="none" w:sz="0" w:space="0" w:color="auto"/>
                            <w:right w:val="none" w:sz="0" w:space="0" w:color="auto"/>
                          </w:divBdr>
                          <w:divsChild>
                            <w:div w:id="879829404">
                              <w:marLeft w:val="0"/>
                              <w:marRight w:val="0"/>
                              <w:marTop w:val="0"/>
                              <w:marBottom w:val="0"/>
                              <w:divBdr>
                                <w:top w:val="none" w:sz="0" w:space="0" w:color="auto"/>
                                <w:left w:val="none" w:sz="0" w:space="0" w:color="auto"/>
                                <w:bottom w:val="none" w:sz="0" w:space="0" w:color="auto"/>
                                <w:right w:val="none" w:sz="0" w:space="0" w:color="auto"/>
                              </w:divBdr>
                              <w:divsChild>
                                <w:div w:id="1059474655">
                                  <w:marLeft w:val="0"/>
                                  <w:marRight w:val="0"/>
                                  <w:marTop w:val="0"/>
                                  <w:marBottom w:val="0"/>
                                  <w:divBdr>
                                    <w:top w:val="none" w:sz="0" w:space="0" w:color="auto"/>
                                    <w:left w:val="none" w:sz="0" w:space="0" w:color="auto"/>
                                    <w:bottom w:val="none" w:sz="0" w:space="0" w:color="auto"/>
                                    <w:right w:val="none" w:sz="0" w:space="0" w:color="auto"/>
                                  </w:divBdr>
                                  <w:divsChild>
                                    <w:div w:id="1848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egislation.gov.uk/ukpga/2014/22/section/19/enacted" TargetMode="External"/><Relationship Id="rId4" Type="http://schemas.openxmlformats.org/officeDocument/2006/relationships/settings" Target="settings.xml"/><Relationship Id="rId9" Type="http://schemas.openxmlformats.org/officeDocument/2006/relationships/hyperlink" Target="http://www.legislation.gov.uk/ukpga/2014/22/section/19/enac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081E6-045F-41F8-A3B6-9180733D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4651</Words>
  <Characters>26513</Characters>
  <Application>Microsoft Office Word</Application>
  <DocSecurity>0</DocSecurity>
  <Lines>220</Lines>
  <Paragraphs>62</Paragraphs>
  <ScaleCrop>false</ScaleCrop>
  <Company/>
  <LinksUpToDate>false</LinksUpToDate>
  <CharactersWithSpaces>31102</CharactersWithSpaces>
  <SharedDoc>false</SharedDoc>
  <HLinks>
    <vt:vector size="12" baseType="variant">
      <vt:variant>
        <vt:i4>524359</vt:i4>
      </vt:variant>
      <vt:variant>
        <vt:i4>6</vt:i4>
      </vt:variant>
      <vt:variant>
        <vt:i4>0</vt:i4>
      </vt:variant>
      <vt:variant>
        <vt:i4>5</vt:i4>
      </vt:variant>
      <vt:variant>
        <vt:lpwstr>http://www.legislation.gov.uk/ukpga/2014/22/section/19/enacted</vt:lpwstr>
      </vt:variant>
      <vt:variant>
        <vt:lpwstr>p00131</vt:lpwstr>
      </vt:variant>
      <vt:variant>
        <vt:i4>589895</vt:i4>
      </vt:variant>
      <vt:variant>
        <vt:i4>3</vt:i4>
      </vt:variant>
      <vt:variant>
        <vt:i4>0</vt:i4>
      </vt:variant>
      <vt:variant>
        <vt:i4>5</vt:i4>
      </vt:variant>
      <vt:variant>
        <vt:lpwstr>http://www.legislation.gov.uk/ukpga/2014/22/section/19/enacted</vt:lpwstr>
      </vt:variant>
      <vt:variant>
        <vt:lpwstr>p00130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2018-08-28T13:17:00Z</dcterms:created>
  <dcterms:modified xsi:type="dcterms:W3CDTF">2018-08-28T13:17:00Z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