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D56" w:rsidRDefault="00147845">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886D56" w:rsidRDefault="00886D56">
      <w:pPr>
        <w:rPr>
          <w:rFonts w:ascii="Book Antiqua" w:hAnsi="Book Antiqua" w:cs="Arial"/>
          <w:color w:val="000000"/>
          <w:sz w:val="16"/>
          <w:szCs w:val="16"/>
        </w:rPr>
      </w:pPr>
    </w:p>
    <w:p w:rsidR="00886D56" w:rsidRDefault="00886D56">
      <w:pPr>
        <w:tabs>
          <w:tab w:val="right" w:pos="9720"/>
        </w:tabs>
        <w:ind w:right="-82"/>
        <w:rPr>
          <w:rFonts w:ascii="Book Antiqua" w:hAnsi="Book Antiqua" w:cs="Arial"/>
          <w:b/>
          <w:color w:val="000000"/>
        </w:rPr>
      </w:pPr>
      <w:r>
        <w:rPr>
          <w:rFonts w:ascii="Book Antiqua" w:hAnsi="Book Antiqua" w:cs="Arial"/>
          <w:b/>
          <w:color w:val="000000"/>
        </w:rPr>
        <w:t>Upper Tribunal</w:t>
      </w:r>
    </w:p>
    <w:p w:rsidR="00886D56" w:rsidRDefault="00886D56">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r>
        <w:rPr>
          <w:rFonts w:ascii="Book Antiqua" w:hAnsi="Book Antiqua" w:cs="Arial"/>
          <w:caps/>
          <w:color w:val="000000"/>
        </w:rPr>
        <w:t>DA/00593/2017</w:t>
      </w:r>
    </w:p>
    <w:p w:rsidR="00886D56" w:rsidRDefault="00886D56">
      <w:pPr>
        <w:jc w:val="center"/>
        <w:rPr>
          <w:rFonts w:ascii="Book Antiqua" w:hAnsi="Book Antiqua" w:cs="Arial"/>
          <w:color w:val="000000"/>
        </w:rPr>
      </w:pPr>
    </w:p>
    <w:p w:rsidR="00886D56" w:rsidRDefault="00886D56">
      <w:pPr>
        <w:jc w:val="center"/>
        <w:rPr>
          <w:rFonts w:ascii="Book Antiqua" w:hAnsi="Book Antiqua" w:cs="Arial"/>
          <w:color w:val="000000"/>
        </w:rPr>
      </w:pPr>
    </w:p>
    <w:p w:rsidR="00886D56" w:rsidRDefault="00886D56">
      <w:pPr>
        <w:jc w:val="center"/>
        <w:rPr>
          <w:rFonts w:ascii="Book Antiqua" w:hAnsi="Book Antiqua" w:cs="Arial"/>
          <w:b/>
          <w:color w:val="000000"/>
          <w:u w:val="single"/>
        </w:rPr>
      </w:pPr>
      <w:r>
        <w:rPr>
          <w:rFonts w:ascii="Book Antiqua" w:hAnsi="Book Antiqua" w:cs="Arial"/>
          <w:b/>
          <w:color w:val="000000"/>
          <w:u w:val="single"/>
        </w:rPr>
        <w:t>THE IMMIGRATION ACTS</w:t>
      </w:r>
    </w:p>
    <w:p w:rsidR="00886D56" w:rsidRDefault="00886D56">
      <w:pPr>
        <w:jc w:val="center"/>
        <w:rPr>
          <w:rFonts w:ascii="Book Antiqua" w:hAnsi="Book Antiqua" w:cs="Arial"/>
          <w:b/>
          <w:u w:val="single"/>
        </w:rPr>
      </w:pPr>
    </w:p>
    <w:p w:rsidR="00886D56" w:rsidRDefault="00886D56">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86D56">
        <w:tc>
          <w:tcPr>
            <w:tcW w:w="6048" w:type="dxa"/>
            <w:shd w:val="clear" w:color="auto" w:fill="auto"/>
          </w:tcPr>
          <w:p w:rsidR="00886D56" w:rsidRDefault="00886D56">
            <w:pPr>
              <w:jc w:val="both"/>
              <w:rPr>
                <w:rFonts w:ascii="Book Antiqua" w:hAnsi="Book Antiqua" w:cs="Arial"/>
                <w:b/>
              </w:rPr>
            </w:pPr>
            <w:r>
              <w:rPr>
                <w:rFonts w:ascii="Book Antiqua" w:hAnsi="Book Antiqua" w:cs="Arial"/>
                <w:b/>
              </w:rPr>
              <w:t xml:space="preserve">Heard at </w:t>
            </w:r>
            <w:smartTag w:uri="urn:schemas-microsoft-com:office:smarttags" w:element="place">
              <w:smartTag w:uri="urn:schemas-microsoft-com:office:smarttags" w:element="City">
                <w:r>
                  <w:rPr>
                    <w:rFonts w:ascii="Book Antiqua" w:hAnsi="Book Antiqua" w:cs="Arial"/>
                    <w:b/>
                  </w:rPr>
                  <w:t>Glasgow</w:t>
                </w:r>
              </w:smartTag>
            </w:smartTag>
          </w:p>
        </w:tc>
        <w:tc>
          <w:tcPr>
            <w:tcW w:w="3960" w:type="dxa"/>
            <w:shd w:val="clear" w:color="auto" w:fill="auto"/>
          </w:tcPr>
          <w:p w:rsidR="00886D56" w:rsidRDefault="00886D56">
            <w:pPr>
              <w:jc w:val="both"/>
              <w:rPr>
                <w:rFonts w:ascii="Book Antiqua" w:hAnsi="Book Antiqua" w:cs="Arial"/>
                <w:b/>
                <w:color w:val="000000"/>
              </w:rPr>
            </w:pPr>
            <w:r>
              <w:rPr>
                <w:rFonts w:ascii="Book Antiqua" w:hAnsi="Book Antiqua" w:cs="Arial"/>
                <w:b/>
                <w:color w:val="000000"/>
              </w:rPr>
              <w:t>Decision &amp; Reasons Promulgated</w:t>
            </w:r>
          </w:p>
        </w:tc>
      </w:tr>
      <w:tr w:rsidR="00886D56">
        <w:tc>
          <w:tcPr>
            <w:tcW w:w="6048" w:type="dxa"/>
            <w:shd w:val="clear" w:color="auto" w:fill="auto"/>
          </w:tcPr>
          <w:p w:rsidR="00886D56" w:rsidRDefault="00886D56">
            <w:pPr>
              <w:jc w:val="both"/>
              <w:rPr>
                <w:rFonts w:ascii="Book Antiqua" w:hAnsi="Book Antiqua" w:cs="Arial"/>
                <w:b/>
              </w:rPr>
            </w:pPr>
            <w:r>
              <w:rPr>
                <w:rFonts w:ascii="Book Antiqua" w:hAnsi="Book Antiqua" w:cs="Arial"/>
                <w:b/>
              </w:rPr>
              <w:t>On 20 June 2018</w:t>
            </w:r>
          </w:p>
        </w:tc>
        <w:tc>
          <w:tcPr>
            <w:tcW w:w="3960" w:type="dxa"/>
            <w:shd w:val="clear" w:color="auto" w:fill="auto"/>
          </w:tcPr>
          <w:p w:rsidR="00886D56" w:rsidRDefault="00147845">
            <w:pPr>
              <w:jc w:val="both"/>
              <w:rPr>
                <w:rFonts w:ascii="Book Antiqua" w:hAnsi="Book Antiqua" w:cs="Arial"/>
                <w:b/>
              </w:rPr>
            </w:pPr>
            <w:r>
              <w:rPr>
                <w:rFonts w:ascii="Book Antiqua" w:hAnsi="Book Antiqua" w:cs="Arial"/>
                <w:b/>
              </w:rPr>
              <w:t>On 28 June 2018</w:t>
            </w:r>
          </w:p>
        </w:tc>
      </w:tr>
      <w:tr w:rsidR="00886D56">
        <w:tc>
          <w:tcPr>
            <w:tcW w:w="6048" w:type="dxa"/>
            <w:shd w:val="clear" w:color="auto" w:fill="auto"/>
          </w:tcPr>
          <w:p w:rsidR="00886D56" w:rsidRDefault="00886D56">
            <w:pPr>
              <w:jc w:val="both"/>
              <w:rPr>
                <w:rFonts w:ascii="Book Antiqua" w:hAnsi="Book Antiqua" w:cs="Arial"/>
                <w:b/>
              </w:rPr>
            </w:pPr>
          </w:p>
        </w:tc>
        <w:tc>
          <w:tcPr>
            <w:tcW w:w="3960" w:type="dxa"/>
            <w:shd w:val="clear" w:color="auto" w:fill="auto"/>
          </w:tcPr>
          <w:p w:rsidR="00886D56" w:rsidRDefault="00886D56">
            <w:pPr>
              <w:jc w:val="both"/>
              <w:rPr>
                <w:rFonts w:ascii="Book Antiqua" w:hAnsi="Book Antiqua" w:cs="Arial"/>
                <w:b/>
              </w:rPr>
            </w:pPr>
          </w:p>
        </w:tc>
      </w:tr>
    </w:tbl>
    <w:p w:rsidR="00886D56" w:rsidRDefault="00886D56">
      <w:pPr>
        <w:jc w:val="center"/>
        <w:rPr>
          <w:rFonts w:ascii="Book Antiqua" w:hAnsi="Book Antiqua" w:cs="Arial"/>
        </w:rPr>
      </w:pPr>
    </w:p>
    <w:p w:rsidR="00886D56" w:rsidRDefault="00886D56">
      <w:pPr>
        <w:jc w:val="center"/>
        <w:rPr>
          <w:rFonts w:ascii="Book Antiqua" w:hAnsi="Book Antiqua" w:cs="Arial"/>
          <w:b/>
        </w:rPr>
      </w:pPr>
      <w:r>
        <w:rPr>
          <w:rFonts w:ascii="Book Antiqua" w:hAnsi="Book Antiqua" w:cs="Arial"/>
          <w:b/>
        </w:rPr>
        <w:t>Before</w:t>
      </w:r>
    </w:p>
    <w:p w:rsidR="00886D56" w:rsidRDefault="00886D56">
      <w:pPr>
        <w:jc w:val="center"/>
        <w:rPr>
          <w:rFonts w:ascii="Book Antiqua" w:hAnsi="Book Antiqua" w:cs="Arial"/>
          <w:b/>
        </w:rPr>
      </w:pPr>
    </w:p>
    <w:p w:rsidR="00886D56" w:rsidRDefault="00886D56">
      <w:pPr>
        <w:jc w:val="center"/>
        <w:rPr>
          <w:rFonts w:ascii="Book Antiqua" w:hAnsi="Book Antiqua" w:cs="Arial"/>
          <w:b/>
          <w:color w:val="000000"/>
        </w:rPr>
      </w:pPr>
      <w:r>
        <w:rPr>
          <w:rFonts w:ascii="Book Antiqua" w:hAnsi="Book Antiqua" w:cs="Arial"/>
          <w:b/>
          <w:color w:val="000000"/>
        </w:rPr>
        <w:t>UPPER TRIBUNAL JUDGE DAWSON</w:t>
      </w:r>
    </w:p>
    <w:p w:rsidR="00886D56" w:rsidRDefault="00886D56">
      <w:pPr>
        <w:jc w:val="center"/>
        <w:rPr>
          <w:rFonts w:ascii="Book Antiqua" w:hAnsi="Book Antiqua" w:cs="Arial"/>
          <w:b/>
        </w:rPr>
      </w:pPr>
    </w:p>
    <w:p w:rsidR="00167FB9" w:rsidRDefault="00167FB9">
      <w:pPr>
        <w:jc w:val="center"/>
        <w:rPr>
          <w:rFonts w:ascii="Book Antiqua" w:hAnsi="Book Antiqua" w:cs="Arial"/>
          <w:b/>
        </w:rPr>
      </w:pPr>
    </w:p>
    <w:p w:rsidR="00886D56" w:rsidRDefault="00886D56">
      <w:pPr>
        <w:jc w:val="center"/>
        <w:rPr>
          <w:rFonts w:ascii="Book Antiqua" w:hAnsi="Book Antiqua" w:cs="Arial"/>
          <w:b/>
        </w:rPr>
      </w:pPr>
      <w:r>
        <w:rPr>
          <w:rFonts w:ascii="Book Antiqua" w:hAnsi="Book Antiqua" w:cs="Arial"/>
          <w:b/>
        </w:rPr>
        <w:t>Between</w:t>
      </w:r>
    </w:p>
    <w:p w:rsidR="00886D56" w:rsidRDefault="00886D56">
      <w:pPr>
        <w:jc w:val="center"/>
        <w:rPr>
          <w:rFonts w:ascii="Book Antiqua" w:hAnsi="Book Antiqua" w:cs="Arial"/>
          <w:b/>
        </w:rPr>
      </w:pPr>
    </w:p>
    <w:p w:rsidR="00886D56" w:rsidRDefault="00886D56">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0"/>
    </w:p>
    <w:p w:rsidR="00886D56" w:rsidRDefault="00886D56">
      <w:pPr>
        <w:jc w:val="right"/>
        <w:rPr>
          <w:rFonts w:ascii="Book Antiqua" w:hAnsi="Book Antiqua" w:cs="Arial"/>
          <w:u w:val="single"/>
        </w:rPr>
      </w:pPr>
      <w:r>
        <w:rPr>
          <w:rFonts w:ascii="Book Antiqua" w:hAnsi="Book Antiqua" w:cs="Arial"/>
          <w:u w:val="single"/>
        </w:rPr>
        <w:t>Appellant</w:t>
      </w:r>
    </w:p>
    <w:p w:rsidR="00886D56" w:rsidRDefault="00886D56">
      <w:pPr>
        <w:jc w:val="center"/>
        <w:rPr>
          <w:rFonts w:ascii="Book Antiqua" w:hAnsi="Book Antiqua" w:cs="Arial"/>
          <w:b/>
        </w:rPr>
      </w:pPr>
      <w:r>
        <w:rPr>
          <w:rFonts w:ascii="Book Antiqua" w:hAnsi="Book Antiqua" w:cs="Arial"/>
          <w:b/>
        </w:rPr>
        <w:t>and</w:t>
      </w:r>
    </w:p>
    <w:p w:rsidR="00886D56" w:rsidRDefault="00886D56">
      <w:pPr>
        <w:jc w:val="center"/>
        <w:rPr>
          <w:rFonts w:ascii="Book Antiqua" w:hAnsi="Book Antiqua" w:cs="Arial"/>
          <w:b/>
        </w:rPr>
      </w:pPr>
    </w:p>
    <w:p w:rsidR="00886D56" w:rsidRDefault="00886D56">
      <w:pPr>
        <w:jc w:val="center"/>
        <w:rPr>
          <w:rFonts w:ascii="Book Antiqua" w:hAnsi="Book Antiqua" w:cs="Arial"/>
          <w:b/>
          <w:caps/>
        </w:rPr>
      </w:pPr>
      <w:r>
        <w:rPr>
          <w:rFonts w:ascii="Book Antiqua" w:hAnsi="Book Antiqua" w:cs="Arial"/>
          <w:b/>
          <w:caps/>
        </w:rPr>
        <w:t xml:space="preserve">andrei </w:t>
      </w:r>
      <w:r w:rsidR="00167FB9">
        <w:rPr>
          <w:rFonts w:ascii="Book Antiqua" w:hAnsi="Book Antiqua" w:cs="Arial"/>
          <w:b/>
          <w:caps/>
        </w:rPr>
        <w:t>[</w:t>
      </w:r>
      <w:r>
        <w:rPr>
          <w:rFonts w:ascii="Book Antiqua" w:hAnsi="Book Antiqua" w:cs="Arial"/>
          <w:b/>
          <w:caps/>
        </w:rPr>
        <w:t>p</w:t>
      </w:r>
      <w:r w:rsidR="00167FB9">
        <w:rPr>
          <w:rFonts w:ascii="Book Antiqua" w:hAnsi="Book Antiqua" w:cs="Arial"/>
          <w:b/>
          <w:caps/>
        </w:rPr>
        <w:t>]</w:t>
      </w:r>
      <w:bookmarkStart w:id="1" w:name="_GoBack"/>
      <w:bookmarkEnd w:id="1"/>
    </w:p>
    <w:p w:rsidR="00886D56" w:rsidRDefault="00886D56">
      <w:pPr>
        <w:jc w:val="center"/>
        <w:rPr>
          <w:rFonts w:ascii="Book Antiqua" w:hAnsi="Book Antiqua" w:cs="Arial"/>
          <w:b/>
          <w:caps/>
        </w:rPr>
      </w:pPr>
      <w:r>
        <w:rPr>
          <w:rFonts w:ascii="Book Antiqua" w:hAnsi="Book Antiqua" w:cs="Arial"/>
          <w:b/>
          <w:caps/>
        </w:rPr>
        <w:t>(ANONYMITY DIRECTION not made)</w:t>
      </w:r>
    </w:p>
    <w:p w:rsidR="00886D56" w:rsidRDefault="00886D56">
      <w:pPr>
        <w:jc w:val="right"/>
        <w:rPr>
          <w:rFonts w:ascii="Book Antiqua" w:hAnsi="Book Antiqua" w:cs="Arial"/>
          <w:u w:val="single"/>
        </w:rPr>
      </w:pPr>
      <w:r>
        <w:rPr>
          <w:rFonts w:ascii="Book Antiqua" w:hAnsi="Book Antiqua" w:cs="Arial"/>
          <w:u w:val="single"/>
        </w:rPr>
        <w:t>Respondent</w:t>
      </w:r>
    </w:p>
    <w:p w:rsidR="00886D56" w:rsidRDefault="00886D56">
      <w:pPr>
        <w:rPr>
          <w:rFonts w:ascii="Book Antiqua" w:hAnsi="Book Antiqua" w:cs="Arial"/>
          <w:u w:val="single"/>
        </w:rPr>
      </w:pPr>
    </w:p>
    <w:p w:rsidR="00886D56" w:rsidRDefault="00886D56">
      <w:pPr>
        <w:rPr>
          <w:rFonts w:ascii="Book Antiqua" w:hAnsi="Book Antiqua" w:cs="Arial"/>
          <w:u w:val="single"/>
        </w:rPr>
      </w:pPr>
    </w:p>
    <w:p w:rsidR="00886D56" w:rsidRDefault="00886D56">
      <w:pPr>
        <w:rPr>
          <w:rFonts w:ascii="Book Antiqua" w:hAnsi="Book Antiqua" w:cs="Arial"/>
        </w:rPr>
      </w:pPr>
      <w:r>
        <w:rPr>
          <w:rFonts w:ascii="Book Antiqua" w:hAnsi="Book Antiqua" w:cs="Arial"/>
          <w:b/>
          <w:u w:val="single"/>
        </w:rPr>
        <w:t>Representation</w:t>
      </w:r>
      <w:r>
        <w:rPr>
          <w:rFonts w:ascii="Book Antiqua" w:hAnsi="Book Antiqua" w:cs="Arial"/>
          <w:b/>
        </w:rPr>
        <w:t>:</w:t>
      </w:r>
    </w:p>
    <w:p w:rsidR="00886D56" w:rsidRDefault="00886D56">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A Govan, Senior Presenting Officer</w:t>
      </w:r>
    </w:p>
    <w:p w:rsidR="00886D56" w:rsidRDefault="00886D56">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G Rea, Solicitor, Rea Law</w:t>
      </w:r>
    </w:p>
    <w:p w:rsidR="00886D56" w:rsidRDefault="00886D56">
      <w:pPr>
        <w:tabs>
          <w:tab w:val="left" w:pos="2520"/>
        </w:tabs>
        <w:jc w:val="center"/>
        <w:rPr>
          <w:rFonts w:ascii="Book Antiqua" w:hAnsi="Book Antiqua" w:cs="Arial"/>
        </w:rPr>
      </w:pPr>
    </w:p>
    <w:p w:rsidR="00886D56" w:rsidRDefault="00886D56">
      <w:pPr>
        <w:tabs>
          <w:tab w:val="left" w:pos="2520"/>
        </w:tabs>
        <w:jc w:val="center"/>
        <w:rPr>
          <w:rFonts w:ascii="Book Antiqua" w:hAnsi="Book Antiqua" w:cs="Arial"/>
        </w:rPr>
      </w:pPr>
    </w:p>
    <w:p w:rsidR="00886D56" w:rsidRDefault="00886D56">
      <w:pPr>
        <w:tabs>
          <w:tab w:val="left" w:pos="2520"/>
        </w:tabs>
        <w:jc w:val="center"/>
        <w:rPr>
          <w:rFonts w:ascii="Book Antiqua" w:hAnsi="Book Antiqua" w:cs="Arial"/>
        </w:rPr>
      </w:pPr>
      <w:r>
        <w:rPr>
          <w:rFonts w:ascii="Book Antiqua" w:hAnsi="Book Antiqua" w:cs="Arial"/>
          <w:b/>
          <w:u w:val="single"/>
        </w:rPr>
        <w:t>DECISION AND REASONS</w:t>
      </w:r>
    </w:p>
    <w:p w:rsidR="00CC2591" w:rsidRDefault="00886D56">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has been granted permission to appeal the decision of First-tier Tribunal Judge A M S Green who for reasons given in his decision dated 18 January 2018 allowed the respondent’s appeal under the Immigration (EEA) Regulations 2016 against a deportation order dated 3 October 2017.  </w:t>
      </w:r>
    </w:p>
    <w:p w:rsidR="00CC2591" w:rsidRDefault="00886D56">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State’s reasons are set out in a detailed letter dated 3 October 2017. Under the heading of a </w:t>
      </w:r>
      <w:r w:rsidR="00CC2591">
        <w:rPr>
          <w:rFonts w:ascii="Book Antiqua" w:hAnsi="Book Antiqua" w:cs="Arial"/>
        </w:rPr>
        <w:t>D</w:t>
      </w:r>
      <w:r>
        <w:rPr>
          <w:rFonts w:ascii="Book Antiqua" w:hAnsi="Book Antiqua" w:cs="Arial"/>
        </w:rPr>
        <w:t xml:space="preserve">ecision to make a </w:t>
      </w:r>
      <w:r w:rsidR="00CC2591">
        <w:rPr>
          <w:rFonts w:ascii="Book Antiqua" w:hAnsi="Book Antiqua" w:cs="Arial"/>
        </w:rPr>
        <w:t>D</w:t>
      </w:r>
      <w:r>
        <w:rPr>
          <w:rFonts w:ascii="Book Antiqua" w:hAnsi="Book Antiqua" w:cs="Arial"/>
        </w:rPr>
        <w:t xml:space="preserve">eportation </w:t>
      </w:r>
      <w:r w:rsidR="00CC2591">
        <w:rPr>
          <w:rFonts w:ascii="Book Antiqua" w:hAnsi="Book Antiqua" w:cs="Arial"/>
        </w:rPr>
        <w:t>O</w:t>
      </w:r>
      <w:r>
        <w:rPr>
          <w:rFonts w:ascii="Book Antiqua" w:hAnsi="Book Antiqua" w:cs="Arial"/>
        </w:rPr>
        <w:t xml:space="preserve">rder, reference is made to the respondent’s history of criminal offending and the Secretary of State’s view that, </w:t>
      </w:r>
      <w:r>
        <w:rPr>
          <w:rFonts w:ascii="Book Antiqua" w:hAnsi="Book Antiqua" w:cs="Arial"/>
        </w:rPr>
        <w:lastRenderedPageBreak/>
        <w:t xml:space="preserve">on the available evidence, he had a propensity to reoffend and that he represented a genuine, present and sufficiently serious threat to the public to justify his deportation on grounds of public policy.  </w:t>
      </w:r>
    </w:p>
    <w:p w:rsidR="00886D56" w:rsidRDefault="00CC2591">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J</w:t>
      </w:r>
      <w:r w:rsidR="00886D56">
        <w:rPr>
          <w:rFonts w:ascii="Book Antiqua" w:hAnsi="Book Antiqua" w:cs="Arial"/>
        </w:rPr>
        <w:t>udge found the appellant did not present such a threat</w:t>
      </w:r>
      <w:r w:rsidR="00E25310">
        <w:rPr>
          <w:rFonts w:ascii="Book Antiqua" w:hAnsi="Book Antiqua" w:cs="Arial"/>
        </w:rPr>
        <w:t>,</w:t>
      </w:r>
      <w:r w:rsidR="00886D56">
        <w:rPr>
          <w:rFonts w:ascii="Book Antiqua" w:hAnsi="Book Antiqua" w:cs="Arial"/>
        </w:rPr>
        <w:t xml:space="preserve"> that his removal was not justified and thus allowed the appeal.</w:t>
      </w:r>
    </w:p>
    <w:p w:rsidR="00886D56" w:rsidRDefault="00886D56">
      <w:pPr>
        <w:numPr>
          <w:ilvl w:val="0"/>
          <w:numId w:val="1"/>
        </w:numPr>
        <w:tabs>
          <w:tab w:val="clear" w:pos="567"/>
        </w:tabs>
        <w:spacing w:before="240"/>
        <w:jc w:val="both"/>
        <w:rPr>
          <w:rFonts w:ascii="Book Antiqua" w:hAnsi="Book Antiqua" w:cs="Arial"/>
        </w:rPr>
      </w:pPr>
      <w:r>
        <w:rPr>
          <w:rFonts w:ascii="Book Antiqua" w:hAnsi="Book Antiqua" w:cs="Arial"/>
        </w:rPr>
        <w:t>There are three grounds of challenge:</w:t>
      </w:r>
    </w:p>
    <w:p w:rsidR="00886D56" w:rsidRDefault="00886D56" w:rsidP="00167FB9">
      <w:pPr>
        <w:numPr>
          <w:ilvl w:val="1"/>
          <w:numId w:val="1"/>
        </w:numPr>
        <w:spacing w:before="120"/>
        <w:jc w:val="both"/>
        <w:rPr>
          <w:rFonts w:ascii="Book Antiqua" w:hAnsi="Book Antiqua" w:cs="Arial"/>
        </w:rPr>
      </w:pPr>
      <w:r>
        <w:rPr>
          <w:rFonts w:ascii="Book Antiqua" w:hAnsi="Book Antiqua" w:cs="Arial"/>
        </w:rPr>
        <w:t>The first is that the First-tier Tribunal Judge had applied the wrong test in deciding the appellant had a permanent right of residenc</w:t>
      </w:r>
      <w:r w:rsidR="00CC2591">
        <w:rPr>
          <w:rFonts w:ascii="Book Antiqua" w:hAnsi="Book Antiqua" w:cs="Arial"/>
        </w:rPr>
        <w:t>e</w:t>
      </w:r>
      <w:r>
        <w:rPr>
          <w:rFonts w:ascii="Book Antiqua" w:hAnsi="Book Antiqua" w:cs="Arial"/>
        </w:rPr>
        <w:t xml:space="preserve"> and</w:t>
      </w:r>
      <w:r w:rsidR="00CC2591">
        <w:rPr>
          <w:rFonts w:ascii="Book Antiqua" w:hAnsi="Book Antiqua" w:cs="Arial"/>
        </w:rPr>
        <w:t>,</w:t>
      </w:r>
      <w:r>
        <w:rPr>
          <w:rFonts w:ascii="Book Antiqua" w:hAnsi="Book Antiqua" w:cs="Arial"/>
        </w:rPr>
        <w:t xml:space="preserve"> in any event</w:t>
      </w:r>
      <w:r w:rsidR="00CC2591">
        <w:rPr>
          <w:rFonts w:ascii="Book Antiqua" w:hAnsi="Book Antiqua" w:cs="Arial"/>
        </w:rPr>
        <w:t>,</w:t>
      </w:r>
      <w:r>
        <w:rPr>
          <w:rFonts w:ascii="Book Antiqua" w:hAnsi="Book Antiqua" w:cs="Arial"/>
        </w:rPr>
        <w:t xml:space="preserve"> failed to give clear reasons why he reached that conclusion.  </w:t>
      </w:r>
    </w:p>
    <w:p w:rsidR="00886D56" w:rsidRDefault="00886D56" w:rsidP="00167FB9">
      <w:pPr>
        <w:numPr>
          <w:ilvl w:val="1"/>
          <w:numId w:val="1"/>
        </w:numPr>
        <w:spacing w:before="120"/>
        <w:jc w:val="both"/>
        <w:rPr>
          <w:rFonts w:ascii="Book Antiqua" w:hAnsi="Book Antiqua" w:cs="Arial"/>
        </w:rPr>
      </w:pPr>
      <w:r>
        <w:rPr>
          <w:rFonts w:ascii="Book Antiqua" w:hAnsi="Book Antiqua" w:cs="Arial"/>
        </w:rPr>
        <w:t xml:space="preserve">The second is that the judge had failed to give clear reasons for finding the risk of reoffending was low.  </w:t>
      </w:r>
    </w:p>
    <w:p w:rsidR="00886D56" w:rsidRDefault="00886D56" w:rsidP="00167FB9">
      <w:pPr>
        <w:numPr>
          <w:ilvl w:val="1"/>
          <w:numId w:val="1"/>
        </w:numPr>
        <w:spacing w:before="120"/>
        <w:jc w:val="both"/>
        <w:rPr>
          <w:rFonts w:ascii="Book Antiqua" w:hAnsi="Book Antiqua" w:cs="Arial"/>
        </w:rPr>
      </w:pPr>
      <w:r>
        <w:rPr>
          <w:rFonts w:ascii="Book Antiqua" w:hAnsi="Book Antiqua" w:cs="Arial"/>
        </w:rPr>
        <w:t xml:space="preserve">Finally, there was a failure to give clear reasons why the respondent should be regarded as integrated.  </w:t>
      </w:r>
    </w:p>
    <w:p w:rsidR="00886D56" w:rsidRDefault="00886D56">
      <w:pPr>
        <w:numPr>
          <w:ilvl w:val="0"/>
          <w:numId w:val="1"/>
        </w:numPr>
        <w:tabs>
          <w:tab w:val="clear" w:pos="567"/>
        </w:tabs>
        <w:spacing w:before="240"/>
        <w:jc w:val="both"/>
        <w:rPr>
          <w:rFonts w:ascii="Book Antiqua" w:hAnsi="Book Antiqua" w:cs="Arial"/>
        </w:rPr>
      </w:pPr>
      <w:r>
        <w:rPr>
          <w:rFonts w:ascii="Book Antiqua" w:hAnsi="Book Antiqua" w:cs="Arial"/>
        </w:rPr>
        <w:t>The grant of permission by First-tier Tribunal Judge Foudy rehearses the grounds of challenge and</w:t>
      </w:r>
      <w:r w:rsidR="008D1AA7">
        <w:rPr>
          <w:rFonts w:ascii="Book Antiqua" w:hAnsi="Book Antiqua" w:cs="Arial"/>
        </w:rPr>
        <w:t xml:space="preserve"> </w:t>
      </w:r>
      <w:r>
        <w:rPr>
          <w:rFonts w:ascii="Book Antiqua" w:hAnsi="Book Antiqua" w:cs="Arial"/>
        </w:rPr>
        <w:t>observe</w:t>
      </w:r>
      <w:r w:rsidR="008D1AA7">
        <w:rPr>
          <w:rFonts w:ascii="Book Antiqua" w:hAnsi="Book Antiqua" w:cs="Arial"/>
        </w:rPr>
        <w:t>d</w:t>
      </w:r>
      <w:r>
        <w:rPr>
          <w:rFonts w:ascii="Book Antiqua" w:hAnsi="Book Antiqua" w:cs="Arial"/>
        </w:rPr>
        <w:t xml:space="preserve"> that the grounds disclosed an arguable error of law.</w:t>
      </w:r>
    </w:p>
    <w:p w:rsidR="00886D56" w:rsidRDefault="008D1AA7">
      <w:pPr>
        <w:numPr>
          <w:ilvl w:val="0"/>
          <w:numId w:val="1"/>
        </w:numPr>
        <w:tabs>
          <w:tab w:val="clear" w:pos="567"/>
        </w:tabs>
        <w:spacing w:before="240"/>
        <w:jc w:val="both"/>
        <w:rPr>
          <w:rFonts w:ascii="Book Antiqua" w:hAnsi="Book Antiqua" w:cs="Arial"/>
        </w:rPr>
      </w:pPr>
      <w:r>
        <w:rPr>
          <w:rFonts w:ascii="Book Antiqua" w:hAnsi="Book Antiqua" w:cs="Arial"/>
        </w:rPr>
        <w:t>Judge Green set</w:t>
      </w:r>
      <w:r w:rsidR="00886D56">
        <w:rPr>
          <w:rFonts w:ascii="Book Antiqua" w:hAnsi="Book Antiqua" w:cs="Arial"/>
        </w:rPr>
        <w:t xml:space="preserve"> out </w:t>
      </w:r>
      <w:r w:rsidR="001727E2">
        <w:rPr>
          <w:rFonts w:ascii="Book Antiqua" w:hAnsi="Book Antiqua" w:cs="Arial"/>
        </w:rPr>
        <w:t>with</w:t>
      </w:r>
      <w:r>
        <w:rPr>
          <w:rFonts w:ascii="Book Antiqua" w:hAnsi="Book Antiqua" w:cs="Arial"/>
        </w:rPr>
        <w:t xml:space="preserve"> careful detail</w:t>
      </w:r>
      <w:r w:rsidR="00E25310">
        <w:rPr>
          <w:rFonts w:ascii="Book Antiqua" w:hAnsi="Book Antiqua" w:cs="Arial"/>
        </w:rPr>
        <w:t xml:space="preserve"> </w:t>
      </w:r>
      <w:r w:rsidR="00886D56">
        <w:rPr>
          <w:rFonts w:ascii="Book Antiqua" w:hAnsi="Book Antiqua" w:cs="Arial"/>
        </w:rPr>
        <w:t>the reasons given by the Secretary of State for her decision and thereafter</w:t>
      </w:r>
      <w:r w:rsidR="001727E2">
        <w:rPr>
          <w:rFonts w:ascii="Book Antiqua" w:hAnsi="Book Antiqua" w:cs="Arial"/>
        </w:rPr>
        <w:t>,</w:t>
      </w:r>
      <w:r w:rsidR="00886D56">
        <w:rPr>
          <w:rFonts w:ascii="Book Antiqua" w:hAnsi="Book Antiqua" w:cs="Arial"/>
        </w:rPr>
        <w:t xml:space="preserve"> following a direction as to the burden and standard of proof with reference to </w:t>
      </w:r>
      <w:r w:rsidR="00886D56">
        <w:rPr>
          <w:rFonts w:ascii="Book Antiqua" w:hAnsi="Book Antiqua" w:cs="Arial"/>
          <w:i/>
        </w:rPr>
        <w:t>Arranz (EEA Regulations – Deportation – Test) [2017] UKUT 294</w:t>
      </w:r>
      <w:r w:rsidR="001727E2">
        <w:rPr>
          <w:rFonts w:ascii="Book Antiqua" w:hAnsi="Book Antiqua" w:cs="Arial"/>
          <w:i/>
        </w:rPr>
        <w:t>,</w:t>
      </w:r>
      <w:r w:rsidR="00886D56">
        <w:rPr>
          <w:rFonts w:ascii="Book Antiqua" w:hAnsi="Book Antiqua" w:cs="Arial"/>
        </w:rPr>
        <w:t xml:space="preserve"> set out </w:t>
      </w:r>
      <w:r w:rsidR="001727E2">
        <w:rPr>
          <w:rFonts w:ascii="Book Antiqua" w:hAnsi="Book Antiqua" w:cs="Arial"/>
        </w:rPr>
        <w:t xml:space="preserve">in his decision </w:t>
      </w:r>
      <w:r w:rsidR="00886D56">
        <w:rPr>
          <w:rFonts w:ascii="Book Antiqua" w:hAnsi="Book Antiqua" w:cs="Arial"/>
        </w:rPr>
        <w:t xml:space="preserve">the substance of the respondent’s witness statement and his oral testimony. </w:t>
      </w:r>
      <w:r w:rsidR="001727E2">
        <w:rPr>
          <w:rFonts w:ascii="Book Antiqua" w:hAnsi="Book Antiqua" w:cs="Arial"/>
        </w:rPr>
        <w:t>In addition</w:t>
      </w:r>
      <w:r w:rsidR="00235064">
        <w:rPr>
          <w:rFonts w:ascii="Book Antiqua" w:hAnsi="Book Antiqua" w:cs="Arial"/>
        </w:rPr>
        <w:t>,</w:t>
      </w:r>
      <w:r w:rsidR="001727E2">
        <w:rPr>
          <w:rFonts w:ascii="Book Antiqua" w:hAnsi="Book Antiqua" w:cs="Arial"/>
        </w:rPr>
        <w:t xml:space="preserve"> he set out </w:t>
      </w:r>
      <w:r w:rsidR="00886D56">
        <w:rPr>
          <w:rFonts w:ascii="Book Antiqua" w:hAnsi="Book Antiqua" w:cs="Arial"/>
        </w:rPr>
        <w:t xml:space="preserve">the substance of the witness statement of the respondent’s partner, Ms Mair together with a record of her oral testimony.  The further material relied on by the respondent is summarised and the judge thereafter </w:t>
      </w:r>
      <w:r w:rsidR="001727E2">
        <w:rPr>
          <w:rFonts w:ascii="Book Antiqua" w:hAnsi="Book Antiqua" w:cs="Arial"/>
        </w:rPr>
        <w:t>recorded</w:t>
      </w:r>
      <w:r w:rsidR="00886D56">
        <w:rPr>
          <w:rFonts w:ascii="Book Antiqua" w:hAnsi="Book Antiqua" w:cs="Arial"/>
        </w:rPr>
        <w:t xml:space="preserve"> the comprehensive submissions on behalf of the Secretary of State and those made on the respondent’s behalf.  After directing himself as to the relevant provisions of the Immigration (European Economic Area) Regulations 2016</w:t>
      </w:r>
      <w:r w:rsidR="001727E2">
        <w:rPr>
          <w:rFonts w:ascii="Book Antiqua" w:hAnsi="Book Antiqua" w:cs="Arial"/>
        </w:rPr>
        <w:t>,</w:t>
      </w:r>
      <w:r w:rsidR="00886D56">
        <w:rPr>
          <w:rFonts w:ascii="Book Antiqua" w:hAnsi="Book Antiqua" w:cs="Arial"/>
        </w:rPr>
        <w:t xml:space="preserve"> the judge </w:t>
      </w:r>
      <w:r w:rsidR="001727E2">
        <w:rPr>
          <w:rFonts w:ascii="Book Antiqua" w:hAnsi="Book Antiqua" w:cs="Arial"/>
        </w:rPr>
        <w:t>gave</w:t>
      </w:r>
      <w:r w:rsidR="00886D56">
        <w:rPr>
          <w:rFonts w:ascii="Book Antiqua" w:hAnsi="Book Antiqua" w:cs="Arial"/>
        </w:rPr>
        <w:t xml:space="preserve"> the following conclusions at [22]:</w:t>
      </w:r>
    </w:p>
    <w:p w:rsidR="00886D56" w:rsidRDefault="00886D56" w:rsidP="00167FB9">
      <w:pPr>
        <w:spacing w:before="120"/>
        <w:ind w:left="1701" w:right="567" w:hanging="567"/>
        <w:jc w:val="both"/>
        <w:rPr>
          <w:rFonts w:ascii="Book Antiqua" w:hAnsi="Book Antiqua" w:cs="Arial"/>
          <w:sz w:val="22"/>
          <w:szCs w:val="22"/>
        </w:rPr>
      </w:pPr>
      <w:r>
        <w:rPr>
          <w:rFonts w:ascii="Book Antiqua" w:hAnsi="Book Antiqua" w:cs="Arial"/>
          <w:sz w:val="22"/>
          <w:szCs w:val="22"/>
        </w:rPr>
        <w:t>“22.</w:t>
      </w:r>
      <w:r>
        <w:rPr>
          <w:rFonts w:ascii="Book Antiqua" w:hAnsi="Book Antiqua" w:cs="Arial"/>
          <w:sz w:val="22"/>
          <w:szCs w:val="22"/>
        </w:rPr>
        <w:tab/>
        <w:t>In following the considerations set out in Schedule 1 of the 2016 Regulations I note the following:</w:t>
      </w:r>
    </w:p>
    <w:p w:rsidR="00886D56" w:rsidRDefault="00886D56" w:rsidP="00167FB9">
      <w:pPr>
        <w:spacing w:before="120"/>
        <w:ind w:left="2268" w:right="567" w:hanging="567"/>
        <w:jc w:val="both"/>
        <w:rPr>
          <w:rFonts w:ascii="Book Antiqua" w:hAnsi="Book Antiqua" w:cs="Arial"/>
          <w:sz w:val="22"/>
          <w:szCs w:val="22"/>
        </w:rPr>
      </w:pPr>
      <w:r>
        <w:rPr>
          <w:rFonts w:ascii="Book Antiqua" w:hAnsi="Book Antiqua" w:cs="Arial"/>
          <w:sz w:val="22"/>
          <w:szCs w:val="22"/>
        </w:rPr>
        <w:t>(i)</w:t>
      </w:r>
      <w:r>
        <w:rPr>
          <w:rFonts w:ascii="Book Antiqua" w:hAnsi="Book Antiqua" w:cs="Arial"/>
          <w:sz w:val="22"/>
          <w:szCs w:val="22"/>
        </w:rPr>
        <w:tab/>
        <w:t xml:space="preserve">A EEA national having extensive familial and societal links with persons of the same nationality or language does not amount to integration in 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xml:space="preserve">.  A significant degree of wider cultural and societal integration must be present before a person may be regarded as integrated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In this appeal, I have seen sufficient evidence that the Appellant meets this test.  He has spent all his life in this country in a relationship with Ms Mair and he is clearly heavily involved with her family, as evidence by the witness statements and letters of support.</w:t>
      </w:r>
    </w:p>
    <w:p w:rsidR="00886D56" w:rsidRDefault="00886D56" w:rsidP="00167FB9">
      <w:pPr>
        <w:spacing w:before="120"/>
        <w:ind w:left="2268" w:right="567" w:hanging="567"/>
        <w:jc w:val="both"/>
        <w:rPr>
          <w:rFonts w:ascii="Book Antiqua" w:hAnsi="Book Antiqua" w:cs="Arial"/>
          <w:sz w:val="22"/>
          <w:szCs w:val="22"/>
        </w:rPr>
      </w:pPr>
      <w:r>
        <w:rPr>
          <w:rFonts w:ascii="Book Antiqua" w:hAnsi="Book Antiqua" w:cs="Arial"/>
          <w:sz w:val="22"/>
          <w:szCs w:val="22"/>
        </w:rPr>
        <w:t>(ii)</w:t>
      </w:r>
      <w:r>
        <w:rPr>
          <w:rFonts w:ascii="Book Antiqua" w:hAnsi="Book Antiqua" w:cs="Arial"/>
          <w:sz w:val="22"/>
          <w:szCs w:val="22"/>
        </w:rPr>
        <w:tab/>
        <w:t xml:space="preserve">Where an EEA national has received a custodial sentence, or is a persistent offender, the longer the sentence, or the more numerous the convictions, the greater the likelihood that the individual’s continued presence in the United Kingdom represents a genuine, present and sufficiently serious threat affecting the fundamental interests of </w:t>
      </w:r>
      <w:r>
        <w:rPr>
          <w:rFonts w:ascii="Book Antiqua" w:hAnsi="Book Antiqua" w:cs="Arial"/>
          <w:sz w:val="22"/>
          <w:szCs w:val="22"/>
        </w:rPr>
        <w:lastRenderedPageBreak/>
        <w:t xml:space="preserve">society.  In this case, the Appellant has been convicted twice for shoplifting and for failing to meet bail conditions.  He was not sent to prison for the shoplifting and he was only admonished for the bail offences – the lowest possible sanction to be imposed.  The last serious conviction was in February 2016.  There are no other subsequent convictions other than the bail offences.  I think that is significant in terms of any propensity to re-offend.  It would </w:t>
      </w:r>
      <w:proofErr w:type="gramStart"/>
      <w:r>
        <w:rPr>
          <w:rFonts w:ascii="Book Antiqua" w:hAnsi="Book Antiqua" w:cs="Arial"/>
          <w:sz w:val="22"/>
          <w:szCs w:val="22"/>
        </w:rPr>
        <w:t>seen</w:t>
      </w:r>
      <w:proofErr w:type="gramEnd"/>
      <w:r>
        <w:rPr>
          <w:rFonts w:ascii="Book Antiqua" w:hAnsi="Book Antiqua" w:cs="Arial"/>
          <w:sz w:val="22"/>
          <w:szCs w:val="22"/>
        </w:rPr>
        <w:t xml:space="preserve"> to be low.  He has stopped taking heroin and is on a methadone programme.  Clearly this points to a young man trying to change his life for the better.  His relationship with Ms Mair is longstanding and important to this process of change.  I think that she can support him to help his rehabilitation and he appears to have a stronger network of friends and family (i.e. Ms Mair’s family) in this country than in </w:t>
      </w:r>
      <w:smartTag w:uri="urn:schemas-microsoft-com:office:smarttags" w:element="place">
        <w:smartTag w:uri="urn:schemas-microsoft-com:office:smarttags" w:element="country-region">
          <w:r>
            <w:rPr>
              <w:rFonts w:ascii="Book Antiqua" w:hAnsi="Book Antiqua" w:cs="Arial"/>
              <w:sz w:val="22"/>
              <w:szCs w:val="22"/>
            </w:rPr>
            <w:t>Romania</w:t>
          </w:r>
        </w:smartTag>
      </w:smartTag>
      <w:r>
        <w:rPr>
          <w:rFonts w:ascii="Book Antiqua" w:hAnsi="Book Antiqua" w:cs="Arial"/>
          <w:sz w:val="22"/>
          <w:szCs w:val="22"/>
        </w:rPr>
        <w:t xml:space="preserve">.  He came to this country with no criminal record.  The evidence suggests little likelihood that the Appellant’s continued presence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represents a genuine, present and sufficiently serious threat affecting the fundamental interests of society.</w:t>
      </w:r>
    </w:p>
    <w:p w:rsidR="00886D56" w:rsidRDefault="00886D56" w:rsidP="00167FB9">
      <w:pPr>
        <w:spacing w:before="120"/>
        <w:ind w:left="2268" w:right="567" w:hanging="567"/>
        <w:jc w:val="both"/>
        <w:rPr>
          <w:rFonts w:ascii="Book Antiqua" w:hAnsi="Book Antiqua" w:cs="Arial"/>
          <w:sz w:val="22"/>
          <w:szCs w:val="22"/>
        </w:rPr>
      </w:pPr>
      <w:r>
        <w:rPr>
          <w:rFonts w:ascii="Book Antiqua" w:hAnsi="Book Antiqua" w:cs="Arial"/>
          <w:sz w:val="22"/>
          <w:szCs w:val="22"/>
        </w:rPr>
        <w:t>(iii)</w:t>
      </w:r>
      <w:r>
        <w:rPr>
          <w:rFonts w:ascii="Book Antiqua" w:hAnsi="Book Antiqua" w:cs="Arial"/>
          <w:sz w:val="22"/>
          <w:szCs w:val="22"/>
        </w:rPr>
        <w:tab/>
        <w:t xml:space="preserve">I am required to give little weight to the Appellant’s integration within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if this alleged integrating links were formed around the same time as the commission of a criminal offence.  Based on his evidence and Ms Mair’s evidence and the letters of support, I accept that the Appellant came to this country in 2012 to attend Billy Mair’s funeral.  He has permanent residence having lived here continuously for 5 years.  He was sentenced in 2015 and 2016.  On each occasion he either received community service or an admonition.  Consequently, I give weight to his integration within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that he has achieved.</w:t>
      </w:r>
    </w:p>
    <w:p w:rsidR="00886D56" w:rsidRDefault="00886D56" w:rsidP="00167FB9">
      <w:pPr>
        <w:spacing w:before="120"/>
        <w:ind w:left="2268" w:right="567" w:hanging="567"/>
        <w:jc w:val="both"/>
        <w:rPr>
          <w:rFonts w:ascii="Book Antiqua" w:hAnsi="Book Antiqua" w:cs="Arial"/>
          <w:sz w:val="22"/>
          <w:szCs w:val="22"/>
        </w:rPr>
      </w:pPr>
      <w:r>
        <w:rPr>
          <w:rFonts w:ascii="Book Antiqua" w:hAnsi="Book Antiqua" w:cs="Arial"/>
          <w:sz w:val="22"/>
          <w:szCs w:val="22"/>
        </w:rPr>
        <w:t>(iv)</w:t>
      </w:r>
      <w:r>
        <w:rPr>
          <w:rFonts w:ascii="Book Antiqua" w:hAnsi="Book Antiqua" w:cs="Arial"/>
          <w:sz w:val="22"/>
          <w:szCs w:val="22"/>
        </w:rPr>
        <w:tab/>
        <w:t xml:space="preserve">The 2016 Regulations recognise that the removal from the </w:t>
      </w:r>
      <w:smartTag w:uri="urn:schemas-microsoft-com:office:smarttags" w:element="place">
        <w:smartTag w:uri="urn:schemas-microsoft-com:office:smarttags" w:element="country-region">
          <w:r>
            <w:rPr>
              <w:rFonts w:ascii="Book Antiqua" w:hAnsi="Book Antiqua" w:cs="Arial"/>
              <w:sz w:val="22"/>
              <w:szCs w:val="22"/>
            </w:rPr>
            <w:t>United Kingdom</w:t>
          </w:r>
        </w:smartTag>
      </w:smartTag>
      <w:r>
        <w:rPr>
          <w:rFonts w:ascii="Book Antiqua" w:hAnsi="Book Antiqua" w:cs="Arial"/>
          <w:sz w:val="22"/>
          <w:szCs w:val="22"/>
        </w:rPr>
        <w:t xml:space="preserve"> of an EEA national who could provide substantive evidence of not demonstrating a threat (for example through demonstrating that the EEA national has successfully reformed or rehabilitated) is less likely to be proportionate.  In this case, there is evidence that the Appellant has engaged in rehabilitation.  He has stopped taking heroin.  His is following a detox programme and he has not re-offended since his last conviction.  He is in a stable and supportive relationship with Ms Mair.  He wants to work and to contribute to society.  In understand why he was unable to work previously given Ms Mair’s family history and the level of support he gave to her.  I also accept that his drug habit may have precluded him from working.</w:t>
      </w:r>
    </w:p>
    <w:p w:rsidR="00886D56" w:rsidRDefault="00886D56" w:rsidP="00167FB9">
      <w:pPr>
        <w:spacing w:before="120"/>
        <w:ind w:left="2268" w:right="567" w:hanging="567"/>
        <w:jc w:val="both"/>
        <w:rPr>
          <w:rFonts w:ascii="Book Antiqua" w:hAnsi="Book Antiqua" w:cs="Arial"/>
          <w:sz w:val="22"/>
          <w:szCs w:val="22"/>
        </w:rPr>
      </w:pPr>
      <w:r>
        <w:rPr>
          <w:rFonts w:ascii="Book Antiqua" w:hAnsi="Book Antiqua" w:cs="Arial"/>
          <w:sz w:val="22"/>
          <w:szCs w:val="22"/>
        </w:rPr>
        <w:t>(v)</w:t>
      </w:r>
      <w:r>
        <w:rPr>
          <w:rFonts w:ascii="Book Antiqua" w:hAnsi="Book Antiqua" w:cs="Arial"/>
          <w:sz w:val="22"/>
          <w:szCs w:val="22"/>
        </w:rPr>
        <w:tab/>
        <w:t xml:space="preserve">The fundamental interests of society in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include removing an EEA national with a conviction and maintaining public confidence in the ability of the relevant authorities to take such action.  It also includes combating the effects of persistent offending and protecting the public.  In this case, those interests are not served by removing the Appellant despite his convictions to maintain public confidence in the immigration authorities to take such action.  The Appellant does not pose a threat to the public.  He has not re-offended since 2016.”</w:t>
      </w:r>
    </w:p>
    <w:p w:rsidR="00886D56" w:rsidRDefault="00886D56">
      <w:pPr>
        <w:numPr>
          <w:ilvl w:val="0"/>
          <w:numId w:val="1"/>
        </w:numPr>
        <w:tabs>
          <w:tab w:val="clear" w:pos="567"/>
        </w:tabs>
        <w:spacing w:before="240"/>
        <w:jc w:val="both"/>
        <w:rPr>
          <w:rFonts w:ascii="Book Antiqua" w:hAnsi="Book Antiqua" w:cs="Arial"/>
        </w:rPr>
      </w:pPr>
      <w:r>
        <w:rPr>
          <w:rFonts w:ascii="Book Antiqua" w:hAnsi="Book Antiqua" w:cs="Arial"/>
        </w:rPr>
        <w:lastRenderedPageBreak/>
        <w:t>At the outset of the hearing I asked Mr Govan whether he relied on ground 1 since on my reading of the decision</w:t>
      </w:r>
      <w:r w:rsidR="001727E2">
        <w:rPr>
          <w:rFonts w:ascii="Book Antiqua" w:hAnsi="Book Antiqua" w:cs="Arial"/>
        </w:rPr>
        <w:t>,</w:t>
      </w:r>
      <w:r>
        <w:rPr>
          <w:rFonts w:ascii="Book Antiqua" w:hAnsi="Book Antiqua" w:cs="Arial"/>
        </w:rPr>
        <w:t xml:space="preserve"> I was unable to discern any error as alleged</w:t>
      </w:r>
      <w:r w:rsidR="00CE19B7">
        <w:rPr>
          <w:rFonts w:ascii="Book Antiqua" w:hAnsi="Book Antiqua" w:cs="Arial"/>
        </w:rPr>
        <w:t xml:space="preserve"> having</w:t>
      </w:r>
      <w:r w:rsidR="001727E2">
        <w:rPr>
          <w:rFonts w:ascii="Book Antiqua" w:hAnsi="Book Antiqua" w:cs="Arial"/>
        </w:rPr>
        <w:t xml:space="preserve"> </w:t>
      </w:r>
      <w:r>
        <w:rPr>
          <w:rFonts w:ascii="Book Antiqua" w:hAnsi="Book Antiqua" w:cs="Arial"/>
        </w:rPr>
        <w:t>noted paragraph [20] as follows:</w:t>
      </w:r>
    </w:p>
    <w:p w:rsidR="00886D56" w:rsidRDefault="00886D56" w:rsidP="00167FB9">
      <w:pPr>
        <w:spacing w:before="120"/>
        <w:ind w:left="1701" w:right="567" w:hanging="567"/>
        <w:jc w:val="both"/>
        <w:rPr>
          <w:rFonts w:ascii="Book Antiqua" w:hAnsi="Book Antiqua" w:cs="Arial"/>
          <w:sz w:val="22"/>
          <w:szCs w:val="22"/>
        </w:rPr>
      </w:pPr>
      <w:r>
        <w:rPr>
          <w:rFonts w:ascii="Book Antiqua" w:hAnsi="Book Antiqua" w:cs="Arial"/>
          <w:sz w:val="22"/>
          <w:szCs w:val="22"/>
        </w:rPr>
        <w:t>“20.</w:t>
      </w:r>
      <w:r>
        <w:rPr>
          <w:rFonts w:ascii="Book Antiqua" w:hAnsi="Book Antiqua" w:cs="Arial"/>
          <w:sz w:val="22"/>
          <w:szCs w:val="22"/>
        </w:rPr>
        <w:tab/>
        <w:t>I am also reminded that under Regulation 23(6) of the 2016 Regulations, an EEA national who has entered the United Kingdom or the family member of such a national who has entered the United Kingdom may be removed if the Secretary of State has decided that the person’s removal is justified on the grounds of public policy, public security or public health in accordance with regulation 27.  This is the ground upon which the Respondent relies.”</w:t>
      </w:r>
    </w:p>
    <w:p w:rsidR="00886D56" w:rsidRDefault="00886D56">
      <w:pPr>
        <w:numPr>
          <w:ilvl w:val="0"/>
          <w:numId w:val="1"/>
        </w:numPr>
        <w:tabs>
          <w:tab w:val="clear" w:pos="567"/>
        </w:tabs>
        <w:spacing w:before="240"/>
        <w:jc w:val="both"/>
        <w:rPr>
          <w:rFonts w:ascii="Book Antiqua" w:hAnsi="Book Antiqua" w:cs="Arial"/>
        </w:rPr>
      </w:pPr>
      <w:r>
        <w:rPr>
          <w:rFonts w:ascii="Book Antiqua" w:hAnsi="Book Antiqua" w:cs="Arial"/>
        </w:rPr>
        <w:t xml:space="preserve">No </w:t>
      </w:r>
      <w:r w:rsidR="00CE19B7">
        <w:rPr>
          <w:rFonts w:ascii="Book Antiqua" w:hAnsi="Book Antiqua" w:cs="Arial"/>
        </w:rPr>
        <w:t>indication was given by</w:t>
      </w:r>
      <w:r>
        <w:rPr>
          <w:rFonts w:ascii="Book Antiqua" w:hAnsi="Book Antiqua" w:cs="Arial"/>
        </w:rPr>
        <w:t xml:space="preserve"> the judge</w:t>
      </w:r>
      <w:r w:rsidR="00CE19B7">
        <w:rPr>
          <w:rFonts w:ascii="Book Antiqua" w:hAnsi="Book Antiqua" w:cs="Arial"/>
        </w:rPr>
        <w:t xml:space="preserve"> that he had</w:t>
      </w:r>
      <w:r>
        <w:rPr>
          <w:rFonts w:ascii="Book Antiqua" w:hAnsi="Book Antiqua" w:cs="Arial"/>
        </w:rPr>
        <w:t xml:space="preserve"> considered this case under the higher threshold required where permanent residence has been established.  Mr Govan withdrew this ground.  As to the second and third grounds, he clarified that neither was a rationality challenge but instead the complaint was an absence of reasons for the conclusions reached as to the risk of reoffendin</w:t>
      </w:r>
      <w:r w:rsidR="00CE19B7">
        <w:rPr>
          <w:rFonts w:ascii="Book Antiqua" w:hAnsi="Book Antiqua" w:cs="Arial"/>
        </w:rPr>
        <w:t xml:space="preserve">g and whether </w:t>
      </w:r>
      <w:r>
        <w:rPr>
          <w:rFonts w:ascii="Book Antiqua" w:hAnsi="Book Antiqua" w:cs="Arial"/>
        </w:rPr>
        <w:t xml:space="preserve">he should be considered as a persistent offender </w:t>
      </w:r>
      <w:r w:rsidR="00CE19B7">
        <w:rPr>
          <w:rFonts w:ascii="Book Antiqua" w:hAnsi="Book Antiqua" w:cs="Arial"/>
        </w:rPr>
        <w:t xml:space="preserve">together with </w:t>
      </w:r>
      <w:r>
        <w:rPr>
          <w:rFonts w:ascii="Book Antiqua" w:hAnsi="Book Antiqua" w:cs="Arial"/>
        </w:rPr>
        <w:t>a failure to give clear reasons why the respondent should be regarded as integrated.  At the outset of the hearing I provided the parties with copies of the decision</w:t>
      </w:r>
      <w:r w:rsidR="00CE19B7">
        <w:rPr>
          <w:rFonts w:ascii="Book Antiqua" w:hAnsi="Book Antiqua" w:cs="Arial"/>
        </w:rPr>
        <w:t>s</w:t>
      </w:r>
      <w:r>
        <w:rPr>
          <w:rFonts w:ascii="Book Antiqua" w:hAnsi="Book Antiqua" w:cs="Arial"/>
        </w:rPr>
        <w:t xml:space="preserve"> of the Court of Appeal in </w:t>
      </w:r>
      <w:r>
        <w:rPr>
          <w:rFonts w:ascii="Book Antiqua" w:hAnsi="Book Antiqua" w:cs="Arial"/>
          <w:i/>
        </w:rPr>
        <w:t xml:space="preserve">SSHD v Dumliauskas &amp; </w:t>
      </w:r>
      <w:proofErr w:type="spellStart"/>
      <w:r>
        <w:rPr>
          <w:rFonts w:ascii="Book Antiqua" w:hAnsi="Book Antiqua" w:cs="Arial"/>
          <w:i/>
        </w:rPr>
        <w:t>Ors</w:t>
      </w:r>
      <w:proofErr w:type="spellEnd"/>
      <w:r>
        <w:rPr>
          <w:rFonts w:ascii="Book Antiqua" w:hAnsi="Book Antiqua" w:cs="Arial"/>
        </w:rPr>
        <w:t xml:space="preserve"> [2015] EWCA </w:t>
      </w:r>
      <w:proofErr w:type="spellStart"/>
      <w:r>
        <w:rPr>
          <w:rFonts w:ascii="Book Antiqua" w:hAnsi="Book Antiqua" w:cs="Arial"/>
        </w:rPr>
        <w:t>Civ</w:t>
      </w:r>
      <w:proofErr w:type="spellEnd"/>
      <w:r>
        <w:rPr>
          <w:rFonts w:ascii="Book Antiqua" w:hAnsi="Book Antiqua" w:cs="Arial"/>
        </w:rPr>
        <w:t xml:space="preserve"> 145 and </w:t>
      </w:r>
      <w:r w:rsidR="00167FB9">
        <w:rPr>
          <w:rFonts w:ascii="Book Antiqua" w:hAnsi="Book Antiqua" w:cs="Arial"/>
        </w:rPr>
        <w:t>its</w:t>
      </w:r>
      <w:r w:rsidR="00CE19B7">
        <w:rPr>
          <w:rFonts w:ascii="Book Antiqua" w:hAnsi="Book Antiqua" w:cs="Arial"/>
        </w:rPr>
        <w:t xml:space="preserve"> more recent decision</w:t>
      </w:r>
      <w:r>
        <w:rPr>
          <w:rFonts w:ascii="Book Antiqua" w:hAnsi="Book Antiqua" w:cs="Arial"/>
        </w:rPr>
        <w:t xml:space="preserve"> in </w:t>
      </w:r>
      <w:r>
        <w:rPr>
          <w:rFonts w:ascii="Book Antiqua" w:hAnsi="Book Antiqua" w:cs="Arial"/>
          <w:i/>
        </w:rPr>
        <w:t>SC (Zimbabwe) v SSHD</w:t>
      </w:r>
      <w:r>
        <w:rPr>
          <w:rFonts w:ascii="Book Antiqua" w:hAnsi="Book Antiqua" w:cs="Arial"/>
        </w:rPr>
        <w:t xml:space="preserve"> [2018] EWCA Civ 929.  </w:t>
      </w:r>
      <w:r w:rsidR="00CE19B7">
        <w:rPr>
          <w:rFonts w:ascii="Book Antiqua" w:hAnsi="Book Antiqua" w:cs="Arial"/>
        </w:rPr>
        <w:t xml:space="preserve">In the former, </w:t>
      </w:r>
      <w:r>
        <w:rPr>
          <w:rFonts w:ascii="Book Antiqua" w:hAnsi="Book Antiqua" w:cs="Arial"/>
        </w:rPr>
        <w:t xml:space="preserve">Sir Stanley </w:t>
      </w:r>
      <w:proofErr w:type="spellStart"/>
      <w:r>
        <w:rPr>
          <w:rFonts w:ascii="Book Antiqua" w:hAnsi="Book Antiqua" w:cs="Arial"/>
        </w:rPr>
        <w:t>Burnton</w:t>
      </w:r>
      <w:proofErr w:type="spellEnd"/>
      <w:r>
        <w:rPr>
          <w:rFonts w:ascii="Book Antiqua" w:hAnsi="Book Antiqua" w:cs="Arial"/>
        </w:rPr>
        <w:t xml:space="preserve"> at [45] makes it clear that he was unable to accept the Secretary of State’s submission that the prospects of rehabilitation are irrelevant unless the offender has a permanent right of residence.  In respect of the latter decision McCombe LJ endorses the approach taken by the Tribunal in its analysis of what is meant by a persistent offender.  After giving the representatives time to consider these decisions I heard submissions.</w:t>
      </w:r>
    </w:p>
    <w:p w:rsidR="00886D56" w:rsidRDefault="00886D56">
      <w:pPr>
        <w:numPr>
          <w:ilvl w:val="0"/>
          <w:numId w:val="1"/>
        </w:numPr>
        <w:tabs>
          <w:tab w:val="clear" w:pos="567"/>
        </w:tabs>
        <w:spacing w:before="240"/>
        <w:jc w:val="both"/>
        <w:rPr>
          <w:rFonts w:ascii="Book Antiqua" w:hAnsi="Book Antiqua" w:cs="Arial"/>
        </w:rPr>
      </w:pPr>
      <w:r>
        <w:rPr>
          <w:rFonts w:ascii="Book Antiqua" w:hAnsi="Book Antiqua" w:cs="Arial"/>
        </w:rPr>
        <w:t xml:space="preserve">Mr Govan re-characterised his ground by focussing on </w:t>
      </w:r>
      <w:r w:rsidR="00C570B4">
        <w:rPr>
          <w:rFonts w:ascii="Book Antiqua" w:hAnsi="Book Antiqua" w:cs="Arial"/>
        </w:rPr>
        <w:t>an asserted</w:t>
      </w:r>
      <w:r>
        <w:rPr>
          <w:rFonts w:ascii="Book Antiqua" w:hAnsi="Book Antiqua" w:cs="Arial"/>
        </w:rPr>
        <w:t xml:space="preserve"> failure by the judge to have reasoned whether the </w:t>
      </w:r>
      <w:r w:rsidR="00C570B4">
        <w:rPr>
          <w:rFonts w:ascii="Book Antiqua" w:hAnsi="Book Antiqua" w:cs="Arial"/>
        </w:rPr>
        <w:t>respondent</w:t>
      </w:r>
      <w:r>
        <w:rPr>
          <w:rFonts w:ascii="Book Antiqua" w:hAnsi="Book Antiqua" w:cs="Arial"/>
        </w:rPr>
        <w:t xml:space="preserve"> was a persistent offender.  In my view this ground is not made good.  At [22(ii)] the judge</w:t>
      </w:r>
      <w:r w:rsidR="00C570B4">
        <w:rPr>
          <w:rFonts w:ascii="Book Antiqua" w:hAnsi="Book Antiqua" w:cs="Arial"/>
        </w:rPr>
        <w:t>,</w:t>
      </w:r>
      <w:r>
        <w:rPr>
          <w:rFonts w:ascii="Book Antiqua" w:hAnsi="Book Antiqua" w:cs="Arial"/>
        </w:rPr>
        <w:t xml:space="preserve"> as will be seen </w:t>
      </w:r>
      <w:r w:rsidR="00CE19B7">
        <w:rPr>
          <w:rFonts w:ascii="Book Antiqua" w:hAnsi="Book Antiqua" w:cs="Arial"/>
        </w:rPr>
        <w:t>from the extract above</w:t>
      </w:r>
      <w:r w:rsidR="00C570B4">
        <w:rPr>
          <w:rFonts w:ascii="Book Antiqua" w:hAnsi="Book Antiqua" w:cs="Arial"/>
        </w:rPr>
        <w:t>,</w:t>
      </w:r>
      <w:r>
        <w:rPr>
          <w:rFonts w:ascii="Book Antiqua" w:hAnsi="Book Antiqua" w:cs="Arial"/>
        </w:rPr>
        <w:t xml:space="preserve"> began his analysis </w:t>
      </w:r>
      <w:r w:rsidR="00C570B4">
        <w:rPr>
          <w:rFonts w:ascii="Book Antiqua" w:hAnsi="Book Antiqua" w:cs="Arial"/>
        </w:rPr>
        <w:t>by</w:t>
      </w:r>
      <w:r>
        <w:rPr>
          <w:rFonts w:ascii="Book Antiqua" w:hAnsi="Book Antiqua" w:cs="Arial"/>
        </w:rPr>
        <w:t xml:space="preserve"> setting out the criteria where an EEA national has received a custodial sentence or is a persistent offender.  </w:t>
      </w:r>
      <w:r w:rsidR="00CE19B7">
        <w:rPr>
          <w:rFonts w:ascii="Book Antiqua" w:hAnsi="Book Antiqua" w:cs="Arial"/>
        </w:rPr>
        <w:t>He</w:t>
      </w:r>
      <w:r>
        <w:rPr>
          <w:rFonts w:ascii="Book Antiqua" w:hAnsi="Book Antiqua" w:cs="Arial"/>
        </w:rPr>
        <w:t xml:space="preserve"> set out sustainable reasons why he considered there was a low risk of reoffending.  It is correct that he did not </w:t>
      </w:r>
      <w:r w:rsidR="00C570B4">
        <w:rPr>
          <w:rFonts w:ascii="Book Antiqua" w:hAnsi="Book Antiqua" w:cs="Arial"/>
        </w:rPr>
        <w:t>express a finding</w:t>
      </w:r>
      <w:r>
        <w:rPr>
          <w:rFonts w:ascii="Book Antiqua" w:hAnsi="Book Antiqua" w:cs="Arial"/>
        </w:rPr>
        <w:t xml:space="preserve"> whether the respondent was a persistent offender </w:t>
      </w:r>
      <w:r w:rsidR="00CE19B7">
        <w:rPr>
          <w:rFonts w:ascii="Book Antiqua" w:hAnsi="Book Antiqua" w:cs="Arial"/>
        </w:rPr>
        <w:t xml:space="preserve">but it can be </w:t>
      </w:r>
      <w:r w:rsidR="00C570B4">
        <w:rPr>
          <w:rFonts w:ascii="Book Antiqua" w:hAnsi="Book Antiqua" w:cs="Arial"/>
        </w:rPr>
        <w:t xml:space="preserve">readily </w:t>
      </w:r>
      <w:r w:rsidR="00CE19B7">
        <w:rPr>
          <w:rFonts w:ascii="Book Antiqua" w:hAnsi="Book Antiqua" w:cs="Arial"/>
        </w:rPr>
        <w:t>inferred from a fair reading of his decision that he did not consider the respondent was in this category. As</w:t>
      </w:r>
      <w:r>
        <w:rPr>
          <w:rFonts w:ascii="Book Antiqua" w:hAnsi="Book Antiqua" w:cs="Arial"/>
        </w:rPr>
        <w:t xml:space="preserve"> candidly acknowledged by Mr Govan, in the light of absence of further offending and the nature of the offences committed it would have been rationally open to the judge to find that he was not a persistent offender.  By the time his submissions reached ground 3, Mr Govan </w:t>
      </w:r>
      <w:r w:rsidR="00CE19B7">
        <w:rPr>
          <w:rFonts w:ascii="Book Antiqua" w:hAnsi="Book Antiqua" w:cs="Arial"/>
        </w:rPr>
        <w:t>confirmed</w:t>
      </w:r>
      <w:r>
        <w:rPr>
          <w:rFonts w:ascii="Book Antiqua" w:hAnsi="Book Antiqua" w:cs="Arial"/>
        </w:rPr>
        <w:t xml:space="preserve"> that this ground stood or fell with ground 2.  In my view the judge gave sustainable and cogent reasons why he considered integration played a relevant role in this case in the light of</w:t>
      </w:r>
      <w:r w:rsidR="00492650">
        <w:rPr>
          <w:rFonts w:ascii="Book Antiqua" w:hAnsi="Book Antiqua" w:cs="Arial"/>
        </w:rPr>
        <w:t xml:space="preserve"> all</w:t>
      </w:r>
      <w:r>
        <w:rPr>
          <w:rFonts w:ascii="Book Antiqua" w:hAnsi="Book Antiqua" w:cs="Arial"/>
        </w:rPr>
        <w:t xml:space="preserve"> the circumstances.</w:t>
      </w:r>
    </w:p>
    <w:p w:rsidR="00886D56" w:rsidRDefault="00886D56">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that the judge did not </w:t>
      </w:r>
      <w:r w:rsidR="00CE19B7">
        <w:rPr>
          <w:rFonts w:ascii="Book Antiqua" w:hAnsi="Book Antiqua" w:cs="Arial"/>
        </w:rPr>
        <w:t xml:space="preserve">materially </w:t>
      </w:r>
      <w:r>
        <w:rPr>
          <w:rFonts w:ascii="Book Antiqua" w:hAnsi="Book Antiqua" w:cs="Arial"/>
        </w:rPr>
        <w:t xml:space="preserve">err </w:t>
      </w:r>
      <w:r w:rsidR="00C570B4">
        <w:rPr>
          <w:rFonts w:ascii="Book Antiqua" w:hAnsi="Book Antiqua" w:cs="Arial"/>
        </w:rPr>
        <w:t>in his decision</w:t>
      </w:r>
      <w:r w:rsidR="00492650">
        <w:rPr>
          <w:rFonts w:ascii="Book Antiqua" w:hAnsi="Book Antiqua" w:cs="Arial"/>
        </w:rPr>
        <w:t>.</w:t>
      </w:r>
    </w:p>
    <w:p w:rsidR="00886D56" w:rsidRDefault="00886D56">
      <w:pPr>
        <w:jc w:val="both"/>
        <w:rPr>
          <w:rFonts w:ascii="Book Antiqua" w:hAnsi="Book Antiqua" w:cs="Arial"/>
          <w:b/>
          <w:highlight w:val="yellow"/>
          <w:u w:val="single"/>
        </w:rPr>
      </w:pPr>
    </w:p>
    <w:p w:rsidR="00886D56" w:rsidRDefault="00886D56">
      <w:pPr>
        <w:jc w:val="both"/>
        <w:rPr>
          <w:rFonts w:ascii="Book Antiqua" w:hAnsi="Book Antiqua" w:cs="Arial"/>
        </w:rPr>
      </w:pPr>
      <w:r>
        <w:rPr>
          <w:rFonts w:ascii="Book Antiqua" w:hAnsi="Book Antiqua" w:cs="Arial"/>
        </w:rPr>
        <w:t>NOTICE OF DECISION</w:t>
      </w:r>
    </w:p>
    <w:p w:rsidR="00886D56" w:rsidRDefault="00886D56">
      <w:pPr>
        <w:jc w:val="both"/>
        <w:rPr>
          <w:rFonts w:ascii="Book Antiqua" w:hAnsi="Book Antiqua" w:cs="Arial"/>
        </w:rPr>
      </w:pPr>
    </w:p>
    <w:p w:rsidR="00886D56" w:rsidRDefault="00886D56">
      <w:pPr>
        <w:jc w:val="both"/>
        <w:rPr>
          <w:rFonts w:ascii="Book Antiqua" w:hAnsi="Book Antiqua" w:cs="Arial"/>
        </w:rPr>
      </w:pPr>
      <w:r>
        <w:rPr>
          <w:rFonts w:ascii="Book Antiqua" w:hAnsi="Book Antiqua" w:cs="Arial"/>
        </w:rPr>
        <w:t xml:space="preserve">The appeal </w:t>
      </w:r>
      <w:r w:rsidR="00C570B4">
        <w:rPr>
          <w:rFonts w:ascii="Book Antiqua" w:hAnsi="Book Antiqua" w:cs="Arial"/>
        </w:rPr>
        <w:t>by</w:t>
      </w:r>
      <w:r>
        <w:rPr>
          <w:rFonts w:ascii="Book Antiqua" w:hAnsi="Book Antiqua" w:cs="Arial"/>
        </w:rPr>
        <w:t xml:space="preserve"> the Secretary of State is dismissed.  </w:t>
      </w:r>
    </w:p>
    <w:p w:rsidR="00886D56" w:rsidRDefault="00886D56">
      <w:pPr>
        <w:jc w:val="both"/>
        <w:rPr>
          <w:rFonts w:ascii="Book Antiqua" w:hAnsi="Book Antiqua" w:cs="Arial"/>
        </w:rPr>
      </w:pPr>
    </w:p>
    <w:p w:rsidR="00886D56" w:rsidRDefault="00886D56">
      <w:pPr>
        <w:jc w:val="both"/>
        <w:rPr>
          <w:rFonts w:ascii="Book Antiqua" w:hAnsi="Book Antiqua" w:cs="Arial"/>
        </w:rPr>
      </w:pPr>
      <w:r>
        <w:rPr>
          <w:rFonts w:ascii="Book Antiqua" w:hAnsi="Book Antiqua" w:cs="Arial"/>
        </w:rPr>
        <w:lastRenderedPageBreak/>
        <w:t>No anonymity direction is made.</w:t>
      </w:r>
    </w:p>
    <w:p w:rsidR="00886D56" w:rsidRDefault="00886D56">
      <w:pPr>
        <w:jc w:val="both"/>
        <w:rPr>
          <w:rFonts w:ascii="Book Antiqua" w:hAnsi="Book Antiqua" w:cs="Arial"/>
        </w:rPr>
      </w:pPr>
    </w:p>
    <w:p w:rsidR="00886D56" w:rsidRDefault="00886D56">
      <w:pPr>
        <w:ind w:left="540" w:hanging="540"/>
        <w:jc w:val="both"/>
        <w:rPr>
          <w:rFonts w:ascii="Book Antiqua" w:hAnsi="Book Antiqua" w:cs="Arial"/>
        </w:rPr>
      </w:pPr>
    </w:p>
    <w:p w:rsidR="00886D56" w:rsidRDefault="00886D56">
      <w:pPr>
        <w:ind w:left="540" w:hanging="540"/>
        <w:jc w:val="both"/>
        <w:rPr>
          <w:rFonts w:ascii="Book Antiqua" w:hAnsi="Book Antiqua" w:cs="Arial"/>
        </w:rPr>
      </w:pPr>
    </w:p>
    <w:p w:rsidR="00886D56" w:rsidRDefault="00886D56">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CE19B7">
        <w:rPr>
          <w:rFonts w:ascii="Book Antiqua" w:hAnsi="Book Antiqua" w:cs="Arial"/>
        </w:rPr>
        <w:t xml:space="preserve"> 27 June 2018</w:t>
      </w:r>
    </w:p>
    <w:p w:rsidR="00886D56" w:rsidRDefault="00886D56">
      <w:pPr>
        <w:tabs>
          <w:tab w:val="left" w:pos="2520"/>
        </w:tabs>
        <w:ind w:left="540" w:hanging="540"/>
        <w:jc w:val="both"/>
        <w:rPr>
          <w:rFonts w:ascii="Book Antiqua" w:hAnsi="Book Antiqua" w:cs="Arial"/>
        </w:rPr>
      </w:pPr>
    </w:p>
    <w:p w:rsidR="00CE19B7" w:rsidRPr="00CE19B7" w:rsidRDefault="00CE19B7">
      <w:pPr>
        <w:tabs>
          <w:tab w:val="left" w:pos="2520"/>
        </w:tabs>
        <w:ind w:left="540" w:hanging="540"/>
        <w:jc w:val="both"/>
        <w:rPr>
          <w:rFonts w:ascii="Lucida Handwriting" w:hAnsi="Lucida Handwriting" w:cs="Arial"/>
        </w:rPr>
      </w:pPr>
      <w:r>
        <w:rPr>
          <w:rFonts w:ascii="Lucida Handwriting" w:hAnsi="Lucida Handwriting" w:cs="Arial"/>
        </w:rPr>
        <w:t>UTJ Dawson</w:t>
      </w:r>
    </w:p>
    <w:p w:rsidR="00886D56" w:rsidRDefault="00886D56">
      <w:pPr>
        <w:tabs>
          <w:tab w:val="left" w:pos="2520"/>
        </w:tabs>
        <w:ind w:left="540" w:hanging="540"/>
        <w:jc w:val="both"/>
        <w:rPr>
          <w:rFonts w:ascii="Book Antiqua" w:hAnsi="Book Antiqua" w:cs="Arial"/>
          <w:color w:val="000000"/>
        </w:rPr>
      </w:pPr>
      <w:r>
        <w:rPr>
          <w:rFonts w:ascii="Book Antiqua" w:hAnsi="Book Antiqua" w:cs="Arial"/>
          <w:color w:val="000000"/>
        </w:rPr>
        <w:t>Upper Tribunal Judge Dawson</w:t>
      </w:r>
    </w:p>
    <w:p w:rsidR="00886D56" w:rsidRDefault="00886D56">
      <w:pPr>
        <w:tabs>
          <w:tab w:val="left" w:pos="2520"/>
        </w:tabs>
        <w:ind w:left="540" w:hanging="540"/>
        <w:jc w:val="both"/>
        <w:rPr>
          <w:rFonts w:ascii="Book Antiqua" w:hAnsi="Book Antiqua" w:cs="Arial"/>
          <w:color w:val="000000"/>
        </w:rPr>
      </w:pPr>
    </w:p>
    <w:p w:rsidR="004E2A1A" w:rsidRDefault="004E2A1A">
      <w:pPr>
        <w:tabs>
          <w:tab w:val="left" w:pos="2520"/>
        </w:tabs>
        <w:ind w:left="540" w:hanging="540"/>
        <w:jc w:val="both"/>
        <w:rPr>
          <w:rFonts w:ascii="Book Antiqua" w:hAnsi="Book Antiqua" w:cs="Arial"/>
          <w:color w:val="000000"/>
        </w:rPr>
      </w:pPr>
    </w:p>
    <w:sectPr w:rsidR="004E2A1A">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506" w:rsidRDefault="00690506">
      <w:r>
        <w:separator/>
      </w:r>
    </w:p>
  </w:endnote>
  <w:endnote w:type="continuationSeparator" w:id="0">
    <w:p w:rsidR="00690506" w:rsidRDefault="0069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706" w:rsidRDefault="00C14706">
    <w:pPr>
      <w:pStyle w:val="Footer"/>
      <w:jc w:val="center"/>
    </w:pPr>
    <w:r>
      <w:fldChar w:fldCharType="begin"/>
    </w:r>
    <w:r>
      <w:instrText xml:space="preserve"> PAGE   \* MERGEFORMAT </w:instrText>
    </w:r>
    <w:r>
      <w:fldChar w:fldCharType="separate"/>
    </w:r>
    <w:r w:rsidR="006A283D">
      <w:rPr>
        <w:noProof/>
      </w:rPr>
      <w:t>5</w:t>
    </w:r>
    <w:r>
      <w:rPr>
        <w:noProof/>
      </w:rPr>
      <w:fldChar w:fldCharType="end"/>
    </w:r>
  </w:p>
  <w:p w:rsidR="00C14706" w:rsidRDefault="00C14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706" w:rsidRDefault="00C14706" w:rsidP="00C14706">
    <w:pPr>
      <w:pStyle w:val="Footer"/>
      <w:jc w:val="center"/>
    </w:pPr>
    <w:r w:rsidRPr="00C14706">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506" w:rsidRDefault="00690506">
      <w:r>
        <w:separator/>
      </w:r>
    </w:p>
  </w:footnote>
  <w:footnote w:type="continuationSeparator" w:id="0">
    <w:p w:rsidR="00690506" w:rsidRDefault="00690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706" w:rsidRPr="00C14706" w:rsidRDefault="00C14706" w:rsidP="00C14706">
    <w:pPr>
      <w:pStyle w:val="Header"/>
      <w:jc w:val="right"/>
      <w:rPr>
        <w:sz w:val="20"/>
        <w:szCs w:val="20"/>
      </w:rPr>
    </w:pPr>
    <w:r w:rsidRPr="00C14706">
      <w:rPr>
        <w:sz w:val="20"/>
        <w:szCs w:val="20"/>
      </w:rPr>
      <w:t>DA/00593/2017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7D409DD"/>
    <w:multiLevelType w:val="hybridMultilevel"/>
    <w:tmpl w:val="2E804D86"/>
    <w:lvl w:ilvl="0" w:tplc="CCA0901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9B9482-75F3-4B38-8196-44203FC3AFAC}"/>
    <w:docVar w:name="dgnword-eventsink" w:val="453747368"/>
  </w:docVars>
  <w:rsids>
    <w:rsidRoot w:val="00CC2591"/>
    <w:rsid w:val="00147845"/>
    <w:rsid w:val="00167FB9"/>
    <w:rsid w:val="001727E2"/>
    <w:rsid w:val="00235064"/>
    <w:rsid w:val="003F36EE"/>
    <w:rsid w:val="00492650"/>
    <w:rsid w:val="004E2A1A"/>
    <w:rsid w:val="0056194F"/>
    <w:rsid w:val="00690506"/>
    <w:rsid w:val="006A283D"/>
    <w:rsid w:val="006C2320"/>
    <w:rsid w:val="00886D56"/>
    <w:rsid w:val="008D1AA7"/>
    <w:rsid w:val="00AB2FA4"/>
    <w:rsid w:val="00C14706"/>
    <w:rsid w:val="00C570B4"/>
    <w:rsid w:val="00CC2591"/>
    <w:rsid w:val="00CE19B7"/>
    <w:rsid w:val="00E25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BA50E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ListParagraph">
    <w:name w:val="List Paragraph"/>
    <w:basedOn w:val="Normal"/>
    <w:qFormat/>
    <w:pPr>
      <w:ind w:left="720"/>
    </w:pPr>
  </w:style>
  <w:style w:type="character" w:styleId="Emphasis">
    <w:name w:val="Emphasis"/>
    <w:qFormat/>
    <w:rPr>
      <w:i/>
      <w:iCs/>
    </w:rPr>
  </w:style>
  <w:style w:type="character" w:customStyle="1" w:styleId="FooterChar">
    <w:name w:val="Footer Char"/>
    <w:link w:val="Footer"/>
    <w:uiPriority w:val="99"/>
    <w:rsid w:val="00C147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2018-07-17T14:08:00Z</dcterms:created>
  <dcterms:modified xsi:type="dcterms:W3CDTF">2018-07-17T14:08:00Z</dcterms:modified>
</cp:coreProperties>
</file>