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9F6BEE" w:rsidRDefault="00433E74" w:rsidP="00E500B2">
      <w:pPr>
        <w:jc w:val="center"/>
        <w:rPr>
          <w:rFonts w:ascii="Book Antiqua" w:hAnsi="Book Antiqua" w:cs="Arial"/>
          <w:caps/>
          <w:color w:val="000000"/>
          <w:sz w:val="16"/>
          <w:szCs w:val="16"/>
        </w:rPr>
      </w:pPr>
      <w:r w:rsidRPr="009F6BEE">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9F6BEE" w:rsidRDefault="00D94AFC">
      <w:pPr>
        <w:rPr>
          <w:rFonts w:ascii="Book Antiqua" w:hAnsi="Book Antiqua" w:cs="Arial"/>
          <w:color w:val="000000"/>
          <w:sz w:val="16"/>
          <w:szCs w:val="16"/>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FE2B48"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FE2B48" w:rsidRPr="00FE2B48">
        <w:rPr>
          <w:rFonts w:ascii="Book Antiqua" w:hAnsi="Book Antiqua" w:cs="Arial"/>
          <w:caps/>
          <w:color w:val="000000"/>
        </w:rPr>
        <w:t>DA/01549/2014</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319EB" w:rsidTr="00E319EB">
        <w:tc>
          <w:tcPr>
            <w:tcW w:w="6048" w:type="dxa"/>
            <w:shd w:val="clear" w:color="auto" w:fill="auto"/>
          </w:tcPr>
          <w:p w:rsidR="00D22636" w:rsidRPr="00E319EB" w:rsidRDefault="00D22636" w:rsidP="00E319EB">
            <w:pPr>
              <w:jc w:val="both"/>
              <w:rPr>
                <w:rFonts w:ascii="Book Antiqua" w:hAnsi="Book Antiqua" w:cs="Arial"/>
                <w:b/>
              </w:rPr>
            </w:pPr>
            <w:r w:rsidRPr="00E319EB">
              <w:rPr>
                <w:rFonts w:ascii="Book Antiqua" w:hAnsi="Book Antiqua" w:cs="Arial"/>
                <w:b/>
              </w:rPr>
              <w:t xml:space="preserve">Heard at </w:t>
            </w:r>
            <w:r w:rsidR="00FE2B48" w:rsidRPr="00E319EB">
              <w:rPr>
                <w:rFonts w:ascii="Book Antiqua" w:hAnsi="Book Antiqua" w:cs="Arial"/>
                <w:b/>
              </w:rPr>
              <w:t xml:space="preserve">Field House </w:t>
            </w:r>
          </w:p>
        </w:tc>
        <w:tc>
          <w:tcPr>
            <w:tcW w:w="3960" w:type="dxa"/>
            <w:shd w:val="clear" w:color="auto" w:fill="auto"/>
          </w:tcPr>
          <w:p w:rsidR="00D22636" w:rsidRPr="00E319EB" w:rsidRDefault="00173CC6" w:rsidP="00E319EB">
            <w:pPr>
              <w:jc w:val="both"/>
              <w:rPr>
                <w:rFonts w:ascii="Book Antiqua" w:hAnsi="Book Antiqua" w:cs="Arial"/>
                <w:b/>
                <w:color w:val="000000"/>
              </w:rPr>
            </w:pPr>
            <w:r w:rsidRPr="00E319EB">
              <w:rPr>
                <w:rFonts w:ascii="Book Antiqua" w:hAnsi="Book Antiqua" w:cs="Arial"/>
                <w:b/>
                <w:color w:val="000000"/>
              </w:rPr>
              <w:t>Decision &amp; Reasons</w:t>
            </w:r>
            <w:r w:rsidR="00283659" w:rsidRPr="00E319EB">
              <w:rPr>
                <w:rFonts w:ascii="Book Antiqua" w:hAnsi="Book Antiqua" w:cs="Arial"/>
                <w:b/>
                <w:color w:val="000000"/>
              </w:rPr>
              <w:t xml:space="preserve"> Promulgated</w:t>
            </w:r>
          </w:p>
        </w:tc>
      </w:tr>
      <w:tr w:rsidR="00D22636" w:rsidRPr="00E319EB" w:rsidTr="00E319EB">
        <w:tc>
          <w:tcPr>
            <w:tcW w:w="6048" w:type="dxa"/>
            <w:shd w:val="clear" w:color="auto" w:fill="auto"/>
          </w:tcPr>
          <w:p w:rsidR="00D22636" w:rsidRPr="00E319EB" w:rsidRDefault="00D22636" w:rsidP="00E319EB">
            <w:pPr>
              <w:jc w:val="both"/>
              <w:rPr>
                <w:rFonts w:ascii="Book Antiqua" w:hAnsi="Book Antiqua" w:cs="Arial"/>
                <w:b/>
              </w:rPr>
            </w:pPr>
            <w:r w:rsidRPr="00E319EB">
              <w:rPr>
                <w:rFonts w:ascii="Book Antiqua" w:hAnsi="Book Antiqua" w:cs="Arial"/>
                <w:b/>
              </w:rPr>
              <w:t xml:space="preserve">On </w:t>
            </w:r>
            <w:r w:rsidR="00FE2B48" w:rsidRPr="00E319EB">
              <w:rPr>
                <w:rFonts w:ascii="Book Antiqua" w:hAnsi="Book Antiqua" w:cs="Arial"/>
                <w:b/>
              </w:rPr>
              <w:t xml:space="preserve">31 May 2018 </w:t>
            </w:r>
          </w:p>
        </w:tc>
        <w:tc>
          <w:tcPr>
            <w:tcW w:w="3960" w:type="dxa"/>
            <w:shd w:val="clear" w:color="auto" w:fill="auto"/>
          </w:tcPr>
          <w:p w:rsidR="00D22636" w:rsidRPr="00E319EB" w:rsidRDefault="00433E74" w:rsidP="00E319EB">
            <w:pPr>
              <w:jc w:val="both"/>
              <w:rPr>
                <w:rFonts w:ascii="Book Antiqua" w:hAnsi="Book Antiqua" w:cs="Arial"/>
                <w:b/>
              </w:rPr>
            </w:pPr>
            <w:r>
              <w:rPr>
                <w:rFonts w:ascii="Book Antiqua" w:hAnsi="Book Antiqua" w:cs="Arial"/>
                <w:b/>
              </w:rPr>
              <w:t>On 1 August 2018</w:t>
            </w:r>
          </w:p>
        </w:tc>
      </w:tr>
      <w:tr w:rsidR="00D22636" w:rsidRPr="00E319EB" w:rsidTr="00E319EB">
        <w:tc>
          <w:tcPr>
            <w:tcW w:w="6048" w:type="dxa"/>
            <w:shd w:val="clear" w:color="auto" w:fill="auto"/>
          </w:tcPr>
          <w:p w:rsidR="00D22636" w:rsidRPr="00E319EB" w:rsidRDefault="00D22636" w:rsidP="00E319EB">
            <w:pPr>
              <w:jc w:val="both"/>
              <w:rPr>
                <w:rFonts w:ascii="Book Antiqua" w:hAnsi="Book Antiqua" w:cs="Arial"/>
                <w:b/>
              </w:rPr>
            </w:pPr>
          </w:p>
        </w:tc>
        <w:tc>
          <w:tcPr>
            <w:tcW w:w="3960" w:type="dxa"/>
            <w:shd w:val="clear" w:color="auto" w:fill="auto"/>
          </w:tcPr>
          <w:p w:rsidR="00D22636" w:rsidRPr="00E319EB" w:rsidRDefault="00D22636" w:rsidP="00E319EB">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FE2B48" w:rsidRDefault="00FE2B48"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173CC6" w:rsidRDefault="00FE2B48" w:rsidP="00173CC6">
      <w:pPr>
        <w:jc w:val="center"/>
        <w:rPr>
          <w:rFonts w:ascii="Book Antiqua" w:hAnsi="Book Antiqua" w:cs="Arial"/>
          <w:b/>
          <w:caps/>
        </w:rPr>
      </w:pPr>
      <w:r>
        <w:rPr>
          <w:rFonts w:ascii="Book Antiqua" w:hAnsi="Book Antiqua" w:cs="Arial"/>
          <w:b/>
          <w:caps/>
        </w:rPr>
        <w:t>the Secretary of State for the Home Department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FE2B48" w:rsidRPr="00FE2B48" w:rsidRDefault="00FE2B48" w:rsidP="00FE2B48">
      <w:pPr>
        <w:jc w:val="center"/>
        <w:rPr>
          <w:rFonts w:ascii="Book Antiqua" w:hAnsi="Book Antiqua" w:cs="Arial"/>
          <w:b/>
          <w:caps/>
        </w:rPr>
      </w:pPr>
      <w:r w:rsidRPr="00FE2B48">
        <w:rPr>
          <w:rFonts w:ascii="Book Antiqua" w:hAnsi="Book Antiqua" w:cs="Arial"/>
          <w:b/>
          <w:caps/>
        </w:rPr>
        <w:t>C</w:t>
      </w:r>
      <w:r w:rsidR="009B65AF">
        <w:rPr>
          <w:rFonts w:ascii="Book Antiqua" w:hAnsi="Book Antiqua" w:cs="Arial"/>
          <w:b/>
          <w:caps/>
        </w:rPr>
        <w:t xml:space="preserve"> </w:t>
      </w:r>
      <w:r w:rsidR="00000055">
        <w:rPr>
          <w:rFonts w:ascii="Book Antiqua" w:hAnsi="Book Antiqua" w:cs="Arial"/>
          <w:b/>
          <w:caps/>
        </w:rPr>
        <w:t>I</w:t>
      </w:r>
    </w:p>
    <w:p w:rsidR="00DD5071" w:rsidRPr="009F6BEE" w:rsidRDefault="00FE2B48" w:rsidP="00704B61">
      <w:pPr>
        <w:jc w:val="center"/>
        <w:rPr>
          <w:rFonts w:ascii="Book Antiqua" w:hAnsi="Book Antiqua" w:cs="Arial"/>
          <w:b/>
          <w:sz w:val="22"/>
        </w:rPr>
      </w:pPr>
      <w:r w:rsidRPr="009F6BEE">
        <w:rPr>
          <w:rFonts w:ascii="Book Antiqua" w:hAnsi="Book Antiqua" w:cs="Arial"/>
          <w:b/>
          <w:caps/>
          <w:sz w:val="22"/>
        </w:rPr>
        <w:t>(ANONYMITY DIRECTION</w:t>
      </w:r>
      <w:r w:rsidR="00000055" w:rsidRPr="009F6BEE">
        <w:rPr>
          <w:rFonts w:ascii="Book Antiqua" w:hAnsi="Book Antiqua" w:cs="Arial"/>
          <w:b/>
          <w:caps/>
          <w:sz w:val="22"/>
        </w:rPr>
        <w:t xml:space="preserve"> MADE</w:t>
      </w:r>
      <w:r w:rsidRPr="009F6BEE">
        <w:rPr>
          <w:rFonts w:ascii="Book Antiqua" w:hAnsi="Book Antiqua" w:cs="Arial"/>
          <w:b/>
          <w:caps/>
          <w:sz w:val="22"/>
        </w:rPr>
        <w: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FE2B48">
        <w:rPr>
          <w:rFonts w:ascii="Book Antiqua" w:hAnsi="Book Antiqua" w:cs="Arial"/>
        </w:rPr>
        <w:t xml:space="preserve">Mr T Wilding, Home Office Presenting Officer </w:t>
      </w:r>
    </w:p>
    <w:p w:rsidR="00DE7DB7"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FE2B48">
        <w:rPr>
          <w:rFonts w:ascii="Book Antiqua" w:hAnsi="Book Antiqua" w:cs="Arial"/>
        </w:rPr>
        <w:t xml:space="preserve">Ms R Moffatt, Counsel instructed by Duncan Lewis &amp; Co Solicitors </w:t>
      </w:r>
    </w:p>
    <w:p w:rsidR="00FE2B48" w:rsidRPr="00B57D66" w:rsidRDefault="00FE2B48" w:rsidP="00DE7DB7">
      <w:pPr>
        <w:tabs>
          <w:tab w:val="left" w:pos="2520"/>
        </w:tabs>
        <w:rPr>
          <w:rFonts w:ascii="Book Antiqua" w:hAnsi="Book Antiqua" w:cs="Arial"/>
        </w:rPr>
      </w:pPr>
      <w:r>
        <w:rPr>
          <w:rFonts w:ascii="Book Antiqua" w:hAnsi="Book Antiqua" w:cs="Arial"/>
        </w:rPr>
        <w:tab/>
        <w:t>(Harrow Office)</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BF23BB" w:rsidRDefault="00C80B86" w:rsidP="00D97FE6">
      <w:pPr>
        <w:spacing w:before="160"/>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2235C3">
        <w:rPr>
          <w:rFonts w:ascii="Book Antiqua" w:hAnsi="Book Antiqua" w:cs="Arial"/>
        </w:rPr>
        <w:t>The respondent (hereafter “the claimant”) is a citizen of Nigeria born in 1992.  On 10 July</w:t>
      </w:r>
      <w:r w:rsidR="009B65AF">
        <w:rPr>
          <w:rFonts w:ascii="Book Antiqua" w:hAnsi="Book Antiqua" w:cs="Arial"/>
        </w:rPr>
        <w:t xml:space="preserve"> </w:t>
      </w:r>
      <w:r w:rsidR="002235C3">
        <w:rPr>
          <w:rFonts w:ascii="Book Antiqua" w:hAnsi="Book Antiqua" w:cs="Arial"/>
        </w:rPr>
        <w:t>2014 the appellant (hereafter “the Secretary of State” or “SSHD”) made a deportation or</w:t>
      </w:r>
      <w:r w:rsidR="00513FD1">
        <w:rPr>
          <w:rFonts w:ascii="Book Antiqua" w:hAnsi="Book Antiqua" w:cs="Arial"/>
        </w:rPr>
        <w:t>der by virtue of s</w:t>
      </w:r>
      <w:r w:rsidR="002235C3">
        <w:rPr>
          <w:rFonts w:ascii="Book Antiqua" w:hAnsi="Book Antiqua" w:cs="Arial"/>
        </w:rPr>
        <w:t xml:space="preserve">ection 32(5) of the UK Borders Act 2007.  In a decision </w:t>
      </w:r>
      <w:r>
        <w:rPr>
          <w:rFonts w:ascii="Book Antiqua" w:hAnsi="Book Antiqua" w:cs="Arial"/>
        </w:rPr>
        <w:t>sent on</w:t>
      </w:r>
      <w:r w:rsidR="002235C3">
        <w:rPr>
          <w:rFonts w:ascii="Book Antiqua" w:hAnsi="Book Antiqua" w:cs="Arial"/>
        </w:rPr>
        <w:t xml:space="preserve"> 14 August 2015 Judge Kimnell of the First-tier Tribunal (FtT) allowed his appeal under paragraph 399A of the Immigration Rules.  Subsequently on 8 October 2015 Upper Tribunal Judge Jordan set aside his decision for error of law and re-made </w:t>
      </w:r>
      <w:r w:rsidR="002235C3">
        <w:rPr>
          <w:rFonts w:ascii="Book Antiqua" w:hAnsi="Book Antiqua" w:cs="Arial"/>
        </w:rPr>
        <w:lastRenderedPageBreak/>
        <w:t xml:space="preserve">the decision by dismissing the claimant’s appeal.  The claimant obtained permission to appeal to the Court of Appeal and in an order sealed on 28 June </w:t>
      </w:r>
      <w:r w:rsidR="00E812E3">
        <w:rPr>
          <w:rFonts w:ascii="Book Antiqua" w:hAnsi="Book Antiqua" w:cs="Arial"/>
        </w:rPr>
        <w:t xml:space="preserve">2016 </w:t>
      </w:r>
      <w:r w:rsidR="002235C3">
        <w:rPr>
          <w:rFonts w:ascii="Book Antiqua" w:hAnsi="Book Antiqua" w:cs="Arial"/>
        </w:rPr>
        <w:t>the Court of Appeal set aside the decision of UTJ Jordan save for his finding that there had been an error of law in the FtT decision dated 14 August 2015.  The Court remitted the case to the Upper Tribunal for a re-hearing to determine the claimant’s appeal against the deportation order.</w:t>
      </w:r>
    </w:p>
    <w:p w:rsidR="002235C3" w:rsidRDefault="00C80B86" w:rsidP="00D97FE6">
      <w:pPr>
        <w:spacing w:before="160"/>
        <w:ind w:left="567" w:hanging="567"/>
        <w:jc w:val="both"/>
        <w:rPr>
          <w:rFonts w:ascii="Book Antiqua" w:hAnsi="Book Antiqua" w:cs="Arial"/>
        </w:rPr>
      </w:pPr>
      <w:r>
        <w:rPr>
          <w:rFonts w:ascii="Book Antiqua" w:hAnsi="Book Antiqua" w:cs="Arial"/>
        </w:rPr>
        <w:t>2</w:t>
      </w:r>
      <w:r w:rsidR="002235C3">
        <w:rPr>
          <w:rFonts w:ascii="Book Antiqua" w:hAnsi="Book Antiqua" w:cs="Arial"/>
        </w:rPr>
        <w:t>.</w:t>
      </w:r>
      <w:r w:rsidR="002235C3">
        <w:rPr>
          <w:rFonts w:ascii="Book Antiqua" w:hAnsi="Book Antiqua" w:cs="Arial"/>
        </w:rPr>
        <w:tab/>
        <w:t>Before me there was a considerable body of evidence that had not previously been available or which</w:t>
      </w:r>
      <w:r w:rsidR="00AB1D3D">
        <w:rPr>
          <w:rFonts w:ascii="Book Antiqua" w:hAnsi="Book Antiqua" w:cs="Arial"/>
        </w:rPr>
        <w:t xml:space="preserve"> had come into being since.  This</w:t>
      </w:r>
      <w:r w:rsidR="002235C3">
        <w:rPr>
          <w:rFonts w:ascii="Book Antiqua" w:hAnsi="Book Antiqua" w:cs="Arial"/>
        </w:rPr>
        <w:t xml:space="preserve"> included the </w:t>
      </w:r>
      <w:r w:rsidR="00D34700">
        <w:rPr>
          <w:rFonts w:ascii="Book Antiqua" w:hAnsi="Book Antiqua" w:cs="Arial"/>
        </w:rPr>
        <w:t>Lambeth Social Services</w:t>
      </w:r>
      <w:r w:rsidR="002235C3">
        <w:rPr>
          <w:rFonts w:ascii="Book Antiqua" w:hAnsi="Book Antiqua" w:cs="Arial"/>
        </w:rPr>
        <w:t xml:space="preserve"> records (occupying four Lever Arch files), a psychiatric report by Dr Rachel Thomas dated 22 October 2017, a risk assessment report by Dr Natalie Brotherton dated 27 November 2017 and an independent social worker report </w:t>
      </w:r>
      <w:r w:rsidR="00F94C2A">
        <w:rPr>
          <w:rFonts w:ascii="Book Antiqua" w:hAnsi="Book Antiqua" w:cs="Arial"/>
        </w:rPr>
        <w:t>from</w:t>
      </w:r>
      <w:r w:rsidR="002235C3">
        <w:rPr>
          <w:rFonts w:ascii="Book Antiqua" w:hAnsi="Book Antiqua" w:cs="Arial"/>
        </w:rPr>
        <w:t xml:space="preserve"> Peter Horrocks dated 2 May 2018.  These further documents also include a letter from Hampshire Constabulary dated 6 November 2017 stating that it had been decided to take no further action in relation to </w:t>
      </w:r>
      <w:r w:rsidR="00C21665">
        <w:rPr>
          <w:rFonts w:ascii="Book Antiqua" w:hAnsi="Book Antiqua" w:cs="Arial"/>
        </w:rPr>
        <w:t>the claimant’s</w:t>
      </w:r>
      <w:r w:rsidR="002235C3">
        <w:rPr>
          <w:rFonts w:ascii="Book Antiqua" w:hAnsi="Book Antiqua" w:cs="Arial"/>
        </w:rPr>
        <w:t xml:space="preserve"> arrest following an </w:t>
      </w:r>
      <w:r>
        <w:rPr>
          <w:rFonts w:ascii="Book Antiqua" w:hAnsi="Book Antiqua" w:cs="Arial"/>
        </w:rPr>
        <w:t>allegation</w:t>
      </w:r>
      <w:r w:rsidR="002235C3">
        <w:rPr>
          <w:rFonts w:ascii="Book Antiqua" w:hAnsi="Book Antiqua" w:cs="Arial"/>
        </w:rPr>
        <w:t xml:space="preserve"> of burglary on 15 July 2017; and an e-mail dated 19 July 2018 from Surrey and Sussex </w:t>
      </w:r>
      <w:r w:rsidR="00CF505E">
        <w:rPr>
          <w:rFonts w:ascii="Book Antiqua" w:hAnsi="Book Antiqua" w:cs="Arial"/>
        </w:rPr>
        <w:t xml:space="preserve">Policing Together stating that it had been decided to take no further action in </w:t>
      </w:r>
      <w:r>
        <w:rPr>
          <w:rFonts w:ascii="Book Antiqua" w:hAnsi="Book Antiqua" w:cs="Arial"/>
        </w:rPr>
        <w:t>relation</w:t>
      </w:r>
      <w:r w:rsidR="00CF505E">
        <w:rPr>
          <w:rFonts w:ascii="Book Antiqua" w:hAnsi="Book Antiqua" w:cs="Arial"/>
        </w:rPr>
        <w:t xml:space="preserve"> to offences for which the claimant was arrested on 4 July 2017, namely “Concerning the supply of class A, Theft and Possession of an offensive weapon in a public place”.  </w:t>
      </w:r>
    </w:p>
    <w:p w:rsidR="00CF505E" w:rsidRDefault="00C80B86" w:rsidP="00D97FE6">
      <w:pPr>
        <w:spacing w:before="160"/>
        <w:ind w:left="567" w:hanging="567"/>
        <w:jc w:val="both"/>
        <w:rPr>
          <w:rFonts w:ascii="Book Antiqua" w:hAnsi="Book Antiqua" w:cs="Arial"/>
        </w:rPr>
      </w:pPr>
      <w:r>
        <w:rPr>
          <w:rFonts w:ascii="Book Antiqua" w:hAnsi="Book Antiqua" w:cs="Arial"/>
        </w:rPr>
        <w:t>3</w:t>
      </w:r>
      <w:r w:rsidR="00CF505E">
        <w:rPr>
          <w:rFonts w:ascii="Book Antiqua" w:hAnsi="Book Antiqua" w:cs="Arial"/>
        </w:rPr>
        <w:t>.</w:t>
      </w:r>
      <w:r w:rsidR="00CF505E">
        <w:rPr>
          <w:rFonts w:ascii="Book Antiqua" w:hAnsi="Book Antiqua" w:cs="Arial"/>
        </w:rPr>
        <w:tab/>
        <w:t xml:space="preserve">The claimant produced a witness statement dated 29 May 2018.  This </w:t>
      </w:r>
      <w:r>
        <w:rPr>
          <w:rFonts w:ascii="Book Antiqua" w:hAnsi="Book Antiqua" w:cs="Arial"/>
        </w:rPr>
        <w:t>addressed</w:t>
      </w:r>
      <w:r w:rsidR="00CF505E">
        <w:rPr>
          <w:rFonts w:ascii="Book Antiqua" w:hAnsi="Book Antiqua" w:cs="Arial"/>
        </w:rPr>
        <w:t xml:space="preserve"> the circumstances in </w:t>
      </w:r>
      <w:r>
        <w:rPr>
          <w:rFonts w:ascii="Book Antiqua" w:hAnsi="Book Antiqua" w:cs="Arial"/>
        </w:rPr>
        <w:t>which</w:t>
      </w:r>
      <w:r w:rsidR="00CF505E">
        <w:rPr>
          <w:rFonts w:ascii="Book Antiqua" w:hAnsi="Book Antiqua" w:cs="Arial"/>
        </w:rPr>
        <w:t xml:space="preserve"> he had grown up in South London with his mother and two older sisters.  He described constant physical and emotional abuse and neglect by his mother; what he </w:t>
      </w:r>
      <w:r>
        <w:rPr>
          <w:rFonts w:ascii="Book Antiqua" w:hAnsi="Book Antiqua" w:cs="Arial"/>
        </w:rPr>
        <w:t>remembered</w:t>
      </w:r>
      <w:r w:rsidR="00CF505E">
        <w:rPr>
          <w:rFonts w:ascii="Book Antiqua" w:hAnsi="Book Antiqua" w:cs="Arial"/>
        </w:rPr>
        <w:t xml:space="preserve"> about his two sisters being taken into care; his experiences when attending </w:t>
      </w:r>
      <w:r>
        <w:rPr>
          <w:rFonts w:ascii="Book Antiqua" w:hAnsi="Book Antiqua" w:cs="Arial"/>
        </w:rPr>
        <w:t>secondary</w:t>
      </w:r>
      <w:r w:rsidR="00CF505E">
        <w:rPr>
          <w:rFonts w:ascii="Book Antiqua" w:hAnsi="Book Antiqua" w:cs="Arial"/>
        </w:rPr>
        <w:t xml:space="preserve"> school; frequent visits by people from social services; his being taken into care in 2007; when he was about 16 years old being given appointments with CLAMHS (Children Looked After Mental Health Services); his exclusion from high school for </w:t>
      </w:r>
      <w:r>
        <w:rPr>
          <w:rFonts w:ascii="Book Antiqua" w:hAnsi="Book Antiqua" w:cs="Arial"/>
        </w:rPr>
        <w:t>absenteeism</w:t>
      </w:r>
      <w:r w:rsidR="00CF505E">
        <w:rPr>
          <w:rFonts w:ascii="Book Antiqua" w:hAnsi="Book Antiqua" w:cs="Arial"/>
        </w:rPr>
        <w:t xml:space="preserve"> and incidents of fighting; his time at a special education centre; in 2008 being moved into semi-</w:t>
      </w:r>
      <w:r>
        <w:rPr>
          <w:rFonts w:ascii="Book Antiqua" w:hAnsi="Book Antiqua" w:cs="Arial"/>
        </w:rPr>
        <w:t>independent</w:t>
      </w:r>
      <w:r w:rsidR="00CF505E">
        <w:rPr>
          <w:rFonts w:ascii="Book Antiqua" w:hAnsi="Book Antiqua" w:cs="Arial"/>
        </w:rPr>
        <w:t xml:space="preserve"> accommodation with four or five other boys of the same age; his studies at GCSE level (he gained six GCSE’s), A-level (he attained A levels in IT and Art) and university level (in 2012 he studied for a Foundation degree in IT Java Script and </w:t>
      </w:r>
      <w:r>
        <w:rPr>
          <w:rFonts w:ascii="Book Antiqua" w:hAnsi="Book Antiqua" w:cs="Arial"/>
        </w:rPr>
        <w:t>Programming</w:t>
      </w:r>
      <w:r w:rsidR="00CF505E">
        <w:rPr>
          <w:rFonts w:ascii="Book Antiqua" w:hAnsi="Book Antiqua" w:cs="Arial"/>
        </w:rPr>
        <w:t xml:space="preserve">).  He also </w:t>
      </w:r>
      <w:r w:rsidR="003370F1">
        <w:rPr>
          <w:rFonts w:ascii="Book Antiqua" w:hAnsi="Book Antiqua" w:cs="Arial"/>
        </w:rPr>
        <w:t xml:space="preserve">mentioned having previously </w:t>
      </w:r>
      <w:r w:rsidR="00C4062B">
        <w:rPr>
          <w:rFonts w:ascii="Book Antiqua" w:hAnsi="Book Antiqua" w:cs="Arial"/>
        </w:rPr>
        <w:t>held a</w:t>
      </w:r>
      <w:r w:rsidR="00CF505E">
        <w:rPr>
          <w:rFonts w:ascii="Book Antiqua" w:hAnsi="Book Antiqua" w:cs="Arial"/>
        </w:rPr>
        <w:t xml:space="preserve"> job in sales working for a company in </w:t>
      </w:r>
      <w:r>
        <w:rPr>
          <w:rFonts w:ascii="Book Antiqua" w:hAnsi="Book Antiqua" w:cs="Arial"/>
        </w:rPr>
        <w:t>Brighton</w:t>
      </w:r>
      <w:r w:rsidR="00CF505E">
        <w:rPr>
          <w:rFonts w:ascii="Book Antiqua" w:hAnsi="Book Antiqua" w:cs="Arial"/>
        </w:rPr>
        <w:t>.</w:t>
      </w:r>
    </w:p>
    <w:p w:rsidR="00CF505E" w:rsidRDefault="00C80B86" w:rsidP="00D97FE6">
      <w:pPr>
        <w:spacing w:before="160"/>
        <w:ind w:left="567" w:hanging="567"/>
        <w:jc w:val="both"/>
        <w:rPr>
          <w:rFonts w:ascii="Book Antiqua" w:hAnsi="Book Antiqua" w:cs="Arial"/>
        </w:rPr>
      </w:pPr>
      <w:r>
        <w:rPr>
          <w:rFonts w:ascii="Book Antiqua" w:hAnsi="Book Antiqua" w:cs="Arial"/>
        </w:rPr>
        <w:t>4</w:t>
      </w:r>
      <w:r w:rsidR="00CF505E">
        <w:rPr>
          <w:rFonts w:ascii="Book Antiqua" w:hAnsi="Book Antiqua" w:cs="Arial"/>
        </w:rPr>
        <w:t>.</w:t>
      </w:r>
      <w:r w:rsidR="00CF505E">
        <w:rPr>
          <w:rFonts w:ascii="Book Antiqua" w:hAnsi="Book Antiqua" w:cs="Arial"/>
        </w:rPr>
        <w:tab/>
        <w:t xml:space="preserve">The claimant said he had been trying to do </w:t>
      </w:r>
      <w:r>
        <w:rPr>
          <w:rFonts w:ascii="Book Antiqua" w:hAnsi="Book Antiqua" w:cs="Arial"/>
        </w:rPr>
        <w:t>training</w:t>
      </w:r>
      <w:r w:rsidR="00CF505E">
        <w:rPr>
          <w:rFonts w:ascii="Book Antiqua" w:hAnsi="Book Antiqua" w:cs="Arial"/>
        </w:rPr>
        <w:t xml:space="preserve"> in online stock trader work.  </w:t>
      </w:r>
    </w:p>
    <w:p w:rsidR="00CF505E" w:rsidRDefault="00C80B86" w:rsidP="00D97FE6">
      <w:pPr>
        <w:spacing w:before="160"/>
        <w:ind w:left="567" w:hanging="567"/>
        <w:jc w:val="both"/>
        <w:rPr>
          <w:rFonts w:ascii="Book Antiqua" w:hAnsi="Book Antiqua" w:cs="Arial"/>
        </w:rPr>
      </w:pPr>
      <w:r>
        <w:rPr>
          <w:rFonts w:ascii="Book Antiqua" w:hAnsi="Book Antiqua" w:cs="Arial"/>
        </w:rPr>
        <w:t>5</w:t>
      </w:r>
      <w:r w:rsidR="00CF505E">
        <w:rPr>
          <w:rFonts w:ascii="Book Antiqua" w:hAnsi="Book Antiqua" w:cs="Arial"/>
        </w:rPr>
        <w:t>.</w:t>
      </w:r>
      <w:r w:rsidR="00CF505E">
        <w:rPr>
          <w:rFonts w:ascii="Book Antiqua" w:hAnsi="Book Antiqua" w:cs="Arial"/>
        </w:rPr>
        <w:tab/>
        <w:t>His witness statement also addressed his history of criminal offending from 19 February 2009 – 9 August 2013.  He expressed regret for his offending.  He said that his experiences of being in prison had affected his mental health.  He had tried following the recommendations of Dr Thomas to access counselling services but was told each time he was rejected because of his immigration status; he would undertake counselling if he were granted leave to remain.</w:t>
      </w:r>
    </w:p>
    <w:p w:rsidR="00CF505E" w:rsidRDefault="00C80B86" w:rsidP="00D97FE6">
      <w:pPr>
        <w:spacing w:before="160"/>
        <w:ind w:left="567" w:hanging="567"/>
        <w:jc w:val="both"/>
        <w:rPr>
          <w:rFonts w:ascii="Book Antiqua" w:hAnsi="Book Antiqua" w:cs="Arial"/>
        </w:rPr>
      </w:pPr>
      <w:r>
        <w:rPr>
          <w:rFonts w:ascii="Book Antiqua" w:hAnsi="Book Antiqua" w:cs="Arial"/>
        </w:rPr>
        <w:t>6</w:t>
      </w:r>
      <w:r w:rsidR="00CF505E">
        <w:rPr>
          <w:rFonts w:ascii="Book Antiqua" w:hAnsi="Book Antiqua" w:cs="Arial"/>
        </w:rPr>
        <w:t>.</w:t>
      </w:r>
      <w:r w:rsidR="00CF505E">
        <w:rPr>
          <w:rFonts w:ascii="Book Antiqua" w:hAnsi="Book Antiqua" w:cs="Arial"/>
        </w:rPr>
        <w:tab/>
        <w:t xml:space="preserve">The claimant wrote that the </w:t>
      </w:r>
      <w:r w:rsidR="00C00DE8">
        <w:rPr>
          <w:rFonts w:ascii="Book Antiqua" w:hAnsi="Book Antiqua" w:cs="Arial"/>
        </w:rPr>
        <w:t xml:space="preserve">threat of deportation had affected his relationship with his British citizen son born in December 2017; he had not engaged in a father-son relationship for fear he would be </w:t>
      </w:r>
      <w:r>
        <w:rPr>
          <w:rFonts w:ascii="Book Antiqua" w:hAnsi="Book Antiqua" w:cs="Arial"/>
        </w:rPr>
        <w:t>separated</w:t>
      </w:r>
      <w:r w:rsidR="00C00DE8">
        <w:rPr>
          <w:rFonts w:ascii="Book Antiqua" w:hAnsi="Book Antiqua" w:cs="Arial"/>
        </w:rPr>
        <w:t xml:space="preserve"> from him.</w:t>
      </w:r>
    </w:p>
    <w:p w:rsidR="00C00DE8" w:rsidRDefault="00C80B86" w:rsidP="00D97FE6">
      <w:pPr>
        <w:spacing w:before="160"/>
        <w:ind w:left="567" w:hanging="567"/>
        <w:jc w:val="both"/>
        <w:rPr>
          <w:rFonts w:ascii="Book Antiqua" w:hAnsi="Book Antiqua" w:cs="Arial"/>
        </w:rPr>
      </w:pPr>
      <w:r>
        <w:rPr>
          <w:rFonts w:ascii="Book Antiqua" w:hAnsi="Book Antiqua" w:cs="Arial"/>
        </w:rPr>
        <w:lastRenderedPageBreak/>
        <w:t>7</w:t>
      </w:r>
      <w:r w:rsidR="00C00DE8">
        <w:rPr>
          <w:rFonts w:ascii="Book Antiqua" w:hAnsi="Book Antiqua" w:cs="Arial"/>
        </w:rPr>
        <w:t>.</w:t>
      </w:r>
      <w:r w:rsidR="00C00DE8">
        <w:rPr>
          <w:rFonts w:ascii="Book Antiqua" w:hAnsi="Book Antiqua" w:cs="Arial"/>
        </w:rPr>
        <w:tab/>
        <w:t xml:space="preserve">The claimant wrote that since his </w:t>
      </w:r>
      <w:r>
        <w:rPr>
          <w:rFonts w:ascii="Book Antiqua" w:hAnsi="Book Antiqua" w:cs="Arial"/>
        </w:rPr>
        <w:t>release</w:t>
      </w:r>
      <w:r w:rsidR="00C00DE8">
        <w:rPr>
          <w:rFonts w:ascii="Book Antiqua" w:hAnsi="Book Antiqua" w:cs="Arial"/>
        </w:rPr>
        <w:t xml:space="preserve"> on immigration </w:t>
      </w:r>
      <w:r>
        <w:rPr>
          <w:rFonts w:ascii="Book Antiqua" w:hAnsi="Book Antiqua" w:cs="Arial"/>
        </w:rPr>
        <w:t>bail</w:t>
      </w:r>
      <w:r w:rsidR="00C00DE8">
        <w:rPr>
          <w:rFonts w:ascii="Book Antiqua" w:hAnsi="Book Antiqua" w:cs="Arial"/>
        </w:rPr>
        <w:t xml:space="preserve"> in February 2017 he had </w:t>
      </w:r>
      <w:r>
        <w:rPr>
          <w:rFonts w:ascii="Book Antiqua" w:hAnsi="Book Antiqua" w:cs="Arial"/>
        </w:rPr>
        <w:t>abided</w:t>
      </w:r>
      <w:r w:rsidR="00C00DE8">
        <w:rPr>
          <w:rFonts w:ascii="Book Antiqua" w:hAnsi="Book Antiqua" w:cs="Arial"/>
        </w:rPr>
        <w:t xml:space="preserve"> by his weekly reporting conditions, he had tried to get work but had been unable to because of his immigration status.</w:t>
      </w:r>
    </w:p>
    <w:p w:rsidR="00C00DE8" w:rsidRDefault="00C80B86" w:rsidP="00D97FE6">
      <w:pPr>
        <w:spacing w:before="160"/>
        <w:ind w:left="567" w:hanging="567"/>
        <w:jc w:val="both"/>
        <w:rPr>
          <w:rFonts w:ascii="Book Antiqua" w:hAnsi="Book Antiqua" w:cs="Arial"/>
        </w:rPr>
      </w:pPr>
      <w:r>
        <w:rPr>
          <w:rFonts w:ascii="Book Antiqua" w:hAnsi="Book Antiqua" w:cs="Arial"/>
        </w:rPr>
        <w:t>8</w:t>
      </w:r>
      <w:r w:rsidR="00C00DE8">
        <w:rPr>
          <w:rFonts w:ascii="Book Antiqua" w:hAnsi="Book Antiqua" w:cs="Arial"/>
        </w:rPr>
        <w:t>.</w:t>
      </w:r>
      <w:r w:rsidR="00C00DE8">
        <w:rPr>
          <w:rFonts w:ascii="Book Antiqua" w:hAnsi="Book Antiqua" w:cs="Arial"/>
        </w:rPr>
        <w:tab/>
        <w:t xml:space="preserve">The claimant said that he had kept in regular contact </w:t>
      </w:r>
      <w:r w:rsidR="00BD2D6B">
        <w:rPr>
          <w:rFonts w:ascii="Book Antiqua" w:hAnsi="Book Antiqua" w:cs="Arial"/>
        </w:rPr>
        <w:t>with his little brother (An</w:t>
      </w:r>
      <w:r w:rsidR="00C00DE8">
        <w:rPr>
          <w:rFonts w:ascii="Book Antiqua" w:hAnsi="Book Antiqua" w:cs="Arial"/>
        </w:rPr>
        <w:t>) and little sister (A</w:t>
      </w:r>
      <w:r w:rsidR="00D34700">
        <w:rPr>
          <w:rFonts w:ascii="Book Antiqua" w:hAnsi="Book Antiqua" w:cs="Arial"/>
        </w:rPr>
        <w:t>x</w:t>
      </w:r>
      <w:r w:rsidR="00C00DE8">
        <w:rPr>
          <w:rFonts w:ascii="Book Antiqua" w:hAnsi="Book Antiqua" w:cs="Arial"/>
        </w:rPr>
        <w:t>) even when he had been in prison/detention; he was keeping an eye on them.</w:t>
      </w:r>
    </w:p>
    <w:p w:rsidR="00C00DE8" w:rsidRDefault="00C80B86" w:rsidP="00D97FE6">
      <w:pPr>
        <w:spacing w:before="160"/>
        <w:ind w:left="567" w:hanging="567"/>
        <w:jc w:val="both"/>
        <w:rPr>
          <w:rFonts w:ascii="Book Antiqua" w:hAnsi="Book Antiqua" w:cs="Arial"/>
        </w:rPr>
      </w:pPr>
      <w:r>
        <w:rPr>
          <w:rFonts w:ascii="Book Antiqua" w:hAnsi="Book Antiqua" w:cs="Arial"/>
        </w:rPr>
        <w:t>9</w:t>
      </w:r>
      <w:r w:rsidR="00C00DE8">
        <w:rPr>
          <w:rFonts w:ascii="Book Antiqua" w:hAnsi="Book Antiqua" w:cs="Arial"/>
        </w:rPr>
        <w:t>.</w:t>
      </w:r>
      <w:r w:rsidR="00C00DE8">
        <w:rPr>
          <w:rFonts w:ascii="Book Antiqua" w:hAnsi="Book Antiqua" w:cs="Arial"/>
        </w:rPr>
        <w:tab/>
        <w:t xml:space="preserve">The claimant said that he had come to the UK as a baby and did not </w:t>
      </w:r>
      <w:r>
        <w:rPr>
          <w:rFonts w:ascii="Book Antiqua" w:hAnsi="Book Antiqua" w:cs="Arial"/>
        </w:rPr>
        <w:t>remember</w:t>
      </w:r>
      <w:r w:rsidR="00C00DE8">
        <w:rPr>
          <w:rFonts w:ascii="Book Antiqua" w:hAnsi="Book Antiqua" w:cs="Arial"/>
        </w:rPr>
        <w:t xml:space="preserve"> </w:t>
      </w:r>
      <w:r>
        <w:rPr>
          <w:rFonts w:ascii="Book Antiqua" w:hAnsi="Book Antiqua" w:cs="Arial"/>
        </w:rPr>
        <w:t>anything</w:t>
      </w:r>
      <w:r w:rsidR="00C00DE8">
        <w:rPr>
          <w:rFonts w:ascii="Book Antiqua" w:hAnsi="Book Antiqua" w:cs="Arial"/>
        </w:rPr>
        <w:t xml:space="preserve"> of Nigeria or any family there, or the culture.  He </w:t>
      </w:r>
      <w:r w:rsidR="00FD6BE8">
        <w:rPr>
          <w:rFonts w:ascii="Book Antiqua" w:hAnsi="Book Antiqua" w:cs="Arial"/>
        </w:rPr>
        <w:t>had gone</w:t>
      </w:r>
      <w:r w:rsidR="00C00DE8">
        <w:rPr>
          <w:rFonts w:ascii="Book Antiqua" w:hAnsi="Book Antiqua" w:cs="Arial"/>
        </w:rPr>
        <w:t xml:space="preserve"> to school, college and university</w:t>
      </w:r>
      <w:r w:rsidR="003A6CF9">
        <w:rPr>
          <w:rFonts w:ascii="Book Antiqua" w:hAnsi="Book Antiqua" w:cs="Arial"/>
        </w:rPr>
        <w:t xml:space="preserve"> in the UK</w:t>
      </w:r>
      <w:r w:rsidR="00C00DE8">
        <w:rPr>
          <w:rFonts w:ascii="Book Antiqua" w:hAnsi="Book Antiqua" w:cs="Arial"/>
        </w:rPr>
        <w:t xml:space="preserve">.  His son was born here.  All of his siblings live in the UK.  He does not know anyone back in Nigeria and has no links to the country whatsoever.  </w:t>
      </w:r>
      <w:r w:rsidR="00000055">
        <w:rPr>
          <w:rFonts w:ascii="Book Antiqua" w:hAnsi="Book Antiqua" w:cs="Arial"/>
        </w:rPr>
        <w:t>If he was deported to Nigeria he would not know how to find a job, get accommodation or access counselling for his mental health.  He feels that deportation would be detrimental to his mental health.</w:t>
      </w:r>
    </w:p>
    <w:p w:rsidR="00000055" w:rsidRDefault="00C80B86" w:rsidP="00D97FE6">
      <w:pPr>
        <w:spacing w:before="160"/>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There was also an e-mail from his older sister CJ, </w:t>
      </w:r>
      <w:r w:rsidR="008D37CB">
        <w:rPr>
          <w:rFonts w:ascii="Book Antiqua" w:hAnsi="Book Antiqua" w:cs="Arial"/>
        </w:rPr>
        <w:t xml:space="preserve">and </w:t>
      </w:r>
      <w:r>
        <w:rPr>
          <w:rFonts w:ascii="Book Antiqua" w:hAnsi="Book Antiqua" w:cs="Arial"/>
        </w:rPr>
        <w:t>a short letter from younger sibling Ax.</w:t>
      </w:r>
    </w:p>
    <w:p w:rsidR="00F94C2A" w:rsidRDefault="00C80B86" w:rsidP="00D97FE6">
      <w:pPr>
        <w:spacing w:before="160"/>
        <w:ind w:left="567" w:hanging="567"/>
        <w:jc w:val="both"/>
        <w:rPr>
          <w:rFonts w:ascii="Book Antiqua" w:hAnsi="Book Antiqua" w:cs="Arial"/>
        </w:rPr>
      </w:pPr>
      <w:r>
        <w:rPr>
          <w:rFonts w:ascii="Book Antiqua" w:hAnsi="Book Antiqua" w:cs="Arial"/>
        </w:rPr>
        <w:t>11</w:t>
      </w:r>
      <w:r w:rsidR="00F94C2A">
        <w:rPr>
          <w:rFonts w:ascii="Book Antiqua" w:hAnsi="Book Antiqua" w:cs="Arial"/>
        </w:rPr>
        <w:t>.</w:t>
      </w:r>
      <w:r w:rsidR="00F94C2A">
        <w:rPr>
          <w:rFonts w:ascii="Book Antiqua" w:hAnsi="Book Antiqua" w:cs="Arial"/>
        </w:rPr>
        <w:tab/>
        <w:t xml:space="preserve">At the hearing before me the claimant gave oral evidence which </w:t>
      </w:r>
      <w:r>
        <w:rPr>
          <w:rFonts w:ascii="Book Antiqua" w:hAnsi="Book Antiqua" w:cs="Arial"/>
        </w:rPr>
        <w:t>broadly</w:t>
      </w:r>
      <w:r w:rsidR="00F94C2A">
        <w:rPr>
          <w:rFonts w:ascii="Book Antiqua" w:hAnsi="Book Antiqua" w:cs="Arial"/>
        </w:rPr>
        <w:t xml:space="preserve"> covered ground already covered in his </w:t>
      </w:r>
      <w:r w:rsidR="003370F1">
        <w:rPr>
          <w:rFonts w:ascii="Book Antiqua" w:hAnsi="Book Antiqua" w:cs="Arial"/>
        </w:rPr>
        <w:t>recent witness statement</w:t>
      </w:r>
      <w:r w:rsidR="00F94C2A">
        <w:rPr>
          <w:rFonts w:ascii="Book Antiqua" w:hAnsi="Book Antiqua" w:cs="Arial"/>
        </w:rPr>
        <w:t xml:space="preserve">.  He said he was not on any </w:t>
      </w:r>
      <w:r>
        <w:rPr>
          <w:rFonts w:ascii="Book Antiqua" w:hAnsi="Book Antiqua" w:cs="Arial"/>
        </w:rPr>
        <w:t>medication</w:t>
      </w:r>
      <w:r w:rsidR="00F94C2A">
        <w:rPr>
          <w:rFonts w:ascii="Book Antiqua" w:hAnsi="Book Antiqua" w:cs="Arial"/>
        </w:rPr>
        <w:t xml:space="preserve">.  He felt fine but he was aware he had psychological problems.  He had gone </w:t>
      </w:r>
      <w:r w:rsidR="00BA07C0">
        <w:rPr>
          <w:rFonts w:ascii="Book Antiqua" w:hAnsi="Book Antiqua" w:cs="Arial"/>
        </w:rPr>
        <w:t xml:space="preserve">once </w:t>
      </w:r>
      <w:r w:rsidR="00F94C2A">
        <w:rPr>
          <w:rFonts w:ascii="Book Antiqua" w:hAnsi="Book Antiqua" w:cs="Arial"/>
        </w:rPr>
        <w:t>to the counselling clinic recommended by his doctor but they had told him they could not help because of immigration status.</w:t>
      </w:r>
    </w:p>
    <w:p w:rsidR="00F94C2A" w:rsidRDefault="00C80B86" w:rsidP="00D97FE6">
      <w:pPr>
        <w:spacing w:before="160"/>
        <w:ind w:left="567" w:hanging="567"/>
        <w:jc w:val="both"/>
        <w:rPr>
          <w:rFonts w:ascii="Book Antiqua" w:hAnsi="Book Antiqua" w:cs="Arial"/>
        </w:rPr>
      </w:pPr>
      <w:r>
        <w:rPr>
          <w:rFonts w:ascii="Book Antiqua" w:hAnsi="Book Antiqua" w:cs="Arial"/>
        </w:rPr>
        <w:t>12.</w:t>
      </w:r>
      <w:r>
        <w:rPr>
          <w:rFonts w:ascii="Book Antiqua" w:hAnsi="Book Antiqua" w:cs="Arial"/>
        </w:rPr>
        <w:tab/>
        <w:t>Asked about whether he thought he would re-offend</w:t>
      </w:r>
      <w:r w:rsidR="00527D66">
        <w:rPr>
          <w:rFonts w:ascii="Book Antiqua" w:hAnsi="Book Antiqua" w:cs="Arial"/>
        </w:rPr>
        <w:t>,</w:t>
      </w:r>
      <w:r>
        <w:rPr>
          <w:rFonts w:ascii="Book Antiqua" w:hAnsi="Book Antiqua" w:cs="Arial"/>
        </w:rPr>
        <w:t xml:space="preserve"> the claimant said he believed he could avoid that because he did not want to experience prison again; he felt remorse for his past offending; and he had now learnt how he could make money by legal means.  </w:t>
      </w:r>
      <w:r w:rsidR="00F94C2A">
        <w:rPr>
          <w:rFonts w:ascii="Book Antiqua" w:hAnsi="Book Antiqua" w:cs="Arial"/>
        </w:rPr>
        <w:t>He believed that with more training he could become a financial adviser.  He was not currently in a relationship.</w:t>
      </w:r>
    </w:p>
    <w:p w:rsidR="00F94C2A" w:rsidRDefault="00C80B86" w:rsidP="00D97FE6">
      <w:pPr>
        <w:spacing w:before="160"/>
        <w:ind w:left="567" w:hanging="567"/>
        <w:jc w:val="both"/>
        <w:rPr>
          <w:rFonts w:ascii="Book Antiqua" w:hAnsi="Book Antiqua" w:cs="Arial"/>
        </w:rPr>
      </w:pPr>
      <w:r>
        <w:rPr>
          <w:rFonts w:ascii="Book Antiqua" w:hAnsi="Book Antiqua" w:cs="Arial"/>
        </w:rPr>
        <w:t>13</w:t>
      </w:r>
      <w:r w:rsidR="00F94C2A">
        <w:rPr>
          <w:rFonts w:ascii="Book Antiqua" w:hAnsi="Book Antiqua" w:cs="Arial"/>
        </w:rPr>
        <w:t>.</w:t>
      </w:r>
      <w:r w:rsidR="00F94C2A">
        <w:rPr>
          <w:rFonts w:ascii="Book Antiqua" w:hAnsi="Book Antiqua" w:cs="Arial"/>
        </w:rPr>
        <w:tab/>
      </w:r>
      <w:r w:rsidR="00B91E85">
        <w:rPr>
          <w:rFonts w:ascii="Book Antiqua" w:hAnsi="Book Antiqua" w:cs="Arial"/>
        </w:rPr>
        <w:t xml:space="preserve">Asked if he felt </w:t>
      </w:r>
      <w:r>
        <w:rPr>
          <w:rFonts w:ascii="Book Antiqua" w:hAnsi="Book Antiqua" w:cs="Arial"/>
        </w:rPr>
        <w:t xml:space="preserve">he would </w:t>
      </w:r>
      <w:r w:rsidR="00B91E85">
        <w:rPr>
          <w:rFonts w:ascii="Book Antiqua" w:hAnsi="Book Antiqua" w:cs="Arial"/>
        </w:rPr>
        <w:t>become a financial adviser in Nigeria the claimant said he would need more training which he could not afford.</w:t>
      </w:r>
    </w:p>
    <w:p w:rsidR="00B91E85" w:rsidRDefault="00C80B86" w:rsidP="00D97FE6">
      <w:pPr>
        <w:spacing w:before="160"/>
        <w:ind w:left="567" w:hanging="567"/>
        <w:jc w:val="both"/>
        <w:rPr>
          <w:rFonts w:ascii="Book Antiqua" w:hAnsi="Book Antiqua" w:cs="Arial"/>
        </w:rPr>
      </w:pPr>
      <w:r>
        <w:rPr>
          <w:rFonts w:ascii="Book Antiqua" w:hAnsi="Book Antiqua" w:cs="Arial"/>
        </w:rPr>
        <w:t>14</w:t>
      </w:r>
      <w:r w:rsidR="00B91E85">
        <w:rPr>
          <w:rFonts w:ascii="Book Antiqua" w:hAnsi="Book Antiqua" w:cs="Arial"/>
        </w:rPr>
        <w:t>.</w:t>
      </w:r>
      <w:r w:rsidR="00B91E85">
        <w:rPr>
          <w:rFonts w:ascii="Book Antiqua" w:hAnsi="Book Antiqua" w:cs="Arial"/>
        </w:rPr>
        <w:tab/>
        <w:t>He had not made enquiries about jobs or accommodation in Nigeria</w:t>
      </w:r>
      <w:r w:rsidR="00064144">
        <w:rPr>
          <w:rFonts w:ascii="Book Antiqua" w:hAnsi="Book Antiqua" w:cs="Arial"/>
        </w:rPr>
        <w:t>;</w:t>
      </w:r>
      <w:r w:rsidR="00B91E85">
        <w:rPr>
          <w:rFonts w:ascii="Book Antiqua" w:hAnsi="Book Antiqua" w:cs="Arial"/>
        </w:rPr>
        <w:t xml:space="preserve"> he found it very hard to get his head around such a future.</w:t>
      </w:r>
    </w:p>
    <w:p w:rsidR="00B91E85" w:rsidRDefault="00C80B86" w:rsidP="00D97FE6">
      <w:pPr>
        <w:spacing w:before="160"/>
        <w:ind w:left="567" w:hanging="567"/>
        <w:jc w:val="both"/>
        <w:rPr>
          <w:rFonts w:ascii="Book Antiqua" w:hAnsi="Book Antiqua" w:cs="Arial"/>
        </w:rPr>
      </w:pPr>
      <w:r>
        <w:rPr>
          <w:rFonts w:ascii="Book Antiqua" w:hAnsi="Book Antiqua" w:cs="Arial"/>
        </w:rPr>
        <w:t>15</w:t>
      </w:r>
      <w:r w:rsidR="00B91E85">
        <w:rPr>
          <w:rFonts w:ascii="Book Antiqua" w:hAnsi="Book Antiqua" w:cs="Arial"/>
        </w:rPr>
        <w:t>.</w:t>
      </w:r>
      <w:r w:rsidR="00B91E85">
        <w:rPr>
          <w:rFonts w:ascii="Book Antiqua" w:hAnsi="Book Antiqua" w:cs="Arial"/>
        </w:rPr>
        <w:tab/>
        <w:t xml:space="preserve">The claimant said he was on reasonable terms with his siblings, but he did not think any of </w:t>
      </w:r>
      <w:r>
        <w:rPr>
          <w:rFonts w:ascii="Book Antiqua" w:hAnsi="Book Antiqua" w:cs="Arial"/>
        </w:rPr>
        <w:t>them</w:t>
      </w:r>
      <w:r w:rsidR="00B91E85">
        <w:rPr>
          <w:rFonts w:ascii="Book Antiqua" w:hAnsi="Book Antiqua" w:cs="Arial"/>
        </w:rPr>
        <w:t xml:space="preserve"> </w:t>
      </w:r>
      <w:r>
        <w:rPr>
          <w:rFonts w:ascii="Book Antiqua" w:hAnsi="Book Antiqua" w:cs="Arial"/>
        </w:rPr>
        <w:t>would</w:t>
      </w:r>
      <w:r w:rsidR="00B91E85">
        <w:rPr>
          <w:rFonts w:ascii="Book Antiqua" w:hAnsi="Book Antiqua" w:cs="Arial"/>
        </w:rPr>
        <w:t xml:space="preserve"> be able to help him financially whilst he was looking for work in Nigeria.</w:t>
      </w:r>
    </w:p>
    <w:p w:rsidR="00B91E85" w:rsidRDefault="00C80B86" w:rsidP="00D97FE6">
      <w:pPr>
        <w:spacing w:before="160"/>
        <w:ind w:left="567" w:hanging="567"/>
        <w:jc w:val="both"/>
        <w:rPr>
          <w:rFonts w:ascii="Book Antiqua" w:hAnsi="Book Antiqua" w:cs="Arial"/>
        </w:rPr>
      </w:pPr>
      <w:r>
        <w:rPr>
          <w:rFonts w:ascii="Book Antiqua" w:hAnsi="Book Antiqua" w:cs="Arial"/>
        </w:rPr>
        <w:t>16</w:t>
      </w:r>
      <w:r w:rsidR="00B91E85">
        <w:rPr>
          <w:rFonts w:ascii="Book Antiqua" w:hAnsi="Book Antiqua" w:cs="Arial"/>
        </w:rPr>
        <w:t>.</w:t>
      </w:r>
      <w:r w:rsidR="00B91E85">
        <w:rPr>
          <w:rFonts w:ascii="Book Antiqua" w:hAnsi="Book Antiqua" w:cs="Arial"/>
        </w:rPr>
        <w:tab/>
        <w:t xml:space="preserve">The claimant said that since he had been released from immigration detention he had been staying with a girlfriend for eight months and then another </w:t>
      </w:r>
      <w:r w:rsidR="00252586">
        <w:rPr>
          <w:rFonts w:ascii="Book Antiqua" w:hAnsi="Book Antiqua" w:cs="Arial"/>
        </w:rPr>
        <w:t>girlfriend</w:t>
      </w:r>
      <w:r w:rsidR="003108ED">
        <w:rPr>
          <w:rFonts w:ascii="Book Antiqua" w:hAnsi="Book Antiqua" w:cs="Arial"/>
        </w:rPr>
        <w:t xml:space="preserve"> </w:t>
      </w:r>
      <w:r w:rsidR="00B91E85">
        <w:rPr>
          <w:rFonts w:ascii="Book Antiqua" w:hAnsi="Book Antiqua" w:cs="Arial"/>
        </w:rPr>
        <w:t>more recently.</w:t>
      </w:r>
    </w:p>
    <w:p w:rsidR="00B91E85" w:rsidRPr="008A7A7E" w:rsidRDefault="008A7A7E" w:rsidP="00D97FE6">
      <w:pPr>
        <w:spacing w:before="160"/>
        <w:jc w:val="both"/>
        <w:rPr>
          <w:rFonts w:ascii="Book Antiqua" w:hAnsi="Book Antiqua" w:cs="Arial"/>
          <w:b/>
          <w:u w:val="single"/>
        </w:rPr>
      </w:pPr>
      <w:r w:rsidRPr="008A7A7E">
        <w:rPr>
          <w:rFonts w:ascii="Book Antiqua" w:hAnsi="Book Antiqua" w:cs="Arial"/>
          <w:b/>
          <w:u w:val="single"/>
        </w:rPr>
        <w:t xml:space="preserve">Submissions </w:t>
      </w:r>
    </w:p>
    <w:p w:rsidR="008A7A7E" w:rsidRDefault="00C80B86" w:rsidP="00D97FE6">
      <w:pPr>
        <w:spacing w:before="160"/>
        <w:ind w:left="567" w:hanging="567"/>
        <w:jc w:val="both"/>
        <w:rPr>
          <w:rFonts w:ascii="Book Antiqua" w:hAnsi="Book Antiqua" w:cs="Arial"/>
        </w:rPr>
      </w:pPr>
      <w:r>
        <w:rPr>
          <w:rFonts w:ascii="Book Antiqua" w:hAnsi="Book Antiqua" w:cs="Arial"/>
        </w:rPr>
        <w:t>17</w:t>
      </w:r>
      <w:r w:rsidR="008A7A7E">
        <w:rPr>
          <w:rFonts w:ascii="Book Antiqua" w:hAnsi="Book Antiqua" w:cs="Arial"/>
        </w:rPr>
        <w:t>.</w:t>
      </w:r>
      <w:r w:rsidR="008A7A7E">
        <w:rPr>
          <w:rFonts w:ascii="Book Antiqua" w:hAnsi="Book Antiqua" w:cs="Arial"/>
        </w:rPr>
        <w:tab/>
        <w:t>I heard submissions from the representatives.  Mr Wilding submitted that the claimant could not meet the requirements of the Rules since under paragraph 399A (and the sam</w:t>
      </w:r>
      <w:r w:rsidR="00BA07C0">
        <w:rPr>
          <w:rFonts w:ascii="Book Antiqua" w:hAnsi="Book Antiqua" w:cs="Arial"/>
        </w:rPr>
        <w:t>e was true of s</w:t>
      </w:r>
      <w:r w:rsidR="003370F1">
        <w:rPr>
          <w:rFonts w:ascii="Book Antiqua" w:hAnsi="Book Antiqua" w:cs="Arial"/>
        </w:rPr>
        <w:t>ection 117C(4)</w:t>
      </w:r>
      <w:r w:rsidR="008A7A7E">
        <w:rPr>
          <w:rFonts w:ascii="Book Antiqua" w:hAnsi="Book Antiqua" w:cs="Arial"/>
        </w:rPr>
        <w:t xml:space="preserve"> of the NIAA 2002) he could not show he had been lawfully resident in the UK for most of his life; and his pattern of </w:t>
      </w:r>
      <w:r>
        <w:rPr>
          <w:rFonts w:ascii="Book Antiqua" w:hAnsi="Book Antiqua" w:cs="Arial"/>
        </w:rPr>
        <w:t>criminality</w:t>
      </w:r>
      <w:r w:rsidR="008A7A7E">
        <w:rPr>
          <w:rFonts w:ascii="Book Antiqua" w:hAnsi="Book Antiqua" w:cs="Arial"/>
        </w:rPr>
        <w:t xml:space="preserve"> </w:t>
      </w:r>
      <w:r w:rsidR="008A7A7E">
        <w:rPr>
          <w:rFonts w:ascii="Book Antiqua" w:hAnsi="Book Antiqua" w:cs="Arial"/>
        </w:rPr>
        <w:lastRenderedPageBreak/>
        <w:t>compr</w:t>
      </w:r>
      <w:r w:rsidR="00884F7E">
        <w:rPr>
          <w:rFonts w:ascii="Book Antiqua" w:hAnsi="Book Antiqua" w:cs="Arial"/>
        </w:rPr>
        <w:t>om</w:t>
      </w:r>
      <w:r w:rsidR="008A7A7E">
        <w:rPr>
          <w:rFonts w:ascii="Book Antiqua" w:hAnsi="Book Antiqua" w:cs="Arial"/>
        </w:rPr>
        <w:t xml:space="preserve">ised the extent of his integration into UK society.  Nor could the claimant show that there were very </w:t>
      </w:r>
      <w:r>
        <w:rPr>
          <w:rFonts w:ascii="Book Antiqua" w:hAnsi="Book Antiqua" w:cs="Arial"/>
        </w:rPr>
        <w:t>significant</w:t>
      </w:r>
      <w:r w:rsidR="008A7A7E">
        <w:rPr>
          <w:rFonts w:ascii="Book Antiqua" w:hAnsi="Book Antiqua" w:cs="Arial"/>
        </w:rPr>
        <w:t xml:space="preserve"> obstacles to his </w:t>
      </w:r>
      <w:r>
        <w:rPr>
          <w:rFonts w:ascii="Book Antiqua" w:hAnsi="Book Antiqua" w:cs="Arial"/>
        </w:rPr>
        <w:t>integration</w:t>
      </w:r>
      <w:r w:rsidR="008A7A7E">
        <w:rPr>
          <w:rFonts w:ascii="Book Antiqua" w:hAnsi="Book Antiqua" w:cs="Arial"/>
        </w:rPr>
        <w:t xml:space="preserve"> into Nigeria</w:t>
      </w:r>
      <w:r w:rsidR="008B6CB4">
        <w:rPr>
          <w:rFonts w:ascii="Book Antiqua" w:hAnsi="Book Antiqua" w:cs="Arial"/>
        </w:rPr>
        <w:t>n</w:t>
      </w:r>
      <w:r w:rsidR="008A7A7E">
        <w:rPr>
          <w:rFonts w:ascii="Book Antiqua" w:hAnsi="Book Antiqua" w:cs="Arial"/>
        </w:rPr>
        <w:t xml:space="preserve"> society.  The claimant had shown that he was capable of leading an </w:t>
      </w:r>
      <w:r>
        <w:rPr>
          <w:rFonts w:ascii="Book Antiqua" w:hAnsi="Book Antiqua" w:cs="Arial"/>
        </w:rPr>
        <w:t>independent</w:t>
      </w:r>
      <w:r w:rsidR="008A7A7E">
        <w:rPr>
          <w:rFonts w:ascii="Book Antiqua" w:hAnsi="Book Antiqua" w:cs="Arial"/>
        </w:rPr>
        <w:t xml:space="preserve"> life in the UK and he would be able to do the same in Nigeria by entering into social relationships, </w:t>
      </w:r>
      <w:r>
        <w:rPr>
          <w:rFonts w:ascii="Book Antiqua" w:hAnsi="Book Antiqua" w:cs="Arial"/>
        </w:rPr>
        <w:t>obtaining</w:t>
      </w:r>
      <w:r w:rsidR="008A7A7E">
        <w:rPr>
          <w:rFonts w:ascii="Book Antiqua" w:hAnsi="Book Antiqua" w:cs="Arial"/>
        </w:rPr>
        <w:t xml:space="preserve"> work and finding accommodation.</w:t>
      </w:r>
    </w:p>
    <w:p w:rsidR="008A7A7E" w:rsidRDefault="00C80B86" w:rsidP="00D97FE6">
      <w:pPr>
        <w:spacing w:before="160"/>
        <w:ind w:left="567" w:hanging="567"/>
        <w:jc w:val="both"/>
        <w:rPr>
          <w:rFonts w:ascii="Book Antiqua" w:hAnsi="Book Antiqua" w:cs="Arial"/>
        </w:rPr>
      </w:pPr>
      <w:r>
        <w:rPr>
          <w:rFonts w:ascii="Book Antiqua" w:hAnsi="Book Antiqua" w:cs="Arial"/>
        </w:rPr>
        <w:t>18</w:t>
      </w:r>
      <w:r w:rsidR="008A7A7E">
        <w:rPr>
          <w:rFonts w:ascii="Book Antiqua" w:hAnsi="Book Antiqua" w:cs="Arial"/>
        </w:rPr>
        <w:t>.</w:t>
      </w:r>
      <w:r w:rsidR="008A7A7E">
        <w:rPr>
          <w:rFonts w:ascii="Book Antiqua" w:hAnsi="Book Antiqua" w:cs="Arial"/>
        </w:rPr>
        <w:tab/>
        <w:t>As regards the expert evidence</w:t>
      </w:r>
      <w:r w:rsidR="009A679E">
        <w:rPr>
          <w:rFonts w:ascii="Book Antiqua" w:hAnsi="Book Antiqua" w:cs="Arial"/>
        </w:rPr>
        <w:t>,</w:t>
      </w:r>
      <w:r w:rsidR="008A7A7E">
        <w:rPr>
          <w:rFonts w:ascii="Book Antiqua" w:hAnsi="Book Antiqua" w:cs="Arial"/>
        </w:rPr>
        <w:t xml:space="preserve"> their reports indicated that the claimant was at medium to high risk of re-offending.</w:t>
      </w:r>
    </w:p>
    <w:p w:rsidR="008A7A7E" w:rsidRDefault="00C80B86" w:rsidP="00D97FE6">
      <w:pPr>
        <w:spacing w:before="160"/>
        <w:ind w:left="567" w:hanging="567"/>
        <w:jc w:val="both"/>
        <w:rPr>
          <w:rFonts w:ascii="Book Antiqua" w:hAnsi="Book Antiqua" w:cs="Arial"/>
        </w:rPr>
      </w:pPr>
      <w:r>
        <w:rPr>
          <w:rFonts w:ascii="Book Antiqua" w:hAnsi="Book Antiqua" w:cs="Arial"/>
        </w:rPr>
        <w:t>19</w:t>
      </w:r>
      <w:r w:rsidR="008A7A7E">
        <w:rPr>
          <w:rFonts w:ascii="Book Antiqua" w:hAnsi="Book Antiqua" w:cs="Arial"/>
        </w:rPr>
        <w:t>.</w:t>
      </w:r>
      <w:r w:rsidR="008A7A7E">
        <w:rPr>
          <w:rFonts w:ascii="Book Antiqua" w:hAnsi="Book Antiqua" w:cs="Arial"/>
        </w:rPr>
        <w:tab/>
        <w:t xml:space="preserve">Mr Wilding contended that the claimant had also failed to establish compelling circumstances outside the Rules.  The reports on the appellant’s </w:t>
      </w:r>
      <w:r>
        <w:rPr>
          <w:rFonts w:ascii="Book Antiqua" w:hAnsi="Book Antiqua" w:cs="Arial"/>
        </w:rPr>
        <w:t>mental</w:t>
      </w:r>
      <w:r w:rsidR="008A7A7E">
        <w:rPr>
          <w:rFonts w:ascii="Book Antiqua" w:hAnsi="Book Antiqua" w:cs="Arial"/>
        </w:rPr>
        <w:t xml:space="preserve"> health and the report by Peter Horrocks (which lay much of the blame for the claimant’s criminality at the door of </w:t>
      </w:r>
      <w:r w:rsidR="00D34700">
        <w:rPr>
          <w:rFonts w:ascii="Book Antiqua" w:hAnsi="Book Antiqua" w:cs="Arial"/>
        </w:rPr>
        <w:t>Lambeth Social Services</w:t>
      </w:r>
      <w:r w:rsidR="008A7A7E">
        <w:rPr>
          <w:rFonts w:ascii="Book Antiqua" w:hAnsi="Book Antiqua" w:cs="Arial"/>
        </w:rPr>
        <w:t xml:space="preserve"> Department for failing to intervene sooner to protect the claimant from an abusive mother) could not weigh heavily in the Article 8 balancing exercise.  Everyone had a story.</w:t>
      </w:r>
    </w:p>
    <w:p w:rsidR="008A7A7E" w:rsidRDefault="00C80B86" w:rsidP="00D97FE6">
      <w:pPr>
        <w:spacing w:before="160"/>
        <w:ind w:left="567" w:hanging="567"/>
        <w:jc w:val="both"/>
        <w:rPr>
          <w:rFonts w:ascii="Book Antiqua" w:hAnsi="Book Antiqua" w:cs="Arial"/>
        </w:rPr>
      </w:pPr>
      <w:r>
        <w:rPr>
          <w:rFonts w:ascii="Book Antiqua" w:hAnsi="Book Antiqua" w:cs="Arial"/>
        </w:rPr>
        <w:t>20</w:t>
      </w:r>
      <w:r w:rsidR="008A7A7E">
        <w:rPr>
          <w:rFonts w:ascii="Book Antiqua" w:hAnsi="Book Antiqua" w:cs="Arial"/>
        </w:rPr>
        <w:t>.</w:t>
      </w:r>
      <w:r w:rsidR="008A7A7E">
        <w:rPr>
          <w:rFonts w:ascii="Book Antiqua" w:hAnsi="Book Antiqua" w:cs="Arial"/>
        </w:rPr>
        <w:tab/>
      </w:r>
      <w:r w:rsidR="00252586">
        <w:rPr>
          <w:rFonts w:ascii="Book Antiqua" w:hAnsi="Book Antiqua" w:cs="Arial"/>
        </w:rPr>
        <w:t>Similarly,</w:t>
      </w:r>
      <w:r w:rsidR="008A7A7E">
        <w:rPr>
          <w:rFonts w:ascii="Book Antiqua" w:hAnsi="Book Antiqua" w:cs="Arial"/>
        </w:rPr>
        <w:t xml:space="preserve"> he considered that Ms Moffatt’s argument that the claimant should have been </w:t>
      </w:r>
      <w:r>
        <w:rPr>
          <w:rFonts w:ascii="Book Antiqua" w:hAnsi="Book Antiqua" w:cs="Arial"/>
        </w:rPr>
        <w:t>granted</w:t>
      </w:r>
      <w:r w:rsidR="008A7A7E">
        <w:rPr>
          <w:rFonts w:ascii="Book Antiqua" w:hAnsi="Book Antiqua" w:cs="Arial"/>
        </w:rPr>
        <w:t xml:space="preserve"> ILR much earlier could only take his case so far, since he was ultimately granted ILR (in 2010) and that did not stop him offending.  In any event the old seven year policy (DP5/96) was a discretionary one and he had no legitimate expectation he would </w:t>
      </w:r>
      <w:r w:rsidR="00771806">
        <w:rPr>
          <w:rFonts w:ascii="Book Antiqua" w:hAnsi="Book Antiqua" w:cs="Arial"/>
        </w:rPr>
        <w:t>benefit from</w:t>
      </w:r>
      <w:r w:rsidR="008A7A7E">
        <w:rPr>
          <w:rFonts w:ascii="Book Antiqua" w:hAnsi="Book Antiqua" w:cs="Arial"/>
        </w:rPr>
        <w:t xml:space="preserve"> it earlier on.  The claimant’s criminal history ha</w:t>
      </w:r>
      <w:r w:rsidR="001A3DA0">
        <w:rPr>
          <w:rFonts w:ascii="Book Antiqua" w:hAnsi="Book Antiqua" w:cs="Arial"/>
        </w:rPr>
        <w:t>d</w:t>
      </w:r>
      <w:r w:rsidR="008A7A7E">
        <w:rPr>
          <w:rFonts w:ascii="Book Antiqua" w:hAnsi="Book Antiqua" w:cs="Arial"/>
        </w:rPr>
        <w:t xml:space="preserve"> begun in 2009, which was a date before he was granted ILR.</w:t>
      </w:r>
    </w:p>
    <w:p w:rsidR="008A7A7E" w:rsidRDefault="00C80B86" w:rsidP="00D97FE6">
      <w:pPr>
        <w:spacing w:before="160"/>
        <w:ind w:left="567" w:hanging="567"/>
        <w:jc w:val="both"/>
        <w:rPr>
          <w:rFonts w:ascii="Book Antiqua" w:hAnsi="Book Antiqua" w:cs="Arial"/>
        </w:rPr>
      </w:pPr>
      <w:r>
        <w:rPr>
          <w:rFonts w:ascii="Book Antiqua" w:hAnsi="Book Antiqua" w:cs="Arial"/>
        </w:rPr>
        <w:t>21</w:t>
      </w:r>
      <w:r w:rsidR="008A7A7E">
        <w:rPr>
          <w:rFonts w:ascii="Book Antiqua" w:hAnsi="Book Antiqua" w:cs="Arial"/>
        </w:rPr>
        <w:t>.</w:t>
      </w:r>
      <w:r w:rsidR="008A7A7E">
        <w:rPr>
          <w:rFonts w:ascii="Book Antiqua" w:hAnsi="Book Antiqua" w:cs="Arial"/>
        </w:rPr>
        <w:tab/>
        <w:t xml:space="preserve">Ms Moffatt developed her submission by close reference to her lengthy skeleton argument.  She submitted that Mr Wilding’s remark that “Everyone has a story” wrongly ignored the highly unusual and abnormal circumstances the claimant had had to </w:t>
      </w:r>
      <w:r w:rsidR="00B37D96">
        <w:rPr>
          <w:rFonts w:ascii="Book Antiqua" w:hAnsi="Book Antiqua" w:cs="Arial"/>
        </w:rPr>
        <w:t xml:space="preserve">endure </w:t>
      </w:r>
      <w:r w:rsidR="00C318B6">
        <w:rPr>
          <w:rFonts w:ascii="Book Antiqua" w:hAnsi="Book Antiqua" w:cs="Arial"/>
        </w:rPr>
        <w:t xml:space="preserve">as a child during his most formative years.  She recounted the history of physical and psychological abuse.  She noted that the claimant’s mother was a drug </w:t>
      </w:r>
      <w:r>
        <w:rPr>
          <w:rFonts w:ascii="Book Antiqua" w:hAnsi="Book Antiqua" w:cs="Arial"/>
        </w:rPr>
        <w:t>user</w:t>
      </w:r>
      <w:r w:rsidR="00C318B6">
        <w:rPr>
          <w:rFonts w:ascii="Book Antiqua" w:hAnsi="Book Antiqua" w:cs="Arial"/>
        </w:rPr>
        <w:t xml:space="preserve"> and had even used him to buy her drugs.  From around 20</w:t>
      </w:r>
      <w:r w:rsidR="005E4B51">
        <w:rPr>
          <w:rFonts w:ascii="Book Antiqua" w:hAnsi="Book Antiqua" w:cs="Arial"/>
        </w:rPr>
        <w:t>0</w:t>
      </w:r>
      <w:r w:rsidR="00C318B6">
        <w:rPr>
          <w:rFonts w:ascii="Book Antiqua" w:hAnsi="Book Antiqua" w:cs="Arial"/>
        </w:rPr>
        <w:t xml:space="preserve">7 when he was 14 there were concerns about the effect of his upbringing on his mental health.  </w:t>
      </w:r>
      <w:r w:rsidR="003370F1">
        <w:rPr>
          <w:rFonts w:ascii="Book Antiqua" w:hAnsi="Book Antiqua" w:cs="Arial"/>
        </w:rPr>
        <w:t xml:space="preserve">When in detention he had </w:t>
      </w:r>
      <w:r w:rsidR="00C318B6">
        <w:rPr>
          <w:rFonts w:ascii="Book Antiqua" w:hAnsi="Book Antiqua" w:cs="Arial"/>
        </w:rPr>
        <w:t xml:space="preserve">been </w:t>
      </w:r>
      <w:r w:rsidR="003370F1">
        <w:rPr>
          <w:rFonts w:ascii="Book Antiqua" w:hAnsi="Book Antiqua" w:cs="Arial"/>
        </w:rPr>
        <w:t>transferred to</w:t>
      </w:r>
      <w:r w:rsidR="00C318B6">
        <w:rPr>
          <w:rFonts w:ascii="Book Antiqua" w:hAnsi="Book Antiqua" w:cs="Arial"/>
        </w:rPr>
        <w:t xml:space="preserve"> a psychiatric hospital on three occasions.  He had had PTSD.  Had he been diagnosed </w:t>
      </w:r>
      <w:r>
        <w:rPr>
          <w:rFonts w:ascii="Book Antiqua" w:hAnsi="Book Antiqua" w:cs="Arial"/>
        </w:rPr>
        <w:t>earlier</w:t>
      </w:r>
      <w:r w:rsidR="00C318B6">
        <w:rPr>
          <w:rFonts w:ascii="Book Antiqua" w:hAnsi="Book Antiqua" w:cs="Arial"/>
        </w:rPr>
        <w:t xml:space="preserve"> for his major depressive disorder </w:t>
      </w:r>
      <w:r w:rsidR="003370F1">
        <w:rPr>
          <w:rFonts w:ascii="Book Antiqua" w:hAnsi="Book Antiqua" w:cs="Arial"/>
        </w:rPr>
        <w:t xml:space="preserve">and psychotic symptoms </w:t>
      </w:r>
      <w:r w:rsidR="00C318B6">
        <w:rPr>
          <w:rFonts w:ascii="Book Antiqua" w:hAnsi="Book Antiqua" w:cs="Arial"/>
        </w:rPr>
        <w:t xml:space="preserve">he may have avoided </w:t>
      </w:r>
      <w:r>
        <w:rPr>
          <w:rFonts w:ascii="Book Antiqua" w:hAnsi="Book Antiqua" w:cs="Arial"/>
        </w:rPr>
        <w:t>criminality</w:t>
      </w:r>
      <w:r w:rsidR="00C318B6">
        <w:rPr>
          <w:rFonts w:ascii="Book Antiqua" w:hAnsi="Book Antiqua" w:cs="Arial"/>
        </w:rPr>
        <w:t>.</w:t>
      </w:r>
    </w:p>
    <w:p w:rsidR="00C318B6" w:rsidRDefault="00C80B86" w:rsidP="00D97FE6">
      <w:pPr>
        <w:spacing w:before="160"/>
        <w:ind w:left="567" w:hanging="567"/>
        <w:jc w:val="both"/>
        <w:rPr>
          <w:rFonts w:ascii="Book Antiqua" w:hAnsi="Book Antiqua" w:cs="Arial"/>
        </w:rPr>
      </w:pPr>
      <w:r>
        <w:rPr>
          <w:rFonts w:ascii="Book Antiqua" w:hAnsi="Book Antiqua" w:cs="Arial"/>
        </w:rPr>
        <w:t>22</w:t>
      </w:r>
      <w:r w:rsidR="00C318B6">
        <w:rPr>
          <w:rFonts w:ascii="Book Antiqua" w:hAnsi="Book Antiqua" w:cs="Arial"/>
        </w:rPr>
        <w:t>.</w:t>
      </w:r>
      <w:r w:rsidR="00C318B6">
        <w:rPr>
          <w:rFonts w:ascii="Book Antiqua" w:hAnsi="Book Antiqua" w:cs="Arial"/>
        </w:rPr>
        <w:tab/>
        <w:t xml:space="preserve">As regards the claimant’s immigration history, Ms Moffatt submitted that having arrived in 1994 he had lived in the UK for seven years by 2001.  His mother applied under the then policy DP5/96 but did not receive a decision for two years.  In November 2004 she applied for a different family concession.  There was a six year delay, three </w:t>
      </w:r>
      <w:r w:rsidR="00BA07C0">
        <w:rPr>
          <w:rFonts w:ascii="Book Antiqua" w:hAnsi="Book Antiqua" w:cs="Arial"/>
        </w:rPr>
        <w:t xml:space="preserve">years </w:t>
      </w:r>
      <w:r w:rsidR="00474D05">
        <w:rPr>
          <w:rFonts w:ascii="Book Antiqua" w:hAnsi="Book Antiqua" w:cs="Arial"/>
        </w:rPr>
        <w:t xml:space="preserve">of </w:t>
      </w:r>
      <w:r w:rsidR="00BA07C0">
        <w:rPr>
          <w:rFonts w:ascii="Book Antiqua" w:hAnsi="Book Antiqua" w:cs="Arial"/>
        </w:rPr>
        <w:t>which were</w:t>
      </w:r>
      <w:r w:rsidR="00C318B6">
        <w:rPr>
          <w:rFonts w:ascii="Book Antiqua" w:hAnsi="Book Antiqua" w:cs="Arial"/>
        </w:rPr>
        <w:t xml:space="preserve"> the fault of his mother and three, from 2007-2010</w:t>
      </w:r>
      <w:r w:rsidR="00474D05">
        <w:rPr>
          <w:rFonts w:ascii="Book Antiqua" w:hAnsi="Book Antiqua" w:cs="Arial"/>
        </w:rPr>
        <w:t>,</w:t>
      </w:r>
      <w:r w:rsidR="00C318B6">
        <w:rPr>
          <w:rFonts w:ascii="Book Antiqua" w:hAnsi="Book Antiqua" w:cs="Arial"/>
        </w:rPr>
        <w:t xml:space="preserve"> </w:t>
      </w:r>
      <w:r w:rsidR="00BA07C0">
        <w:rPr>
          <w:rFonts w:ascii="Book Antiqua" w:hAnsi="Book Antiqua" w:cs="Arial"/>
        </w:rPr>
        <w:t>t</w:t>
      </w:r>
      <w:r w:rsidR="00C318B6">
        <w:rPr>
          <w:rFonts w:ascii="Book Antiqua" w:hAnsi="Book Antiqua" w:cs="Arial"/>
        </w:rPr>
        <w:t xml:space="preserve">he </w:t>
      </w:r>
      <w:r w:rsidR="00005162">
        <w:rPr>
          <w:rFonts w:ascii="Book Antiqua" w:hAnsi="Book Antiqua" w:cs="Arial"/>
        </w:rPr>
        <w:t>acknowledged</w:t>
      </w:r>
      <w:r w:rsidR="00474D05">
        <w:rPr>
          <w:rFonts w:ascii="Book Antiqua" w:hAnsi="Book Antiqua" w:cs="Arial"/>
        </w:rPr>
        <w:t xml:space="preserve"> </w:t>
      </w:r>
      <w:r w:rsidR="00C318B6">
        <w:rPr>
          <w:rFonts w:ascii="Book Antiqua" w:hAnsi="Book Antiqua" w:cs="Arial"/>
        </w:rPr>
        <w:t xml:space="preserve">fault of the SSHD.  By the time the claimant </w:t>
      </w:r>
      <w:r w:rsidR="00845E03">
        <w:rPr>
          <w:rFonts w:ascii="Book Antiqua" w:hAnsi="Book Antiqua" w:cs="Arial"/>
        </w:rPr>
        <w:t>received ILR in 2010</w:t>
      </w:r>
      <w:r w:rsidR="00474D05">
        <w:rPr>
          <w:rFonts w:ascii="Book Antiqua" w:hAnsi="Book Antiqua" w:cs="Arial"/>
        </w:rPr>
        <w:t>,</w:t>
      </w:r>
      <w:r w:rsidR="00845E03">
        <w:rPr>
          <w:rFonts w:ascii="Book Antiqua" w:hAnsi="Book Antiqua" w:cs="Arial"/>
        </w:rPr>
        <w:t xml:space="preserve"> it was nine years since he had been eligible under DP5/96.  Hence </w:t>
      </w:r>
      <w:r w:rsidR="00474D05">
        <w:rPr>
          <w:rFonts w:ascii="Book Antiqua" w:hAnsi="Book Antiqua" w:cs="Arial"/>
        </w:rPr>
        <w:t>if</w:t>
      </w:r>
      <w:r w:rsidR="00845E03">
        <w:rPr>
          <w:rFonts w:ascii="Book Antiqua" w:hAnsi="Book Antiqua" w:cs="Arial"/>
        </w:rPr>
        <w:t xml:space="preserve"> the claimant did not meet the “lawful residence” requirement of paragraph 399A that was because of </w:t>
      </w:r>
      <w:r>
        <w:rPr>
          <w:rFonts w:ascii="Book Antiqua" w:hAnsi="Book Antiqua" w:cs="Arial"/>
        </w:rPr>
        <w:t>failures</w:t>
      </w:r>
      <w:r w:rsidR="00845E03">
        <w:rPr>
          <w:rFonts w:ascii="Book Antiqua" w:hAnsi="Book Antiqua" w:cs="Arial"/>
        </w:rPr>
        <w:t xml:space="preserve"> by his mother and the SSHD.</w:t>
      </w:r>
    </w:p>
    <w:p w:rsidR="00845E03" w:rsidRDefault="00C80B86" w:rsidP="00D97FE6">
      <w:pPr>
        <w:spacing w:before="160"/>
        <w:ind w:left="567" w:hanging="567"/>
        <w:jc w:val="both"/>
        <w:rPr>
          <w:rFonts w:ascii="Book Antiqua" w:hAnsi="Book Antiqua" w:cs="Arial"/>
        </w:rPr>
      </w:pPr>
      <w:r>
        <w:rPr>
          <w:rFonts w:ascii="Book Antiqua" w:hAnsi="Book Antiqua" w:cs="Arial"/>
        </w:rPr>
        <w:t>23</w:t>
      </w:r>
      <w:r w:rsidR="00845E03">
        <w:rPr>
          <w:rFonts w:ascii="Book Antiqua" w:hAnsi="Book Antiqua" w:cs="Arial"/>
        </w:rPr>
        <w:t>.</w:t>
      </w:r>
      <w:r w:rsidR="00845E03">
        <w:rPr>
          <w:rFonts w:ascii="Book Antiqua" w:hAnsi="Book Antiqua" w:cs="Arial"/>
        </w:rPr>
        <w:tab/>
      </w:r>
      <w:r w:rsidR="00FC193E">
        <w:rPr>
          <w:rFonts w:ascii="Book Antiqua" w:hAnsi="Book Antiqua" w:cs="Arial"/>
        </w:rPr>
        <w:t xml:space="preserve">In any event the claimant’s residence was lawful, submitted Ms Moffatt.  It is </w:t>
      </w:r>
      <w:r>
        <w:rPr>
          <w:rFonts w:ascii="Book Antiqua" w:hAnsi="Book Antiqua" w:cs="Arial"/>
        </w:rPr>
        <w:t>clear</w:t>
      </w:r>
      <w:r w:rsidR="00FC193E">
        <w:rPr>
          <w:rFonts w:ascii="Book Antiqua" w:hAnsi="Book Antiqua" w:cs="Arial"/>
        </w:rPr>
        <w:t xml:space="preserve"> from Court of Appeal authority, </w:t>
      </w:r>
      <w:r w:rsidR="00FC193E" w:rsidRPr="00FC193E">
        <w:rPr>
          <w:rFonts w:ascii="Book Antiqua" w:hAnsi="Book Antiqua" w:cs="Arial"/>
          <w:b/>
          <w:u w:val="single"/>
        </w:rPr>
        <w:t>SC</w:t>
      </w:r>
      <w:r w:rsidR="00FC193E" w:rsidRPr="00FC193E">
        <w:rPr>
          <w:rFonts w:ascii="Book Antiqua" w:hAnsi="Book Antiqua" w:cs="Arial"/>
          <w:b/>
        </w:rPr>
        <w:t xml:space="preserve"> (Jamaica)</w:t>
      </w:r>
      <w:r w:rsidR="00FC193E">
        <w:rPr>
          <w:rFonts w:ascii="Book Antiqua" w:hAnsi="Book Antiqua" w:cs="Arial"/>
        </w:rPr>
        <w:t xml:space="preserve"> </w:t>
      </w:r>
      <w:r w:rsidR="0036459A">
        <w:rPr>
          <w:rFonts w:ascii="Book Antiqua" w:hAnsi="Book Antiqua" w:cs="Arial"/>
        </w:rPr>
        <w:t xml:space="preserve">[2017] EWCA Civ 2112 </w:t>
      </w:r>
      <w:r w:rsidR="00FC193E">
        <w:rPr>
          <w:rFonts w:ascii="Book Antiqua" w:hAnsi="Book Antiqua" w:cs="Arial"/>
        </w:rPr>
        <w:t xml:space="preserve">in </w:t>
      </w:r>
      <w:r>
        <w:rPr>
          <w:rFonts w:ascii="Book Antiqua" w:hAnsi="Book Antiqua" w:cs="Arial"/>
        </w:rPr>
        <w:t>particular</w:t>
      </w:r>
      <w:r w:rsidR="00FC193E">
        <w:rPr>
          <w:rFonts w:ascii="Book Antiqua" w:hAnsi="Book Antiqua" w:cs="Arial"/>
        </w:rPr>
        <w:t xml:space="preserve">, that temporary admission constituted lawful residence.  The claimant’s mother had applied for asylum in </w:t>
      </w:r>
      <w:r>
        <w:rPr>
          <w:rFonts w:ascii="Book Antiqua" w:hAnsi="Book Antiqua" w:cs="Arial"/>
        </w:rPr>
        <w:t>early</w:t>
      </w:r>
      <w:r w:rsidR="00FC193E">
        <w:rPr>
          <w:rFonts w:ascii="Book Antiqua" w:hAnsi="Book Antiqua" w:cs="Arial"/>
        </w:rPr>
        <w:t xml:space="preserve"> 1994 and only became appeal rights exhausted on 24 July </w:t>
      </w:r>
      <w:r w:rsidR="00FC193E">
        <w:rPr>
          <w:rFonts w:ascii="Book Antiqua" w:hAnsi="Book Antiqua" w:cs="Arial"/>
        </w:rPr>
        <w:lastRenderedPageBreak/>
        <w:t>1997.  Even after that date the claimant had to be deemed to be in the UK on temporary admission, because he was a person liable to detention.</w:t>
      </w:r>
    </w:p>
    <w:p w:rsidR="00FC193E" w:rsidRDefault="00C80B86" w:rsidP="00D97FE6">
      <w:pPr>
        <w:spacing w:before="160"/>
        <w:ind w:left="567" w:hanging="567"/>
        <w:jc w:val="both"/>
        <w:rPr>
          <w:rFonts w:ascii="Book Antiqua" w:hAnsi="Book Antiqua" w:cs="Arial"/>
        </w:rPr>
      </w:pPr>
      <w:r>
        <w:rPr>
          <w:rFonts w:ascii="Book Antiqua" w:hAnsi="Book Antiqua" w:cs="Arial"/>
        </w:rPr>
        <w:t>24</w:t>
      </w:r>
      <w:r w:rsidR="00FC193E">
        <w:rPr>
          <w:rFonts w:ascii="Book Antiqua" w:hAnsi="Book Antiqua" w:cs="Arial"/>
        </w:rPr>
        <w:t>.</w:t>
      </w:r>
      <w:r w:rsidR="00FC193E">
        <w:rPr>
          <w:rFonts w:ascii="Book Antiqua" w:hAnsi="Book Antiqua" w:cs="Arial"/>
        </w:rPr>
        <w:tab/>
      </w:r>
      <w:r w:rsidR="0036459A">
        <w:rPr>
          <w:rFonts w:ascii="Book Antiqua" w:hAnsi="Book Antiqua" w:cs="Arial"/>
        </w:rPr>
        <w:t>She submitted that e</w:t>
      </w:r>
      <w:r w:rsidR="00FC193E">
        <w:rPr>
          <w:rFonts w:ascii="Book Antiqua" w:hAnsi="Book Antiqua" w:cs="Arial"/>
        </w:rPr>
        <w:t xml:space="preserve">ven if I was not persuaded that the claimant had lawful residence I </w:t>
      </w:r>
      <w:r>
        <w:rPr>
          <w:rFonts w:ascii="Book Antiqua" w:hAnsi="Book Antiqua" w:cs="Arial"/>
        </w:rPr>
        <w:t>should</w:t>
      </w:r>
      <w:r w:rsidR="00FC193E">
        <w:rPr>
          <w:rFonts w:ascii="Book Antiqua" w:hAnsi="Book Antiqua" w:cs="Arial"/>
        </w:rPr>
        <w:t xml:space="preserve"> attach very significant weight when assessing Article 8 outside the Rules to his long residence in the UK.  The fact that for a significant period of his time in the UK the SSHD had delayed making a decision</w:t>
      </w:r>
      <w:r w:rsidR="0036459A">
        <w:rPr>
          <w:rFonts w:ascii="Book Antiqua" w:hAnsi="Book Antiqua" w:cs="Arial"/>
        </w:rPr>
        <w:t xml:space="preserve"> meant that he should benefit f</w:t>
      </w:r>
      <w:r w:rsidR="00FC193E">
        <w:rPr>
          <w:rFonts w:ascii="Book Antiqua" w:hAnsi="Book Antiqua" w:cs="Arial"/>
        </w:rPr>
        <w:t>r</w:t>
      </w:r>
      <w:r w:rsidR="0036459A">
        <w:rPr>
          <w:rFonts w:ascii="Book Antiqua" w:hAnsi="Book Antiqua" w:cs="Arial"/>
        </w:rPr>
        <w:t>o</w:t>
      </w:r>
      <w:r w:rsidR="00FC193E">
        <w:rPr>
          <w:rFonts w:ascii="Book Antiqua" w:hAnsi="Book Antiqua" w:cs="Arial"/>
        </w:rPr>
        <w:t xml:space="preserve">m the guidance given in </w:t>
      </w:r>
      <w:r w:rsidR="00FC193E" w:rsidRPr="00FC193E">
        <w:rPr>
          <w:rFonts w:ascii="Book Antiqua" w:hAnsi="Book Antiqua" w:cs="Arial"/>
          <w:b/>
          <w:u w:val="single"/>
        </w:rPr>
        <w:t>EB</w:t>
      </w:r>
      <w:r w:rsidR="00FC193E" w:rsidRPr="00FC193E">
        <w:rPr>
          <w:rFonts w:ascii="Book Antiqua" w:hAnsi="Book Antiqua" w:cs="Arial"/>
          <w:b/>
        </w:rPr>
        <w:t xml:space="preserve"> (Kosovo)</w:t>
      </w:r>
      <w:r w:rsidR="00FC193E">
        <w:rPr>
          <w:rFonts w:ascii="Book Antiqua" w:hAnsi="Book Antiqua" w:cs="Arial"/>
        </w:rPr>
        <w:t xml:space="preserve"> </w:t>
      </w:r>
      <w:r w:rsidR="0036459A">
        <w:rPr>
          <w:rFonts w:ascii="Book Antiqua" w:hAnsi="Book Antiqua" w:cs="Arial"/>
        </w:rPr>
        <w:t xml:space="preserve">[2008] UKHL 41 </w:t>
      </w:r>
      <w:r w:rsidR="00FC193E">
        <w:rPr>
          <w:rFonts w:ascii="Book Antiqua" w:hAnsi="Book Antiqua" w:cs="Arial"/>
        </w:rPr>
        <w:t xml:space="preserve">as the SSHD accepted that she had been responsible for three years of the delay.  </w:t>
      </w:r>
    </w:p>
    <w:p w:rsidR="00FC193E" w:rsidRDefault="00C80B86" w:rsidP="00D97FE6">
      <w:pPr>
        <w:spacing w:before="160"/>
        <w:ind w:left="567" w:hanging="567"/>
        <w:jc w:val="both"/>
        <w:rPr>
          <w:rFonts w:ascii="Book Antiqua" w:hAnsi="Book Antiqua" w:cs="Arial"/>
        </w:rPr>
      </w:pPr>
      <w:r>
        <w:rPr>
          <w:rFonts w:ascii="Book Antiqua" w:hAnsi="Book Antiqua" w:cs="Arial"/>
        </w:rPr>
        <w:t>25</w:t>
      </w:r>
      <w:r w:rsidR="00FC193E">
        <w:rPr>
          <w:rFonts w:ascii="Book Antiqua" w:hAnsi="Book Antiqua" w:cs="Arial"/>
        </w:rPr>
        <w:t>.</w:t>
      </w:r>
      <w:r w:rsidR="00FC193E">
        <w:rPr>
          <w:rFonts w:ascii="Book Antiqua" w:hAnsi="Book Antiqua" w:cs="Arial"/>
        </w:rPr>
        <w:tab/>
      </w:r>
      <w:r w:rsidR="00BE06FA">
        <w:rPr>
          <w:rFonts w:ascii="Book Antiqua" w:hAnsi="Book Antiqua" w:cs="Arial"/>
        </w:rPr>
        <w:t xml:space="preserve">Turning to the requirement in paragraph 399A of social and cultural integration, the claimant had spent 24 out of his 25 years of life in the UK (having arrived in the UK when he was 1 year old).  He had never left the UK.  He identified as “black British”.  He had no real links with Nigeria.  He lived with his mother </w:t>
      </w:r>
      <w:r>
        <w:rPr>
          <w:rFonts w:ascii="Book Antiqua" w:hAnsi="Book Antiqua" w:cs="Arial"/>
        </w:rPr>
        <w:t>until</w:t>
      </w:r>
      <w:r w:rsidR="00BE06FA">
        <w:rPr>
          <w:rFonts w:ascii="Book Antiqua" w:hAnsi="Book Antiqua" w:cs="Arial"/>
        </w:rPr>
        <w:t xml:space="preserve"> he was 15 but </w:t>
      </w:r>
      <w:r w:rsidR="00BA07C0">
        <w:rPr>
          <w:rFonts w:ascii="Book Antiqua" w:hAnsi="Book Antiqua" w:cs="Arial"/>
        </w:rPr>
        <w:t>s</w:t>
      </w:r>
      <w:r w:rsidR="00BE06FA">
        <w:rPr>
          <w:rFonts w:ascii="Book Antiqua" w:hAnsi="Book Antiqua" w:cs="Arial"/>
        </w:rPr>
        <w:t xml:space="preserve">he </w:t>
      </w:r>
      <w:r w:rsidR="00BA07C0">
        <w:rPr>
          <w:rFonts w:ascii="Book Antiqua" w:hAnsi="Book Antiqua" w:cs="Arial"/>
        </w:rPr>
        <w:t>could scarcely be</w:t>
      </w:r>
      <w:r w:rsidR="00BE06FA">
        <w:rPr>
          <w:rFonts w:ascii="Book Antiqua" w:hAnsi="Book Antiqua" w:cs="Arial"/>
        </w:rPr>
        <w:t xml:space="preserve"> </w:t>
      </w:r>
      <w:r w:rsidR="0036459A">
        <w:rPr>
          <w:rFonts w:ascii="Book Antiqua" w:hAnsi="Book Antiqua" w:cs="Arial"/>
        </w:rPr>
        <w:t xml:space="preserve">said to have </w:t>
      </w:r>
      <w:r w:rsidR="00BE06FA">
        <w:rPr>
          <w:rFonts w:ascii="Book Antiqua" w:hAnsi="Book Antiqua" w:cs="Arial"/>
        </w:rPr>
        <w:t xml:space="preserve">taught </w:t>
      </w:r>
      <w:r w:rsidR="0036459A">
        <w:rPr>
          <w:rFonts w:ascii="Book Antiqua" w:hAnsi="Book Antiqua" w:cs="Arial"/>
        </w:rPr>
        <w:t xml:space="preserve">him </w:t>
      </w:r>
      <w:r w:rsidR="00BE06FA">
        <w:rPr>
          <w:rFonts w:ascii="Book Antiqua" w:hAnsi="Book Antiqua" w:cs="Arial"/>
        </w:rPr>
        <w:t xml:space="preserve">to </w:t>
      </w:r>
      <w:r w:rsidR="006E34A9">
        <w:rPr>
          <w:rFonts w:ascii="Book Antiqua" w:hAnsi="Book Antiqua" w:cs="Arial"/>
        </w:rPr>
        <w:t xml:space="preserve">love </w:t>
      </w:r>
      <w:r w:rsidR="00BE06FA">
        <w:rPr>
          <w:rFonts w:ascii="Book Antiqua" w:hAnsi="Book Antiqua" w:cs="Arial"/>
        </w:rPr>
        <w:t xml:space="preserve">his country of nationality since she was abusive.  He had worked before he began his offending.  To the extent his character and conduct were anti-social, it was the strong view of the experts and the independent social worker Peter Horrocks that the claimant was a product of the UK system and </w:t>
      </w:r>
      <w:r>
        <w:rPr>
          <w:rFonts w:ascii="Book Antiqua" w:hAnsi="Book Antiqua" w:cs="Arial"/>
        </w:rPr>
        <w:t>it had</w:t>
      </w:r>
      <w:r w:rsidR="00BE06FA">
        <w:rPr>
          <w:rFonts w:ascii="Book Antiqua" w:hAnsi="Book Antiqua" w:cs="Arial"/>
        </w:rPr>
        <w:t xml:space="preserve"> failed him, by failing to take him into care earlier in his life.</w:t>
      </w:r>
    </w:p>
    <w:p w:rsidR="00BE06FA" w:rsidRDefault="00C80B86" w:rsidP="00D97FE6">
      <w:pPr>
        <w:spacing w:before="160"/>
        <w:ind w:left="567" w:hanging="567"/>
        <w:jc w:val="both"/>
        <w:rPr>
          <w:rFonts w:ascii="Book Antiqua" w:hAnsi="Book Antiqua" w:cs="Arial"/>
        </w:rPr>
      </w:pPr>
      <w:r>
        <w:rPr>
          <w:rFonts w:ascii="Book Antiqua" w:hAnsi="Book Antiqua" w:cs="Arial"/>
        </w:rPr>
        <w:t>26</w:t>
      </w:r>
      <w:r w:rsidR="00BE06FA">
        <w:rPr>
          <w:rFonts w:ascii="Book Antiqua" w:hAnsi="Book Antiqua" w:cs="Arial"/>
        </w:rPr>
        <w:t>.</w:t>
      </w:r>
      <w:r w:rsidR="00BE06FA">
        <w:rPr>
          <w:rFonts w:ascii="Book Antiqua" w:hAnsi="Book Antiqua" w:cs="Arial"/>
        </w:rPr>
        <w:tab/>
        <w:t xml:space="preserve">The claimant’s efforts to get his life back together again since he was released from immigration detention </w:t>
      </w:r>
      <w:r>
        <w:rPr>
          <w:rFonts w:ascii="Book Antiqua" w:hAnsi="Book Antiqua" w:cs="Arial"/>
        </w:rPr>
        <w:t>should</w:t>
      </w:r>
      <w:r w:rsidR="00BE06FA">
        <w:rPr>
          <w:rFonts w:ascii="Book Antiqua" w:hAnsi="Book Antiqua" w:cs="Arial"/>
        </w:rPr>
        <w:t xml:space="preserve"> also be weighed in his favour.  </w:t>
      </w:r>
    </w:p>
    <w:p w:rsidR="00BE06FA" w:rsidRDefault="00C80B86" w:rsidP="00D97FE6">
      <w:pPr>
        <w:spacing w:before="160"/>
        <w:ind w:left="567" w:hanging="567"/>
        <w:jc w:val="both"/>
        <w:rPr>
          <w:rFonts w:ascii="Book Antiqua" w:hAnsi="Book Antiqua" w:cs="Arial"/>
        </w:rPr>
      </w:pPr>
      <w:r>
        <w:rPr>
          <w:rFonts w:ascii="Book Antiqua" w:hAnsi="Book Antiqua" w:cs="Arial"/>
        </w:rPr>
        <w:t>27</w:t>
      </w:r>
      <w:r w:rsidR="00BE06FA">
        <w:rPr>
          <w:rFonts w:ascii="Book Antiqua" w:hAnsi="Book Antiqua" w:cs="Arial"/>
        </w:rPr>
        <w:t>.</w:t>
      </w:r>
      <w:r w:rsidR="00BE06FA">
        <w:rPr>
          <w:rFonts w:ascii="Book Antiqua" w:hAnsi="Book Antiqua" w:cs="Arial"/>
        </w:rPr>
        <w:tab/>
        <w:t xml:space="preserve">As regards very significant obstacles on integrating back in Nigeria, there would be difficulties he would face of </w:t>
      </w:r>
      <w:r>
        <w:rPr>
          <w:rFonts w:ascii="Book Antiqua" w:hAnsi="Book Antiqua" w:cs="Arial"/>
        </w:rPr>
        <w:t>obtaining</w:t>
      </w:r>
      <w:r w:rsidR="00BE06FA">
        <w:rPr>
          <w:rFonts w:ascii="Book Antiqua" w:hAnsi="Book Antiqua" w:cs="Arial"/>
        </w:rPr>
        <w:t xml:space="preserve"> work, having to deal with a </w:t>
      </w:r>
      <w:r>
        <w:rPr>
          <w:rFonts w:ascii="Book Antiqua" w:hAnsi="Book Antiqua" w:cs="Arial"/>
        </w:rPr>
        <w:t>country</w:t>
      </w:r>
      <w:r w:rsidR="00BE06FA">
        <w:rPr>
          <w:rFonts w:ascii="Book Antiqua" w:hAnsi="Book Antiqua" w:cs="Arial"/>
        </w:rPr>
        <w:t xml:space="preserve"> which was not his home, having no friends or family there.  He did not have a network of family or friends in the UK so finding such in Nigeria would be that much more difficult.  His </w:t>
      </w:r>
      <w:r w:rsidR="003370F1">
        <w:rPr>
          <w:rFonts w:ascii="Book Antiqua" w:hAnsi="Book Antiqua" w:cs="Arial"/>
        </w:rPr>
        <w:t>psychological/</w:t>
      </w:r>
      <w:r w:rsidR="00BE06FA">
        <w:rPr>
          <w:rFonts w:ascii="Book Antiqua" w:hAnsi="Book Antiqua" w:cs="Arial"/>
        </w:rPr>
        <w:t xml:space="preserve">mental health problems would prevent him from being able to access health services.  He would be re-traumatised.  </w:t>
      </w:r>
    </w:p>
    <w:p w:rsidR="00BE06FA" w:rsidRDefault="00C80B86" w:rsidP="00D97FE6">
      <w:pPr>
        <w:spacing w:before="160"/>
        <w:ind w:left="567" w:hanging="567"/>
        <w:jc w:val="both"/>
        <w:rPr>
          <w:rFonts w:ascii="Book Antiqua" w:hAnsi="Book Antiqua" w:cs="Arial"/>
        </w:rPr>
      </w:pPr>
      <w:r>
        <w:rPr>
          <w:rFonts w:ascii="Book Antiqua" w:hAnsi="Book Antiqua" w:cs="Arial"/>
        </w:rPr>
        <w:t>28</w:t>
      </w:r>
      <w:r w:rsidR="00BE06FA">
        <w:rPr>
          <w:rFonts w:ascii="Book Antiqua" w:hAnsi="Book Antiqua" w:cs="Arial"/>
        </w:rPr>
        <w:t>.</w:t>
      </w:r>
      <w:r w:rsidR="00BE06FA">
        <w:rPr>
          <w:rFonts w:ascii="Book Antiqua" w:hAnsi="Book Antiqua" w:cs="Arial"/>
        </w:rPr>
        <w:tab/>
      </w:r>
      <w:r w:rsidR="00691269">
        <w:rPr>
          <w:rFonts w:ascii="Book Antiqua" w:hAnsi="Book Antiqua" w:cs="Arial"/>
        </w:rPr>
        <w:t>Ms Moffatt submitted that even if I were to conclude that the cla</w:t>
      </w:r>
      <w:r w:rsidR="006E34A9">
        <w:rPr>
          <w:rFonts w:ascii="Book Antiqua" w:hAnsi="Book Antiqua" w:cs="Arial"/>
        </w:rPr>
        <w:t>i</w:t>
      </w:r>
      <w:r w:rsidR="00691269">
        <w:rPr>
          <w:rFonts w:ascii="Book Antiqua" w:hAnsi="Book Antiqua" w:cs="Arial"/>
        </w:rPr>
        <w:t xml:space="preserve">mant does not meet the Rules, there </w:t>
      </w:r>
      <w:r>
        <w:rPr>
          <w:rFonts w:ascii="Book Antiqua" w:hAnsi="Book Antiqua" w:cs="Arial"/>
        </w:rPr>
        <w:t>were</w:t>
      </w:r>
      <w:r w:rsidR="00691269">
        <w:rPr>
          <w:rFonts w:ascii="Book Antiqua" w:hAnsi="Book Antiqua" w:cs="Arial"/>
        </w:rPr>
        <w:t xml:space="preserve"> </w:t>
      </w:r>
      <w:r>
        <w:rPr>
          <w:rFonts w:ascii="Book Antiqua" w:hAnsi="Book Antiqua" w:cs="Arial"/>
        </w:rPr>
        <w:t>clearly</w:t>
      </w:r>
      <w:r w:rsidR="00691269">
        <w:rPr>
          <w:rFonts w:ascii="Book Antiqua" w:hAnsi="Book Antiqua" w:cs="Arial"/>
        </w:rPr>
        <w:t xml:space="preserve"> very compelling circumstances in his case, including </w:t>
      </w:r>
      <w:r>
        <w:rPr>
          <w:rFonts w:ascii="Book Antiqua" w:hAnsi="Book Antiqua" w:cs="Arial"/>
        </w:rPr>
        <w:t>the</w:t>
      </w:r>
      <w:r w:rsidR="00691269">
        <w:rPr>
          <w:rFonts w:ascii="Book Antiqua" w:hAnsi="Book Antiqua" w:cs="Arial"/>
        </w:rPr>
        <w:t xml:space="preserve"> culpability of the Home Office for its </w:t>
      </w:r>
      <w:r>
        <w:rPr>
          <w:rFonts w:ascii="Book Antiqua" w:hAnsi="Book Antiqua" w:cs="Arial"/>
        </w:rPr>
        <w:t>delays</w:t>
      </w:r>
      <w:r w:rsidR="00691269">
        <w:rPr>
          <w:rFonts w:ascii="Book Antiqua" w:hAnsi="Book Antiqua" w:cs="Arial"/>
        </w:rPr>
        <w:t xml:space="preserve"> in making a decision on his case.</w:t>
      </w:r>
    </w:p>
    <w:p w:rsidR="00691269" w:rsidRDefault="00C80B86" w:rsidP="00D97FE6">
      <w:pPr>
        <w:spacing w:before="160"/>
        <w:ind w:left="567" w:hanging="567"/>
        <w:jc w:val="both"/>
        <w:rPr>
          <w:rFonts w:ascii="Book Antiqua" w:hAnsi="Book Antiqua" w:cs="Arial"/>
        </w:rPr>
      </w:pPr>
      <w:r>
        <w:rPr>
          <w:rFonts w:ascii="Book Antiqua" w:hAnsi="Book Antiqua" w:cs="Arial"/>
        </w:rPr>
        <w:t>29</w:t>
      </w:r>
      <w:r w:rsidR="00691269">
        <w:rPr>
          <w:rFonts w:ascii="Book Antiqua" w:hAnsi="Book Antiqua" w:cs="Arial"/>
        </w:rPr>
        <w:t>.</w:t>
      </w:r>
      <w:r w:rsidR="00691269">
        <w:rPr>
          <w:rFonts w:ascii="Book Antiqua" w:hAnsi="Book Antiqua" w:cs="Arial"/>
        </w:rPr>
        <w:tab/>
        <w:t xml:space="preserve">Mr Wilding submitted that </w:t>
      </w:r>
      <w:r>
        <w:rPr>
          <w:rFonts w:ascii="Book Antiqua" w:hAnsi="Book Antiqua" w:cs="Arial"/>
        </w:rPr>
        <w:t>it would</w:t>
      </w:r>
      <w:r w:rsidR="00691269">
        <w:rPr>
          <w:rFonts w:ascii="Book Antiqua" w:hAnsi="Book Antiqua" w:cs="Arial"/>
        </w:rPr>
        <w:t xml:space="preserve"> be </w:t>
      </w:r>
      <w:r>
        <w:rPr>
          <w:rFonts w:ascii="Book Antiqua" w:hAnsi="Book Antiqua" w:cs="Arial"/>
        </w:rPr>
        <w:t>wrong</w:t>
      </w:r>
      <w:r w:rsidR="00691269">
        <w:rPr>
          <w:rFonts w:ascii="Book Antiqua" w:hAnsi="Book Antiqua" w:cs="Arial"/>
        </w:rPr>
        <w:t xml:space="preserve"> to consider that DP5/96 was the equivalent of a non-discretionary policy.  It </w:t>
      </w:r>
      <w:r w:rsidR="00FC6CA9">
        <w:rPr>
          <w:rFonts w:ascii="Book Antiqua" w:hAnsi="Book Antiqua" w:cs="Arial"/>
        </w:rPr>
        <w:t>was</w:t>
      </w:r>
      <w:r w:rsidR="00691269">
        <w:rPr>
          <w:rFonts w:ascii="Book Antiqua" w:hAnsi="Book Antiqua" w:cs="Arial"/>
        </w:rPr>
        <w:t xml:space="preserve"> </w:t>
      </w:r>
      <w:r>
        <w:rPr>
          <w:rFonts w:ascii="Book Antiqua" w:hAnsi="Book Antiqua" w:cs="Arial"/>
        </w:rPr>
        <w:t>clear</w:t>
      </w:r>
      <w:r w:rsidR="00691269">
        <w:rPr>
          <w:rFonts w:ascii="Book Antiqua" w:hAnsi="Book Antiqua" w:cs="Arial"/>
        </w:rPr>
        <w:t xml:space="preserve"> from </w:t>
      </w:r>
      <w:r w:rsidR="00691269" w:rsidRPr="00691269">
        <w:rPr>
          <w:rFonts w:ascii="Book Antiqua" w:hAnsi="Book Antiqua" w:cs="Arial"/>
          <w:b/>
          <w:u w:val="single"/>
        </w:rPr>
        <w:t>NF</w:t>
      </w:r>
      <w:r w:rsidR="00691269" w:rsidRPr="00691269">
        <w:rPr>
          <w:rFonts w:ascii="Book Antiqua" w:hAnsi="Book Antiqua" w:cs="Arial"/>
          <w:b/>
        </w:rPr>
        <w:t xml:space="preserve"> (Ghana)</w:t>
      </w:r>
      <w:r w:rsidR="00691269">
        <w:rPr>
          <w:rFonts w:ascii="Book Antiqua" w:hAnsi="Book Antiqua" w:cs="Arial"/>
        </w:rPr>
        <w:t xml:space="preserve"> </w:t>
      </w:r>
      <w:r w:rsidR="0036459A">
        <w:rPr>
          <w:rFonts w:ascii="Book Antiqua" w:hAnsi="Book Antiqua" w:cs="Arial"/>
        </w:rPr>
        <w:t xml:space="preserve">[2008] EWCA Civ 906 </w:t>
      </w:r>
      <w:r w:rsidR="00691269">
        <w:rPr>
          <w:rFonts w:ascii="Book Antiqua" w:hAnsi="Book Antiqua" w:cs="Arial"/>
        </w:rPr>
        <w:t xml:space="preserve">that the SSHD </w:t>
      </w:r>
      <w:r w:rsidR="0036459A">
        <w:rPr>
          <w:rFonts w:ascii="Book Antiqua" w:hAnsi="Book Antiqua" w:cs="Arial"/>
        </w:rPr>
        <w:t xml:space="preserve">should start from a presumption that ILR should be given and </w:t>
      </w:r>
      <w:r w:rsidR="00691269">
        <w:rPr>
          <w:rFonts w:ascii="Book Antiqua" w:hAnsi="Book Antiqua" w:cs="Arial"/>
        </w:rPr>
        <w:t xml:space="preserve">had to consider a number of factors (six in total) </w:t>
      </w:r>
      <w:r w:rsidR="0036459A">
        <w:rPr>
          <w:rFonts w:ascii="Book Antiqua" w:hAnsi="Book Antiqua" w:cs="Arial"/>
        </w:rPr>
        <w:t xml:space="preserve">in </w:t>
      </w:r>
      <w:r w:rsidR="00691269">
        <w:rPr>
          <w:rFonts w:ascii="Book Antiqua" w:hAnsi="Book Antiqua" w:cs="Arial"/>
        </w:rPr>
        <w:t xml:space="preserve">exercise </w:t>
      </w:r>
      <w:r w:rsidR="0036459A">
        <w:rPr>
          <w:rFonts w:ascii="Book Antiqua" w:hAnsi="Book Antiqua" w:cs="Arial"/>
        </w:rPr>
        <w:t>of her</w:t>
      </w:r>
      <w:r w:rsidR="00691269">
        <w:rPr>
          <w:rFonts w:ascii="Book Antiqua" w:hAnsi="Book Antiqua" w:cs="Arial"/>
        </w:rPr>
        <w:t xml:space="preserve"> discretion.</w:t>
      </w:r>
    </w:p>
    <w:p w:rsidR="00691269" w:rsidRPr="00691269" w:rsidRDefault="00691269" w:rsidP="00D97FE6">
      <w:pPr>
        <w:spacing w:before="160"/>
        <w:jc w:val="both"/>
        <w:rPr>
          <w:rFonts w:ascii="Book Antiqua" w:hAnsi="Book Antiqua" w:cs="Arial"/>
          <w:b/>
          <w:u w:val="single"/>
        </w:rPr>
      </w:pPr>
      <w:r w:rsidRPr="00691269">
        <w:rPr>
          <w:rFonts w:ascii="Book Antiqua" w:hAnsi="Book Antiqua" w:cs="Arial"/>
          <w:b/>
          <w:u w:val="single"/>
        </w:rPr>
        <w:t xml:space="preserve">My decision </w:t>
      </w:r>
    </w:p>
    <w:p w:rsidR="00691269" w:rsidRDefault="00C80B86" w:rsidP="00D97FE6">
      <w:pPr>
        <w:spacing w:before="160"/>
        <w:ind w:left="567" w:hanging="567"/>
        <w:jc w:val="both"/>
        <w:rPr>
          <w:rFonts w:ascii="Book Antiqua" w:hAnsi="Book Antiqua" w:cs="Arial"/>
        </w:rPr>
      </w:pPr>
      <w:r>
        <w:rPr>
          <w:rFonts w:ascii="Book Antiqua" w:hAnsi="Book Antiqua" w:cs="Arial"/>
        </w:rPr>
        <w:t>30</w:t>
      </w:r>
      <w:r w:rsidR="00691269">
        <w:rPr>
          <w:rFonts w:ascii="Book Antiqua" w:hAnsi="Book Antiqua" w:cs="Arial"/>
        </w:rPr>
        <w:t>.</w:t>
      </w:r>
      <w:r w:rsidR="00691269">
        <w:rPr>
          <w:rFonts w:ascii="Book Antiqua" w:hAnsi="Book Antiqua" w:cs="Arial"/>
        </w:rPr>
        <w:tab/>
      </w:r>
      <w:r w:rsidR="001B29C0">
        <w:rPr>
          <w:rFonts w:ascii="Book Antiqua" w:hAnsi="Book Antiqua" w:cs="Arial"/>
        </w:rPr>
        <w:t xml:space="preserve">I have to decide the claimant’s appeal in the light of all the evidence before me which includes a much </w:t>
      </w:r>
      <w:r>
        <w:rPr>
          <w:rFonts w:ascii="Book Antiqua" w:hAnsi="Book Antiqua" w:cs="Arial"/>
        </w:rPr>
        <w:t>greater</w:t>
      </w:r>
      <w:r w:rsidR="001B29C0">
        <w:rPr>
          <w:rFonts w:ascii="Book Antiqua" w:hAnsi="Book Antiqua" w:cs="Arial"/>
        </w:rPr>
        <w:t xml:space="preserve"> body of documentary evidence than has been before </w:t>
      </w:r>
      <w:r>
        <w:rPr>
          <w:rFonts w:ascii="Book Antiqua" w:hAnsi="Book Antiqua" w:cs="Arial"/>
        </w:rPr>
        <w:t>previous</w:t>
      </w:r>
      <w:r w:rsidR="001B29C0">
        <w:rPr>
          <w:rFonts w:ascii="Book Antiqua" w:hAnsi="Book Antiqua" w:cs="Arial"/>
        </w:rPr>
        <w:t xml:space="preserve"> </w:t>
      </w:r>
      <w:r>
        <w:rPr>
          <w:rFonts w:ascii="Book Antiqua" w:hAnsi="Book Antiqua" w:cs="Arial"/>
        </w:rPr>
        <w:t>judges</w:t>
      </w:r>
      <w:r w:rsidR="001B29C0">
        <w:rPr>
          <w:rFonts w:ascii="Book Antiqua" w:hAnsi="Book Antiqua" w:cs="Arial"/>
        </w:rPr>
        <w:t xml:space="preserve">.  I have also received oral evidence from the claimant.  </w:t>
      </w:r>
      <w:r w:rsidR="0036459A">
        <w:rPr>
          <w:rFonts w:ascii="Book Antiqua" w:hAnsi="Book Antiqua" w:cs="Arial"/>
        </w:rPr>
        <w:t xml:space="preserve">Most of </w:t>
      </w:r>
      <w:r w:rsidR="00005162">
        <w:rPr>
          <w:rFonts w:ascii="Book Antiqua" w:hAnsi="Book Antiqua" w:cs="Arial"/>
        </w:rPr>
        <w:t>his</w:t>
      </w:r>
      <w:r w:rsidR="0036459A">
        <w:rPr>
          <w:rFonts w:ascii="Book Antiqua" w:hAnsi="Book Antiqua" w:cs="Arial"/>
        </w:rPr>
        <w:t xml:space="preserve"> evidence, I observe, is uncontentious. </w:t>
      </w:r>
      <w:r w:rsidR="001B29C0">
        <w:rPr>
          <w:rFonts w:ascii="Book Antiqua" w:hAnsi="Book Antiqua" w:cs="Arial"/>
        </w:rPr>
        <w:t>I record that I have treated him as a vulnerable witness pursuant to the Joint Presidential Guidance Note of 2010, by virtue of his psychological</w:t>
      </w:r>
      <w:r w:rsidR="0036459A">
        <w:rPr>
          <w:rFonts w:ascii="Book Antiqua" w:hAnsi="Book Antiqua" w:cs="Arial"/>
        </w:rPr>
        <w:t xml:space="preserve">/mental </w:t>
      </w:r>
      <w:r w:rsidR="00005162">
        <w:rPr>
          <w:rFonts w:ascii="Book Antiqua" w:hAnsi="Book Antiqua" w:cs="Arial"/>
        </w:rPr>
        <w:t>health problems</w:t>
      </w:r>
      <w:r w:rsidR="001B29C0">
        <w:rPr>
          <w:rFonts w:ascii="Book Antiqua" w:hAnsi="Book Antiqua" w:cs="Arial"/>
        </w:rPr>
        <w:t>.</w:t>
      </w:r>
    </w:p>
    <w:p w:rsidR="001B29C0" w:rsidRDefault="00C80B86" w:rsidP="00D97FE6">
      <w:pPr>
        <w:spacing w:before="160"/>
        <w:ind w:left="567" w:hanging="567"/>
        <w:jc w:val="both"/>
        <w:rPr>
          <w:rFonts w:ascii="Book Antiqua" w:hAnsi="Book Antiqua" w:cs="Arial"/>
        </w:rPr>
      </w:pPr>
      <w:r>
        <w:rPr>
          <w:rFonts w:ascii="Book Antiqua" w:hAnsi="Book Antiqua" w:cs="Arial"/>
        </w:rPr>
        <w:t>31</w:t>
      </w:r>
      <w:r w:rsidR="001B29C0">
        <w:rPr>
          <w:rFonts w:ascii="Book Antiqua" w:hAnsi="Book Antiqua" w:cs="Arial"/>
        </w:rPr>
        <w:t>.</w:t>
      </w:r>
      <w:r w:rsidR="001B29C0">
        <w:rPr>
          <w:rFonts w:ascii="Book Antiqua" w:hAnsi="Book Antiqua" w:cs="Arial"/>
        </w:rPr>
        <w:tab/>
        <w:t>It is not in dispute that the claimant is a foreign criminal</w:t>
      </w:r>
      <w:r w:rsidR="003370F1">
        <w:rPr>
          <w:rFonts w:ascii="Book Antiqua" w:hAnsi="Book Antiqua" w:cs="Arial"/>
        </w:rPr>
        <w:t xml:space="preserve"> and that his sentences total 3 years 7 months</w:t>
      </w:r>
      <w:r w:rsidR="001B29C0">
        <w:rPr>
          <w:rFonts w:ascii="Book Antiqua" w:hAnsi="Book Antiqua" w:cs="Arial"/>
        </w:rPr>
        <w:t xml:space="preserve">.  </w:t>
      </w:r>
      <w:r w:rsidR="00252586">
        <w:rPr>
          <w:rFonts w:ascii="Book Antiqua" w:hAnsi="Book Antiqua" w:cs="Arial"/>
        </w:rPr>
        <w:t>Leaving</w:t>
      </w:r>
      <w:r w:rsidR="00725B1E">
        <w:rPr>
          <w:rFonts w:ascii="Book Antiqua" w:hAnsi="Book Antiqua" w:cs="Arial"/>
        </w:rPr>
        <w:t xml:space="preserve"> aside a </w:t>
      </w:r>
      <w:r w:rsidR="00252586">
        <w:rPr>
          <w:rFonts w:ascii="Book Antiqua" w:hAnsi="Book Antiqua" w:cs="Arial"/>
        </w:rPr>
        <w:t>sentence</w:t>
      </w:r>
      <w:r w:rsidR="00725B1E">
        <w:rPr>
          <w:rFonts w:ascii="Book Antiqua" w:hAnsi="Book Antiqua" w:cs="Arial"/>
        </w:rPr>
        <w:t xml:space="preserve"> in November 2015 of 7 months for having assaulted a fellow prisoner, when his mental health may have been a factor) h</w:t>
      </w:r>
      <w:r w:rsidR="001B29C0">
        <w:rPr>
          <w:rFonts w:ascii="Book Antiqua" w:hAnsi="Book Antiqua" w:cs="Arial"/>
        </w:rPr>
        <w:t xml:space="preserve">is latest </w:t>
      </w:r>
      <w:r w:rsidR="001B29C0">
        <w:rPr>
          <w:rFonts w:ascii="Book Antiqua" w:hAnsi="Book Antiqua" w:cs="Arial"/>
        </w:rPr>
        <w:lastRenderedPageBreak/>
        <w:t xml:space="preserve">conviction, on 22 August 2013, for robbery for which he received a sentence of fifteen </w:t>
      </w:r>
      <w:r>
        <w:rPr>
          <w:rFonts w:ascii="Book Antiqua" w:hAnsi="Book Antiqua" w:cs="Arial"/>
        </w:rPr>
        <w:t>months</w:t>
      </w:r>
      <w:r w:rsidR="001B29C0">
        <w:rPr>
          <w:rFonts w:ascii="Book Antiqua" w:hAnsi="Book Antiqua" w:cs="Arial"/>
        </w:rPr>
        <w:t>, means he falls within paragraph 398(</w:t>
      </w:r>
      <w:r w:rsidR="0036459A">
        <w:rPr>
          <w:rFonts w:ascii="Book Antiqua" w:hAnsi="Book Antiqua" w:cs="Arial"/>
        </w:rPr>
        <w:t>b</w:t>
      </w:r>
      <w:r w:rsidR="001B29C0">
        <w:rPr>
          <w:rFonts w:ascii="Book Antiqua" w:hAnsi="Book Antiqua" w:cs="Arial"/>
        </w:rPr>
        <w:t>) and so falls first to be considered under paragraph 399A.  Paragraph 399A has the effect of protecting a person from deportation if –</w:t>
      </w:r>
    </w:p>
    <w:p w:rsidR="001B29C0" w:rsidRDefault="001B29C0" w:rsidP="00D97FE6">
      <w:pPr>
        <w:spacing w:before="120"/>
        <w:ind w:left="1134" w:hanging="567"/>
        <w:jc w:val="both"/>
        <w:rPr>
          <w:rFonts w:ascii="Book Antiqua" w:hAnsi="Book Antiqua" w:cs="Arial"/>
        </w:rPr>
      </w:pPr>
      <w:r>
        <w:rPr>
          <w:rFonts w:ascii="Book Antiqua" w:hAnsi="Book Antiqua" w:cs="Arial"/>
        </w:rPr>
        <w:t>(a)</w:t>
      </w:r>
      <w:r>
        <w:rPr>
          <w:rFonts w:ascii="Book Antiqua" w:hAnsi="Book Antiqua" w:cs="Arial"/>
        </w:rPr>
        <w:tab/>
        <w:t>the person has been lawfully resident in the UK for most of his life;</w:t>
      </w:r>
    </w:p>
    <w:p w:rsidR="001B29C0" w:rsidRDefault="001B29C0" w:rsidP="00D97FE6">
      <w:pPr>
        <w:spacing w:before="120"/>
        <w:ind w:left="1134" w:hanging="567"/>
        <w:jc w:val="both"/>
        <w:rPr>
          <w:rFonts w:ascii="Book Antiqua" w:hAnsi="Book Antiqua" w:cs="Arial"/>
        </w:rPr>
      </w:pPr>
      <w:r>
        <w:rPr>
          <w:rFonts w:ascii="Book Antiqua" w:hAnsi="Book Antiqua" w:cs="Arial"/>
        </w:rPr>
        <w:t>(b)</w:t>
      </w:r>
      <w:r>
        <w:rPr>
          <w:rFonts w:ascii="Book Antiqua" w:hAnsi="Book Antiqua" w:cs="Arial"/>
        </w:rPr>
        <w:tab/>
        <w:t xml:space="preserve">he is socially and culturally integrated in the UK; and </w:t>
      </w:r>
    </w:p>
    <w:p w:rsidR="001B29C0" w:rsidRDefault="001B29C0" w:rsidP="00D97FE6">
      <w:pPr>
        <w:spacing w:before="120"/>
        <w:ind w:left="1134" w:hanging="567"/>
        <w:jc w:val="both"/>
        <w:rPr>
          <w:rFonts w:ascii="Book Antiqua" w:hAnsi="Book Antiqua" w:cs="Arial"/>
        </w:rPr>
      </w:pPr>
      <w:r>
        <w:rPr>
          <w:rFonts w:ascii="Book Antiqua" w:hAnsi="Book Antiqua" w:cs="Arial"/>
        </w:rPr>
        <w:t>(c)</w:t>
      </w:r>
      <w:r>
        <w:rPr>
          <w:rFonts w:ascii="Book Antiqua" w:hAnsi="Book Antiqua" w:cs="Arial"/>
        </w:rPr>
        <w:tab/>
        <w:t>there would be very significant obstacles to his integration into the country to which it is proposed he is deported.</w:t>
      </w:r>
    </w:p>
    <w:p w:rsidR="009E156B" w:rsidRDefault="00BA07C0" w:rsidP="00D97FE6">
      <w:pPr>
        <w:spacing w:before="160"/>
        <w:ind w:left="567"/>
        <w:jc w:val="both"/>
      </w:pPr>
      <w:r>
        <w:rPr>
          <w:rFonts w:ascii="Book Antiqua" w:hAnsi="Book Antiqua" w:cs="Arial"/>
        </w:rPr>
        <w:t xml:space="preserve">I shall deal with each subparagraph in turn. </w:t>
      </w:r>
      <w:r w:rsidR="00C56E8E">
        <w:rPr>
          <w:rFonts w:ascii="Book Antiqua" w:hAnsi="Book Antiqua" w:cs="Arial"/>
        </w:rPr>
        <w:t xml:space="preserve">In addition to </w:t>
      </w:r>
      <w:r w:rsidR="00C56E8E" w:rsidRPr="009E53FF">
        <w:rPr>
          <w:rFonts w:ascii="Book Antiqua" w:hAnsi="Book Antiqua" w:cs="Arial"/>
          <w:b/>
        </w:rPr>
        <w:t>S</w:t>
      </w:r>
      <w:r w:rsidR="00C56E8E">
        <w:rPr>
          <w:rFonts w:ascii="Book Antiqua" w:hAnsi="Book Antiqua" w:cs="Arial"/>
        </w:rPr>
        <w:t xml:space="preserve">C, I have had regard to the reported decision of the Upper Tribunal in </w:t>
      </w:r>
      <w:r w:rsidR="00C56E8E">
        <w:rPr>
          <w:rFonts w:ascii="Book Antiqua" w:hAnsi="Book Antiqua"/>
          <w:color w:val="000000"/>
        </w:rPr>
        <w:t>(Deportation: "lawfully resident": s.5(1)) [2018] UKUT 199 (IAC)</w:t>
      </w:r>
      <w:r w:rsidR="009E53FF">
        <w:rPr>
          <w:rFonts w:ascii="Book Antiqua" w:hAnsi="Book Antiqua"/>
          <w:color w:val="000000"/>
        </w:rPr>
        <w:t xml:space="preserve">. As the panel in this case observes at </w:t>
      </w:r>
      <w:r w:rsidR="009E156B">
        <w:rPr>
          <w:rFonts w:ascii="Book Antiqua" w:hAnsi="Book Antiqua"/>
          <w:color w:val="000000"/>
        </w:rPr>
        <w:t>para 15</w:t>
      </w:r>
      <w:r w:rsidR="009E53FF">
        <w:rPr>
          <w:rFonts w:ascii="Book Antiqua" w:hAnsi="Book Antiqua"/>
          <w:color w:val="000000"/>
        </w:rPr>
        <w:t xml:space="preserve">, in order </w:t>
      </w:r>
      <w:r w:rsidR="009E156B">
        <w:rPr>
          <w:rFonts w:ascii="Book Antiqua" w:hAnsi="Book Antiqua"/>
          <w:color w:val="000000"/>
        </w:rPr>
        <w:t>for the exception in paragraph 399A or Section 117C to apply, an applicant needs to establish all three elements.</w:t>
      </w:r>
      <w:r w:rsidR="009E156B">
        <w:rPr>
          <w:rStyle w:val="apple-converted-space"/>
          <w:rFonts w:ascii="Book Antiqua" w:hAnsi="Book Antiqua"/>
          <w:color w:val="000000"/>
        </w:rPr>
        <w:t> </w:t>
      </w:r>
    </w:p>
    <w:p w:rsidR="001B29C0" w:rsidRPr="00BA07C0" w:rsidRDefault="00BA07C0" w:rsidP="00D97FE6">
      <w:pPr>
        <w:spacing w:before="160"/>
        <w:ind w:left="567"/>
        <w:jc w:val="both"/>
        <w:rPr>
          <w:rFonts w:ascii="Book Antiqua" w:hAnsi="Book Antiqua" w:cs="Arial"/>
          <w:b/>
        </w:rPr>
      </w:pPr>
      <w:r w:rsidRPr="00BA07C0">
        <w:rPr>
          <w:rFonts w:ascii="Book Antiqua" w:hAnsi="Book Antiqua" w:cs="Arial"/>
          <w:b/>
        </w:rPr>
        <w:t>“…lawfully resident in the UK for most of his life”</w:t>
      </w:r>
    </w:p>
    <w:p w:rsidR="001B29C0" w:rsidRDefault="00C80B86" w:rsidP="00D97FE6">
      <w:pPr>
        <w:spacing w:before="160"/>
        <w:ind w:left="567" w:hanging="567"/>
        <w:jc w:val="both"/>
        <w:rPr>
          <w:rFonts w:ascii="Book Antiqua" w:hAnsi="Book Antiqua" w:cs="Arial"/>
        </w:rPr>
      </w:pPr>
      <w:r>
        <w:rPr>
          <w:rFonts w:ascii="Book Antiqua" w:hAnsi="Book Antiqua" w:cs="Arial"/>
        </w:rPr>
        <w:t>32</w:t>
      </w:r>
      <w:r w:rsidR="001B29C0">
        <w:rPr>
          <w:rFonts w:ascii="Book Antiqua" w:hAnsi="Book Antiqua" w:cs="Arial"/>
        </w:rPr>
        <w:t>.</w:t>
      </w:r>
      <w:r w:rsidR="001B29C0">
        <w:rPr>
          <w:rFonts w:ascii="Book Antiqua" w:hAnsi="Book Antiqua" w:cs="Arial"/>
        </w:rPr>
        <w:tab/>
        <w:t xml:space="preserve">Despite Ms Moffatt’s valiant efforts to argue otherwise, I am not persuaded that the claimant has been lawfully resident in the UK for most of his life.  </w:t>
      </w:r>
      <w:r w:rsidR="003370F1">
        <w:rPr>
          <w:rFonts w:ascii="Book Antiqua" w:hAnsi="Book Antiqua" w:cs="Arial"/>
        </w:rPr>
        <w:t>In relation to the phrase ‘most of his life’ I have to adopt a quantitat</w:t>
      </w:r>
      <w:r w:rsidR="006D5C7F">
        <w:rPr>
          <w:rFonts w:ascii="Book Antiqua" w:hAnsi="Book Antiqua" w:cs="Arial"/>
        </w:rPr>
        <w:t>iv</w:t>
      </w:r>
      <w:r w:rsidR="003370F1">
        <w:rPr>
          <w:rFonts w:ascii="Book Antiqua" w:hAnsi="Book Antiqua" w:cs="Arial"/>
        </w:rPr>
        <w:t xml:space="preserve">e approach: see </w:t>
      </w:r>
      <w:r w:rsidR="003370F1" w:rsidRPr="003370F1">
        <w:rPr>
          <w:rFonts w:ascii="Book Antiqua" w:hAnsi="Book Antiqua" w:cs="Arial"/>
          <w:b/>
          <w:u w:val="single"/>
        </w:rPr>
        <w:t>AS</w:t>
      </w:r>
      <w:r w:rsidR="009F6BEE" w:rsidRPr="009F6BEE">
        <w:rPr>
          <w:rFonts w:ascii="Book Antiqua" w:hAnsi="Book Antiqua" w:cs="Arial"/>
          <w:b/>
        </w:rPr>
        <w:t xml:space="preserve"> </w:t>
      </w:r>
      <w:r w:rsidR="003370F1" w:rsidRPr="003370F1">
        <w:rPr>
          <w:rFonts w:ascii="Book Antiqua" w:hAnsi="Book Antiqua" w:cs="Arial"/>
          <w:b/>
        </w:rPr>
        <w:t>(Iran) v SSHD</w:t>
      </w:r>
      <w:r w:rsidR="003370F1">
        <w:rPr>
          <w:rFonts w:ascii="Book Antiqua" w:hAnsi="Book Antiqua" w:cs="Arial"/>
        </w:rPr>
        <w:t xml:space="preserve"> </w:t>
      </w:r>
      <w:r w:rsidR="00513FD1">
        <w:rPr>
          <w:rFonts w:ascii="Book Antiqua" w:hAnsi="Book Antiqua" w:cs="Arial"/>
        </w:rPr>
        <w:t xml:space="preserve">EWCA Civ </w:t>
      </w:r>
      <w:r w:rsidR="003370F1">
        <w:rPr>
          <w:rFonts w:ascii="Book Antiqua" w:hAnsi="Book Antiqua" w:cs="Arial"/>
        </w:rPr>
        <w:t xml:space="preserve">[2017] 1284 and [53] of </w:t>
      </w:r>
      <w:r w:rsidR="003370F1" w:rsidRPr="003370F1">
        <w:rPr>
          <w:rFonts w:ascii="Book Antiqua" w:hAnsi="Book Antiqua" w:cs="Arial"/>
          <w:b/>
          <w:u w:val="single"/>
        </w:rPr>
        <w:t>SC</w:t>
      </w:r>
      <w:r w:rsidR="003370F1">
        <w:rPr>
          <w:rFonts w:ascii="Book Antiqua" w:hAnsi="Book Antiqua" w:cs="Arial"/>
        </w:rPr>
        <w:t xml:space="preserve">. </w:t>
      </w:r>
      <w:r w:rsidR="001B29C0">
        <w:rPr>
          <w:rFonts w:ascii="Book Antiqua" w:hAnsi="Book Antiqua" w:cs="Arial"/>
        </w:rPr>
        <w:t xml:space="preserve">He was born in October 1992 and is </w:t>
      </w:r>
      <w:r>
        <w:rPr>
          <w:rFonts w:ascii="Book Antiqua" w:hAnsi="Book Antiqua" w:cs="Arial"/>
        </w:rPr>
        <w:t>presently</w:t>
      </w:r>
      <w:r w:rsidR="001B29C0">
        <w:rPr>
          <w:rFonts w:ascii="Book Antiqua" w:hAnsi="Book Antiqua" w:cs="Arial"/>
        </w:rPr>
        <w:t xml:space="preserve"> aged 25.   Of the 24 years he has lived in the UK his period of lawful residence at best amounts to </w:t>
      </w:r>
      <w:r w:rsidR="00D84A2A">
        <w:rPr>
          <w:rFonts w:ascii="Book Antiqua" w:hAnsi="Book Antiqua" w:cs="Arial"/>
        </w:rPr>
        <w:t>less than 12 years</w:t>
      </w:r>
      <w:r w:rsidR="004D0621">
        <w:rPr>
          <w:rFonts w:ascii="Book Antiqua" w:hAnsi="Book Antiqua" w:cs="Arial"/>
        </w:rPr>
        <w:t xml:space="preserve">.  </w:t>
      </w:r>
      <w:r w:rsidR="001B29C0">
        <w:rPr>
          <w:rFonts w:ascii="Book Antiqua" w:hAnsi="Book Antiqua" w:cs="Arial"/>
        </w:rPr>
        <w:t xml:space="preserve">He was brought to the UK on 29 January 1994 by his mother on a visit visa </w:t>
      </w:r>
      <w:r>
        <w:rPr>
          <w:rFonts w:ascii="Book Antiqua" w:hAnsi="Book Antiqua" w:cs="Arial"/>
        </w:rPr>
        <w:t>valid</w:t>
      </w:r>
      <w:r w:rsidR="001B29C0">
        <w:rPr>
          <w:rFonts w:ascii="Book Antiqua" w:hAnsi="Book Antiqua" w:cs="Arial"/>
        </w:rPr>
        <w:t xml:space="preserve"> for six months.  She applied for asylum with the claimant as</w:t>
      </w:r>
      <w:r w:rsidR="003370F1">
        <w:rPr>
          <w:rFonts w:ascii="Book Antiqua" w:hAnsi="Book Antiqua" w:cs="Arial"/>
        </w:rPr>
        <w:t xml:space="preserve"> her dependant on 2 August 1994</w:t>
      </w:r>
      <w:r w:rsidR="001B29C0">
        <w:rPr>
          <w:rFonts w:ascii="Book Antiqua" w:hAnsi="Book Antiqua" w:cs="Arial"/>
        </w:rPr>
        <w:t xml:space="preserve">.  Their asylum claim was refused on 2 December 1994.  She became appeal rights exhausted on 24 July 1997.  On the authority of </w:t>
      </w:r>
      <w:r w:rsidR="001B29C0">
        <w:rPr>
          <w:rFonts w:ascii="Book Antiqua" w:hAnsi="Book Antiqua" w:cs="Arial"/>
          <w:b/>
          <w:u w:val="single"/>
        </w:rPr>
        <w:t>SC</w:t>
      </w:r>
      <w:r w:rsidR="001B29C0">
        <w:rPr>
          <w:rFonts w:ascii="Book Antiqua" w:hAnsi="Book Antiqua" w:cs="Arial"/>
        </w:rPr>
        <w:t xml:space="preserve"> the claimant can therefore add to his original six months of lawful residence a further two years </w:t>
      </w:r>
      <w:r>
        <w:rPr>
          <w:rFonts w:ascii="Book Antiqua" w:hAnsi="Book Antiqua" w:cs="Arial"/>
        </w:rPr>
        <w:t>eleven</w:t>
      </w:r>
      <w:r w:rsidR="001B29C0">
        <w:rPr>
          <w:rFonts w:ascii="Book Antiqua" w:hAnsi="Book Antiqua" w:cs="Arial"/>
        </w:rPr>
        <w:t xml:space="preserve"> months, making a total of three years five months.  On 12 October 2010 he was granted ILR, since when he has been lawfully resident for seven years eight months.  This means he has been lawfully resident for eleven years and one month.  To have been lawfully resident for most of his life he would have had to </w:t>
      </w:r>
      <w:r>
        <w:rPr>
          <w:rFonts w:ascii="Book Antiqua" w:hAnsi="Book Antiqua" w:cs="Arial"/>
        </w:rPr>
        <w:t>show</w:t>
      </w:r>
      <w:r w:rsidR="001B29C0">
        <w:rPr>
          <w:rFonts w:ascii="Book Antiqua" w:hAnsi="Book Antiqua" w:cs="Arial"/>
        </w:rPr>
        <w:t xml:space="preserve"> lawful residence of over twelve-and-a-half years.  </w:t>
      </w:r>
    </w:p>
    <w:p w:rsidR="001B29C0" w:rsidRDefault="00C80B86" w:rsidP="00D97FE6">
      <w:pPr>
        <w:spacing w:before="160"/>
        <w:ind w:left="567" w:hanging="567"/>
        <w:jc w:val="both"/>
        <w:rPr>
          <w:rFonts w:ascii="Book Antiqua" w:hAnsi="Book Antiqua" w:cs="Arial"/>
        </w:rPr>
      </w:pPr>
      <w:r>
        <w:rPr>
          <w:rFonts w:ascii="Book Antiqua" w:hAnsi="Book Antiqua" w:cs="Arial"/>
        </w:rPr>
        <w:t>33</w:t>
      </w:r>
      <w:r w:rsidR="001B29C0">
        <w:rPr>
          <w:rFonts w:ascii="Book Antiqua" w:hAnsi="Book Antiqua" w:cs="Arial"/>
        </w:rPr>
        <w:t>.</w:t>
      </w:r>
      <w:r w:rsidR="001B29C0">
        <w:rPr>
          <w:rFonts w:ascii="Book Antiqua" w:hAnsi="Book Antiqua" w:cs="Arial"/>
        </w:rPr>
        <w:tab/>
        <w:t>Ms Moffatt sought to argue that upon becoming appeal rights exhausted in July 1997 the claimant has to be considered to have remained in the UK on (deemed) temporary admission and that</w:t>
      </w:r>
      <w:r w:rsidR="00725B1E">
        <w:rPr>
          <w:rFonts w:ascii="Book Antiqua" w:hAnsi="Book Antiqua" w:cs="Arial"/>
        </w:rPr>
        <w:t>,</w:t>
      </w:r>
      <w:r w:rsidR="001B29C0">
        <w:rPr>
          <w:rFonts w:ascii="Book Antiqua" w:hAnsi="Book Antiqua" w:cs="Arial"/>
        </w:rPr>
        <w:t xml:space="preserve"> on a proper reading of </w:t>
      </w:r>
      <w:r w:rsidR="001B29C0">
        <w:rPr>
          <w:rFonts w:ascii="Book Antiqua" w:hAnsi="Book Antiqua" w:cs="Arial"/>
          <w:b/>
          <w:u w:val="single"/>
        </w:rPr>
        <w:t>SC</w:t>
      </w:r>
      <w:r w:rsidR="00725B1E" w:rsidRPr="00725B1E">
        <w:rPr>
          <w:rFonts w:ascii="Book Antiqua" w:hAnsi="Book Antiqua" w:cs="Arial"/>
          <w:b/>
        </w:rPr>
        <w:t>,</w:t>
      </w:r>
      <w:r w:rsidR="001B29C0">
        <w:rPr>
          <w:rFonts w:ascii="Book Antiqua" w:hAnsi="Book Antiqua" w:cs="Arial"/>
        </w:rPr>
        <w:t xml:space="preserve"> temporary admission constitutes lawful </w:t>
      </w:r>
      <w:r>
        <w:rPr>
          <w:rFonts w:ascii="Book Antiqua" w:hAnsi="Book Antiqua" w:cs="Arial"/>
        </w:rPr>
        <w:t>residence</w:t>
      </w:r>
      <w:r w:rsidR="001B29C0">
        <w:rPr>
          <w:rFonts w:ascii="Book Antiqua" w:hAnsi="Book Antiqua" w:cs="Arial"/>
        </w:rPr>
        <w:t xml:space="preserve"> even </w:t>
      </w:r>
      <w:r w:rsidR="004D0621">
        <w:rPr>
          <w:rFonts w:ascii="Book Antiqua" w:hAnsi="Book Antiqua" w:cs="Arial"/>
        </w:rPr>
        <w:t xml:space="preserve">outwith </w:t>
      </w:r>
      <w:r w:rsidR="00892906">
        <w:rPr>
          <w:rFonts w:ascii="Book Antiqua" w:hAnsi="Book Antiqua" w:cs="Arial"/>
        </w:rPr>
        <w:t xml:space="preserve">the context of an asylum claim.  However, in my </w:t>
      </w:r>
      <w:r>
        <w:rPr>
          <w:rFonts w:ascii="Book Antiqua" w:hAnsi="Book Antiqua" w:cs="Arial"/>
        </w:rPr>
        <w:t>judgement</w:t>
      </w:r>
      <w:r w:rsidR="00892906">
        <w:rPr>
          <w:rFonts w:ascii="Book Antiqua" w:hAnsi="Book Antiqua" w:cs="Arial"/>
        </w:rPr>
        <w:t xml:space="preserve"> the claimant had become an overstayer </w:t>
      </w:r>
      <w:r w:rsidR="00F40931">
        <w:rPr>
          <w:rFonts w:ascii="Book Antiqua" w:hAnsi="Book Antiqua" w:cs="Arial"/>
        </w:rPr>
        <w:t xml:space="preserve">by the time his mother claimed asylum.  </w:t>
      </w:r>
      <w:r w:rsidR="00D84A2A">
        <w:rPr>
          <w:rFonts w:ascii="Book Antiqua" w:hAnsi="Book Antiqua" w:cs="Arial"/>
        </w:rPr>
        <w:t>Even if that was not the case, t</w:t>
      </w:r>
      <w:r w:rsidR="00F40931">
        <w:rPr>
          <w:rFonts w:ascii="Book Antiqua" w:hAnsi="Book Antiqua" w:cs="Arial"/>
        </w:rPr>
        <w:t xml:space="preserve">he period of temporary admission which commenced on the date his mother claimed asylum came to an end on 24 July 1997 when he became appeal rights exhausted following refusal of his mother’s asylum claim.  Even if his mother had claimed asylum within the period of six months leave as a visitor, his stay in the UK became unlawful from </w:t>
      </w:r>
      <w:r w:rsidR="00C56E8E">
        <w:rPr>
          <w:rFonts w:ascii="Book Antiqua" w:hAnsi="Book Antiqua" w:cs="Arial"/>
        </w:rPr>
        <w:t>the 24 July 1997</w:t>
      </w:r>
      <w:r w:rsidR="00F40931">
        <w:rPr>
          <w:rFonts w:ascii="Book Antiqua" w:hAnsi="Book Antiqua" w:cs="Arial"/>
        </w:rPr>
        <w:t xml:space="preserve">.  </w:t>
      </w:r>
      <w:r w:rsidR="003E0953">
        <w:rPr>
          <w:rFonts w:ascii="Book Antiqua" w:hAnsi="Book Antiqua" w:cs="Arial"/>
        </w:rPr>
        <w:t xml:space="preserve">There are two reasons, both sufficient in themselves, why the claimant cannot construct a further period of lawful residence between this date and when he was granted ILR in October 2010. </w:t>
      </w:r>
      <w:r w:rsidR="004C395B">
        <w:rPr>
          <w:rFonts w:ascii="Book Antiqua" w:hAnsi="Book Antiqua" w:cs="Arial"/>
        </w:rPr>
        <w:t>The first, which I would accept is not beyond doubt, is</w:t>
      </w:r>
      <w:r w:rsidR="003E0953">
        <w:rPr>
          <w:rFonts w:ascii="Book Antiqua" w:hAnsi="Book Antiqua" w:cs="Arial"/>
        </w:rPr>
        <w:t xml:space="preserve"> that </w:t>
      </w:r>
      <w:r w:rsidR="00E03203" w:rsidRPr="00E03203">
        <w:rPr>
          <w:rFonts w:ascii="Book Antiqua" w:hAnsi="Book Antiqua"/>
          <w:color w:val="000000"/>
        </w:rPr>
        <w:t xml:space="preserve">in my view </w:t>
      </w:r>
      <w:r w:rsidR="003E0953">
        <w:rPr>
          <w:rFonts w:ascii="Book Antiqua" w:hAnsi="Book Antiqua" w:cs="Arial"/>
        </w:rPr>
        <w:t>t</w:t>
      </w:r>
      <w:r w:rsidR="00F40931">
        <w:rPr>
          <w:rFonts w:ascii="Book Antiqua" w:hAnsi="Book Antiqua" w:cs="Arial"/>
        </w:rPr>
        <w:t xml:space="preserve">he ratio of </w:t>
      </w:r>
      <w:r w:rsidR="00F40931">
        <w:rPr>
          <w:rFonts w:ascii="Book Antiqua" w:hAnsi="Book Antiqua" w:cs="Arial"/>
          <w:b/>
          <w:u w:val="single"/>
        </w:rPr>
        <w:t>SC</w:t>
      </w:r>
      <w:r w:rsidR="00F40931">
        <w:rPr>
          <w:rFonts w:ascii="Book Antiqua" w:hAnsi="Book Antiqua" w:cs="Arial"/>
        </w:rPr>
        <w:t xml:space="preserve"> concerns lawful residence accrued whilst a person has a pending asylum claim</w:t>
      </w:r>
      <w:r w:rsidR="003370F1">
        <w:rPr>
          <w:rFonts w:ascii="Book Antiqua" w:hAnsi="Book Antiqua" w:cs="Arial"/>
        </w:rPr>
        <w:t xml:space="preserve">: </w:t>
      </w:r>
      <w:r w:rsidR="003370F1">
        <w:rPr>
          <w:rFonts w:ascii="Book Antiqua" w:hAnsi="Book Antiqua" w:cs="Arial"/>
        </w:rPr>
        <w:lastRenderedPageBreak/>
        <w:t>see [57] (per Sir Ernest Ryder, SPT) and [73] (per Davis, LJ)</w:t>
      </w:r>
      <w:r w:rsidR="00F40931">
        <w:rPr>
          <w:rFonts w:ascii="Book Antiqua" w:hAnsi="Book Antiqua" w:cs="Arial"/>
        </w:rPr>
        <w:t xml:space="preserve">.  Its rationale </w:t>
      </w:r>
      <w:r w:rsidR="003370F1">
        <w:rPr>
          <w:rFonts w:ascii="Book Antiqua" w:hAnsi="Book Antiqua" w:cs="Arial"/>
        </w:rPr>
        <w:t>can only be</w:t>
      </w:r>
      <w:r w:rsidR="00F40931">
        <w:rPr>
          <w:rFonts w:ascii="Book Antiqua" w:hAnsi="Book Antiqua" w:cs="Arial"/>
        </w:rPr>
        <w:t xml:space="preserve"> that in order to ensure compliance with international obligations under the Refugee Convention, asylum applicants cannot be classed as in the UK unlawfully for the period whils</w:t>
      </w:r>
      <w:r w:rsidR="002D52A3">
        <w:rPr>
          <w:rFonts w:ascii="Book Antiqua" w:hAnsi="Book Antiqua" w:cs="Arial"/>
        </w:rPr>
        <w:t>t their asylum claim is pending.  O</w:t>
      </w:r>
      <w:r w:rsidR="00F40931">
        <w:rPr>
          <w:rFonts w:ascii="Book Antiqua" w:hAnsi="Book Antiqua" w:cs="Arial"/>
        </w:rPr>
        <w:t xml:space="preserve">nce </w:t>
      </w:r>
      <w:r w:rsidR="004C395B">
        <w:rPr>
          <w:rFonts w:ascii="Book Antiqua" w:hAnsi="Book Antiqua" w:cs="Arial"/>
        </w:rPr>
        <w:t xml:space="preserve">the claimant’s </w:t>
      </w:r>
      <w:r w:rsidR="00F40931">
        <w:rPr>
          <w:rFonts w:ascii="Book Antiqua" w:hAnsi="Book Antiqua" w:cs="Arial"/>
        </w:rPr>
        <w:t xml:space="preserve">asylum appeal had been finally determined, </w:t>
      </w:r>
      <w:r w:rsidR="002D52A3">
        <w:rPr>
          <w:rFonts w:ascii="Book Antiqua" w:hAnsi="Book Antiqua" w:cs="Arial"/>
        </w:rPr>
        <w:t xml:space="preserve">he did not remain </w:t>
      </w:r>
      <w:r w:rsidR="00F40931">
        <w:rPr>
          <w:rFonts w:ascii="Book Antiqua" w:hAnsi="Book Antiqua" w:cs="Arial"/>
        </w:rPr>
        <w:t xml:space="preserve">in the UK as someone </w:t>
      </w:r>
      <w:r w:rsidR="004C395B">
        <w:rPr>
          <w:rFonts w:ascii="Book Antiqua" w:hAnsi="Book Antiqua" w:cs="Arial"/>
        </w:rPr>
        <w:t xml:space="preserve">who had been granted, or can be </w:t>
      </w:r>
      <w:r w:rsidR="00F40931">
        <w:rPr>
          <w:rFonts w:ascii="Book Antiqua" w:hAnsi="Book Antiqua" w:cs="Arial"/>
        </w:rPr>
        <w:t>deemed to have been granted</w:t>
      </w:r>
      <w:r w:rsidR="004C395B">
        <w:rPr>
          <w:rFonts w:ascii="Book Antiqua" w:hAnsi="Book Antiqua" w:cs="Arial"/>
        </w:rPr>
        <w:t>,</w:t>
      </w:r>
      <w:r w:rsidR="00F40931">
        <w:rPr>
          <w:rFonts w:ascii="Book Antiqua" w:hAnsi="Book Antiqua" w:cs="Arial"/>
        </w:rPr>
        <w:t xml:space="preserve"> temporary admission. He was simply some</w:t>
      </w:r>
      <w:r w:rsidR="00513FD1">
        <w:rPr>
          <w:rFonts w:ascii="Book Antiqua" w:hAnsi="Book Antiqua" w:cs="Arial"/>
        </w:rPr>
        <w:t>one who, to use the wording of s</w:t>
      </w:r>
      <w:r w:rsidR="00F40931">
        <w:rPr>
          <w:rFonts w:ascii="Book Antiqua" w:hAnsi="Book Antiqua" w:cs="Arial"/>
        </w:rPr>
        <w:t xml:space="preserve">ection 4(1)(c) of the Immigration Act 1971, “remain[ed] unlawfully”.  Whatever the legal basis for his period of </w:t>
      </w:r>
      <w:r w:rsidR="002D52A3">
        <w:rPr>
          <w:rFonts w:ascii="Book Antiqua" w:hAnsi="Book Antiqua" w:cs="Arial"/>
        </w:rPr>
        <w:t xml:space="preserve">immigration </w:t>
      </w:r>
      <w:r w:rsidR="00F40931">
        <w:rPr>
          <w:rFonts w:ascii="Book Antiqua" w:hAnsi="Book Antiqua" w:cs="Arial"/>
        </w:rPr>
        <w:t xml:space="preserve">detention, it did not and </w:t>
      </w:r>
      <w:r>
        <w:rPr>
          <w:rFonts w:ascii="Book Antiqua" w:hAnsi="Book Antiqua" w:cs="Arial"/>
        </w:rPr>
        <w:t>could</w:t>
      </w:r>
      <w:r w:rsidR="00F40931">
        <w:rPr>
          <w:rFonts w:ascii="Book Antiqua" w:hAnsi="Book Antiqua" w:cs="Arial"/>
        </w:rPr>
        <w:t xml:space="preserve"> not convert his status as an overstayer in breach of immigration laws </w:t>
      </w:r>
      <w:r w:rsidR="00D84A2A">
        <w:rPr>
          <w:rFonts w:ascii="Book Antiqua" w:hAnsi="Book Antiqua" w:cs="Arial"/>
        </w:rPr>
        <w:t>in</w:t>
      </w:r>
      <w:r w:rsidR="00F40931">
        <w:rPr>
          <w:rFonts w:ascii="Book Antiqua" w:hAnsi="Book Antiqua" w:cs="Arial"/>
        </w:rPr>
        <w:t>to someone lawfully resident.</w:t>
      </w:r>
      <w:r w:rsidR="003E0953">
        <w:rPr>
          <w:rFonts w:ascii="Book Antiqua" w:hAnsi="Book Antiqua" w:cs="Arial"/>
        </w:rPr>
        <w:t xml:space="preserve"> The other reason why he cannot cla</w:t>
      </w:r>
      <w:r w:rsidR="004C395B">
        <w:rPr>
          <w:rFonts w:ascii="Book Antiqua" w:hAnsi="Book Antiqua" w:cs="Arial"/>
        </w:rPr>
        <w:t>im further lawful residence bet</w:t>
      </w:r>
      <w:r w:rsidR="003E0953">
        <w:rPr>
          <w:rFonts w:ascii="Book Antiqua" w:hAnsi="Book Antiqua" w:cs="Arial"/>
        </w:rPr>
        <w:t xml:space="preserve">ween </w:t>
      </w:r>
      <w:r w:rsidR="004C395B">
        <w:rPr>
          <w:rFonts w:ascii="Book Antiqua" w:hAnsi="Book Antiqua" w:cs="Arial"/>
        </w:rPr>
        <w:t>24 July 1997 and October 2010</w:t>
      </w:r>
      <w:r w:rsidR="003E0953">
        <w:rPr>
          <w:rFonts w:ascii="Book Antiqua" w:hAnsi="Book Antiqua" w:cs="Arial"/>
        </w:rPr>
        <w:t xml:space="preserve"> is that there is no evidence to show that he was ever granted</w:t>
      </w:r>
      <w:r w:rsidR="004C395B">
        <w:rPr>
          <w:rFonts w:ascii="Book Antiqua" w:hAnsi="Book Antiqua" w:cs="Arial"/>
        </w:rPr>
        <w:t>,</w:t>
      </w:r>
      <w:r w:rsidR="003E0953">
        <w:rPr>
          <w:rFonts w:ascii="Book Antiqua" w:hAnsi="Book Antiqua" w:cs="Arial"/>
        </w:rPr>
        <w:t xml:space="preserve"> </w:t>
      </w:r>
      <w:r w:rsidR="004C395B">
        <w:rPr>
          <w:rFonts w:ascii="Book Antiqua" w:hAnsi="Book Antiqua" w:cs="Arial"/>
        </w:rPr>
        <w:t xml:space="preserve">or was the subject of </w:t>
      </w:r>
      <w:r w:rsidR="003E0953">
        <w:rPr>
          <w:rFonts w:ascii="Book Antiqua" w:hAnsi="Book Antiqua" w:cs="Arial"/>
        </w:rPr>
        <w:t>temporary admission</w:t>
      </w:r>
      <w:r w:rsidR="004C395B">
        <w:rPr>
          <w:rFonts w:ascii="Book Antiqua" w:hAnsi="Book Antiqua" w:cs="Arial"/>
        </w:rPr>
        <w:t>,</w:t>
      </w:r>
      <w:r w:rsidR="003E0953">
        <w:rPr>
          <w:rFonts w:ascii="Book Antiqua" w:hAnsi="Book Antiqua" w:cs="Arial"/>
        </w:rPr>
        <w:t xml:space="preserve"> </w:t>
      </w:r>
      <w:r w:rsidR="004C395B">
        <w:rPr>
          <w:rFonts w:ascii="Book Antiqua" w:hAnsi="Book Antiqua" w:cs="Arial"/>
        </w:rPr>
        <w:t>during that period.</w:t>
      </w:r>
    </w:p>
    <w:p w:rsidR="00BA07C0" w:rsidRPr="00BA07C0" w:rsidRDefault="00BA07C0" w:rsidP="00D97FE6">
      <w:pPr>
        <w:spacing w:before="160"/>
        <w:ind w:left="567"/>
        <w:jc w:val="both"/>
        <w:rPr>
          <w:rFonts w:ascii="Book Antiqua" w:hAnsi="Book Antiqua" w:cs="Arial"/>
          <w:b/>
        </w:rPr>
      </w:pPr>
      <w:r w:rsidRPr="00BA07C0">
        <w:rPr>
          <w:rFonts w:ascii="Book Antiqua" w:hAnsi="Book Antiqua" w:cs="Arial"/>
          <w:b/>
        </w:rPr>
        <w:t>“…is socially and culturally integrated in the UK”</w:t>
      </w:r>
    </w:p>
    <w:p w:rsidR="00BA07C0" w:rsidRDefault="00C80B86" w:rsidP="00D97FE6">
      <w:pPr>
        <w:spacing w:before="160"/>
        <w:ind w:left="567" w:hanging="567"/>
        <w:jc w:val="both"/>
        <w:rPr>
          <w:rFonts w:ascii="Book Antiqua" w:hAnsi="Book Antiqua" w:cs="Arial"/>
        </w:rPr>
      </w:pPr>
      <w:r>
        <w:rPr>
          <w:rFonts w:ascii="Book Antiqua" w:hAnsi="Book Antiqua" w:cs="Arial"/>
        </w:rPr>
        <w:t>34</w:t>
      </w:r>
      <w:r w:rsidR="00F40931">
        <w:rPr>
          <w:rFonts w:ascii="Book Antiqua" w:hAnsi="Book Antiqua" w:cs="Arial"/>
        </w:rPr>
        <w:t>.</w:t>
      </w:r>
      <w:r w:rsidR="00F40931">
        <w:rPr>
          <w:rFonts w:ascii="Book Antiqua" w:hAnsi="Book Antiqua" w:cs="Arial"/>
        </w:rPr>
        <w:tab/>
      </w:r>
      <w:r w:rsidR="00E07AAF">
        <w:rPr>
          <w:rFonts w:ascii="Book Antiqua" w:hAnsi="Book Antiqua" w:cs="Arial"/>
        </w:rPr>
        <w:t xml:space="preserve">As regards </w:t>
      </w:r>
      <w:r w:rsidR="00513FD1">
        <w:rPr>
          <w:rFonts w:ascii="Book Antiqua" w:hAnsi="Book Antiqua" w:cs="Arial"/>
        </w:rPr>
        <w:t xml:space="preserve">paragraph </w:t>
      </w:r>
      <w:r w:rsidR="00E07AAF">
        <w:rPr>
          <w:rFonts w:ascii="Book Antiqua" w:hAnsi="Book Antiqua" w:cs="Arial"/>
        </w:rPr>
        <w:t>399A(</w:t>
      </w:r>
      <w:r w:rsidR="00D84A2A">
        <w:rPr>
          <w:rFonts w:ascii="Book Antiqua" w:hAnsi="Book Antiqua" w:cs="Arial"/>
        </w:rPr>
        <w:t>b</w:t>
      </w:r>
      <w:r w:rsidR="00E07AAF">
        <w:rPr>
          <w:rFonts w:ascii="Book Antiqua" w:hAnsi="Book Antiqua" w:cs="Arial"/>
        </w:rPr>
        <w:t xml:space="preserve">), </w:t>
      </w:r>
      <w:r w:rsidR="00BA07C0">
        <w:rPr>
          <w:rFonts w:ascii="Book Antiqua" w:hAnsi="Book Antiqua" w:cs="Arial"/>
        </w:rPr>
        <w:t>it would be unwise to attempt an exhaustive definition of what factors constitute social and cultural integration. T</w:t>
      </w:r>
      <w:r w:rsidR="00E07AAF">
        <w:rPr>
          <w:rFonts w:ascii="Book Antiqua" w:hAnsi="Book Antiqua" w:cs="Arial"/>
        </w:rPr>
        <w:t xml:space="preserve">he question of whether </w:t>
      </w:r>
      <w:r w:rsidR="00BA07C0">
        <w:rPr>
          <w:rFonts w:ascii="Book Antiqua" w:hAnsi="Book Antiqua" w:cs="Arial"/>
        </w:rPr>
        <w:t>someone</w:t>
      </w:r>
      <w:r w:rsidR="00E07AAF">
        <w:rPr>
          <w:rFonts w:ascii="Book Antiqua" w:hAnsi="Book Antiqua" w:cs="Arial"/>
        </w:rPr>
        <w:t xml:space="preserve"> is socially and culturally integrated requires </w:t>
      </w:r>
      <w:r w:rsidR="002D52A3">
        <w:rPr>
          <w:rFonts w:ascii="Book Antiqua" w:hAnsi="Book Antiqua" w:cs="Arial"/>
        </w:rPr>
        <w:t xml:space="preserve">a broad evaluative judgement (see </w:t>
      </w:r>
      <w:r w:rsidR="002D52A3" w:rsidRPr="002D52A3">
        <w:rPr>
          <w:rFonts w:ascii="Book Antiqua" w:hAnsi="Book Antiqua" w:cs="Arial"/>
          <w:b/>
          <w:u w:val="single"/>
        </w:rPr>
        <w:t xml:space="preserve">Kamara v SSHD </w:t>
      </w:r>
      <w:r w:rsidR="002D52A3">
        <w:rPr>
          <w:rFonts w:ascii="Book Antiqua" w:hAnsi="Book Antiqua" w:cs="Arial"/>
        </w:rPr>
        <w:t>[2016] 4 W L R 152 at [14])</w:t>
      </w:r>
      <w:r w:rsidR="00BA07C0">
        <w:rPr>
          <w:rFonts w:ascii="Book Antiqua" w:hAnsi="Book Antiqua" w:cs="Arial"/>
        </w:rPr>
        <w:t xml:space="preserve"> but in contrast to paragraph 399A(c) (where the focus is </w:t>
      </w:r>
      <w:r w:rsidR="00687868">
        <w:rPr>
          <w:rFonts w:ascii="Book Antiqua" w:hAnsi="Book Antiqua" w:cs="Arial"/>
        </w:rPr>
        <w:t>integration</w:t>
      </w:r>
      <w:r w:rsidR="00BA07C0">
        <w:rPr>
          <w:rFonts w:ascii="Book Antiqua" w:hAnsi="Book Antiqua" w:cs="Arial"/>
        </w:rPr>
        <w:t xml:space="preserve"> into the </w:t>
      </w:r>
      <w:r w:rsidR="00687868">
        <w:rPr>
          <w:rFonts w:ascii="Book Antiqua" w:hAnsi="Book Antiqua" w:cs="Arial"/>
        </w:rPr>
        <w:t>country</w:t>
      </w:r>
      <w:r w:rsidR="00BA07C0">
        <w:rPr>
          <w:rFonts w:ascii="Book Antiqua" w:hAnsi="Book Antiqua" w:cs="Arial"/>
        </w:rPr>
        <w:t xml:space="preserve"> to which it is </w:t>
      </w:r>
      <w:r w:rsidR="00687868">
        <w:rPr>
          <w:rFonts w:ascii="Book Antiqua" w:hAnsi="Book Antiqua" w:cs="Arial"/>
        </w:rPr>
        <w:t>proposed</w:t>
      </w:r>
      <w:r w:rsidR="00BA07C0">
        <w:rPr>
          <w:rFonts w:ascii="Book Antiqua" w:hAnsi="Book Antiqua" w:cs="Arial"/>
        </w:rPr>
        <w:t xml:space="preserve"> to deport someone</w:t>
      </w:r>
      <w:r w:rsidR="00687868">
        <w:rPr>
          <w:rFonts w:ascii="Book Antiqua" w:hAnsi="Book Antiqua" w:cs="Arial"/>
        </w:rPr>
        <w:t>),</w:t>
      </w:r>
      <w:r w:rsidR="00BA07C0">
        <w:rPr>
          <w:rFonts w:ascii="Book Antiqua" w:hAnsi="Book Antiqua" w:cs="Arial"/>
        </w:rPr>
        <w:t xml:space="preserve"> the focus is on integration within the UK</w:t>
      </w:r>
      <w:r w:rsidR="00E07AAF">
        <w:rPr>
          <w:rFonts w:ascii="Book Antiqua" w:hAnsi="Book Antiqua" w:cs="Arial"/>
        </w:rPr>
        <w:t>.  Unlike 399A(a)</w:t>
      </w:r>
      <w:r w:rsidR="00513FD1">
        <w:rPr>
          <w:rFonts w:ascii="Book Antiqua" w:hAnsi="Book Antiqua" w:cs="Arial"/>
        </w:rPr>
        <w:t xml:space="preserve">, paragraph 399(b)’s </w:t>
      </w:r>
      <w:r w:rsidR="00725B1E">
        <w:rPr>
          <w:rFonts w:ascii="Book Antiqua" w:hAnsi="Book Antiqua" w:cs="Arial"/>
        </w:rPr>
        <w:t xml:space="preserve">focus is </w:t>
      </w:r>
      <w:r w:rsidR="00252586">
        <w:rPr>
          <w:rFonts w:ascii="Book Antiqua" w:hAnsi="Book Antiqua" w:cs="Arial"/>
        </w:rPr>
        <w:t>principally</w:t>
      </w:r>
      <w:r w:rsidR="00725B1E">
        <w:rPr>
          <w:rFonts w:ascii="Book Antiqua" w:hAnsi="Book Antiqua" w:cs="Arial"/>
        </w:rPr>
        <w:t xml:space="preserve"> </w:t>
      </w:r>
      <w:r w:rsidR="00252586">
        <w:rPr>
          <w:rFonts w:ascii="Book Antiqua" w:hAnsi="Book Antiqua" w:cs="Arial"/>
        </w:rPr>
        <w:t>on the</w:t>
      </w:r>
      <w:r w:rsidR="00E07AAF">
        <w:rPr>
          <w:rFonts w:ascii="Book Antiqua" w:hAnsi="Book Antiqua" w:cs="Arial"/>
        </w:rPr>
        <w:t xml:space="preserve"> claimant’s current situation, not his histo</w:t>
      </w:r>
      <w:r w:rsidR="00D84A2A">
        <w:rPr>
          <w:rFonts w:ascii="Book Antiqua" w:hAnsi="Book Antiqua" w:cs="Arial"/>
        </w:rPr>
        <w:t>ric situation (“</w:t>
      </w:r>
      <w:r w:rsidR="00E07AAF">
        <w:rPr>
          <w:rFonts w:ascii="Book Antiqua" w:hAnsi="Book Antiqua" w:cs="Arial"/>
        </w:rPr>
        <w:t xml:space="preserve">he </w:t>
      </w:r>
      <w:r w:rsidR="00E07AAF">
        <w:rPr>
          <w:rFonts w:ascii="Book Antiqua" w:hAnsi="Book Antiqua" w:cs="Arial"/>
          <w:u w:val="single"/>
        </w:rPr>
        <w:t>is</w:t>
      </w:r>
      <w:r w:rsidR="00E07AAF">
        <w:rPr>
          <w:rFonts w:ascii="Book Antiqua" w:hAnsi="Book Antiqua" w:cs="Arial"/>
        </w:rPr>
        <w:t xml:space="preserve"> </w:t>
      </w:r>
      <w:r>
        <w:rPr>
          <w:rFonts w:ascii="Book Antiqua" w:hAnsi="Book Antiqua" w:cs="Arial"/>
        </w:rPr>
        <w:t>socially</w:t>
      </w:r>
      <w:r w:rsidR="00E07AAF">
        <w:rPr>
          <w:rFonts w:ascii="Book Antiqua" w:hAnsi="Book Antiqua" w:cs="Arial"/>
        </w:rPr>
        <w:t xml:space="preserve"> and culturally integrated</w:t>
      </w:r>
      <w:r w:rsidR="00D84A2A">
        <w:rPr>
          <w:rFonts w:ascii="Book Antiqua" w:hAnsi="Book Antiqua" w:cs="Arial"/>
        </w:rPr>
        <w:t>”</w:t>
      </w:r>
      <w:r w:rsidR="00E07AAF">
        <w:rPr>
          <w:rFonts w:ascii="Book Antiqua" w:hAnsi="Book Antiqua" w:cs="Arial"/>
        </w:rPr>
        <w:t>)</w:t>
      </w:r>
      <w:r w:rsidR="00BA07C0">
        <w:rPr>
          <w:rFonts w:ascii="Book Antiqua" w:hAnsi="Book Antiqua" w:cs="Arial"/>
        </w:rPr>
        <w:t>, although clearly assessment of the present situation must have regard to what has gone before</w:t>
      </w:r>
      <w:r w:rsidR="00E07AAF">
        <w:rPr>
          <w:rFonts w:ascii="Book Antiqua" w:hAnsi="Book Antiqua" w:cs="Arial"/>
        </w:rPr>
        <w:t xml:space="preserve">. </w:t>
      </w:r>
    </w:p>
    <w:p w:rsidR="00BA07C0" w:rsidRDefault="00687868" w:rsidP="00D97FE6">
      <w:pPr>
        <w:spacing w:before="160"/>
        <w:ind w:left="567" w:hanging="567"/>
        <w:jc w:val="both"/>
        <w:rPr>
          <w:rFonts w:ascii="Book Antiqua" w:hAnsi="Book Antiqua" w:cs="Arial"/>
        </w:rPr>
      </w:pPr>
      <w:r>
        <w:rPr>
          <w:rFonts w:ascii="Book Antiqua" w:hAnsi="Book Antiqua" w:cs="Arial"/>
        </w:rPr>
        <w:t>35.</w:t>
      </w:r>
      <w:r w:rsidR="00D97FE6">
        <w:rPr>
          <w:rFonts w:ascii="Book Antiqua" w:hAnsi="Book Antiqua" w:cs="Arial"/>
        </w:rPr>
        <w:tab/>
      </w:r>
      <w:r w:rsidR="00D84A2A">
        <w:rPr>
          <w:rFonts w:ascii="Book Antiqua" w:hAnsi="Book Antiqua" w:cs="Arial"/>
        </w:rPr>
        <w:t>Factors</w:t>
      </w:r>
      <w:r w:rsidR="00E07AAF">
        <w:rPr>
          <w:rFonts w:ascii="Book Antiqua" w:hAnsi="Book Antiqua" w:cs="Arial"/>
        </w:rPr>
        <w:t xml:space="preserve"> pointing in the claimant’s favour </w:t>
      </w:r>
      <w:r w:rsidR="00D84A2A">
        <w:rPr>
          <w:rFonts w:ascii="Book Antiqua" w:hAnsi="Book Antiqua" w:cs="Arial"/>
        </w:rPr>
        <w:t>include</w:t>
      </w:r>
      <w:r w:rsidR="00E07AAF">
        <w:rPr>
          <w:rFonts w:ascii="Book Antiqua" w:hAnsi="Book Antiqua" w:cs="Arial"/>
        </w:rPr>
        <w:t xml:space="preserve"> that he has lived all but the first year of his life in the UK, that he has been educated in the UK</w:t>
      </w:r>
      <w:r w:rsidR="002D52A3">
        <w:rPr>
          <w:rFonts w:ascii="Book Antiqua" w:hAnsi="Book Antiqua" w:cs="Arial"/>
        </w:rPr>
        <w:t xml:space="preserve">, that he speaks </w:t>
      </w:r>
      <w:r w:rsidR="00513FD1">
        <w:rPr>
          <w:rFonts w:ascii="Book Antiqua" w:hAnsi="Book Antiqua" w:cs="Arial"/>
        </w:rPr>
        <w:t>fluent</w:t>
      </w:r>
      <w:r w:rsidR="002D52A3">
        <w:rPr>
          <w:rFonts w:ascii="Book Antiqua" w:hAnsi="Book Antiqua" w:cs="Arial"/>
        </w:rPr>
        <w:t xml:space="preserve"> English and that</w:t>
      </w:r>
      <w:r w:rsidR="00E07AAF">
        <w:rPr>
          <w:rFonts w:ascii="Book Antiqua" w:hAnsi="Book Antiqua" w:cs="Arial"/>
        </w:rPr>
        <w:t xml:space="preserve"> he identifies as someone who is “black British”.  Mr Wilding has not </w:t>
      </w:r>
      <w:r w:rsidR="00E6447F">
        <w:rPr>
          <w:rFonts w:ascii="Book Antiqua" w:hAnsi="Book Antiqua" w:cs="Arial"/>
        </w:rPr>
        <w:t xml:space="preserve">suggested that the claimant is someone who has grown up identifying himself as a Nigerian or adopting a Nigerian lifestyle.  </w:t>
      </w:r>
      <w:r w:rsidR="00BA07C0">
        <w:rPr>
          <w:rFonts w:ascii="Book Antiqua" w:hAnsi="Book Antiqua" w:cs="Arial"/>
        </w:rPr>
        <w:t>He has worked in the UK, (albeit briefly).</w:t>
      </w:r>
    </w:p>
    <w:p w:rsidR="00BA07C0" w:rsidRDefault="00687868" w:rsidP="00D97FE6">
      <w:pPr>
        <w:spacing w:before="160"/>
        <w:ind w:left="567" w:hanging="567"/>
        <w:jc w:val="both"/>
        <w:rPr>
          <w:rFonts w:ascii="Book Antiqua" w:hAnsi="Book Antiqua" w:cs="Arial"/>
        </w:rPr>
      </w:pPr>
      <w:r>
        <w:rPr>
          <w:rFonts w:ascii="Book Antiqua" w:hAnsi="Book Antiqua" w:cs="Arial"/>
        </w:rPr>
        <w:t>36.</w:t>
      </w:r>
      <w:r w:rsidR="00D97FE6">
        <w:rPr>
          <w:rFonts w:ascii="Book Antiqua" w:hAnsi="Book Antiqua" w:cs="Arial"/>
        </w:rPr>
        <w:tab/>
      </w:r>
      <w:r w:rsidR="00E6447F">
        <w:rPr>
          <w:rFonts w:ascii="Book Antiqua" w:hAnsi="Book Antiqua" w:cs="Arial"/>
        </w:rPr>
        <w:t xml:space="preserve">On the other hand, even before he became an adult </w:t>
      </w:r>
      <w:r w:rsidR="00BA07C0">
        <w:rPr>
          <w:rFonts w:ascii="Book Antiqua" w:hAnsi="Book Antiqua" w:cs="Arial"/>
        </w:rPr>
        <w:t xml:space="preserve">and even before he was granted ILR </w:t>
      </w:r>
      <w:r w:rsidR="00E6447F">
        <w:rPr>
          <w:rFonts w:ascii="Book Antiqua" w:hAnsi="Book Antiqua" w:cs="Arial"/>
        </w:rPr>
        <w:t xml:space="preserve">the claimant had become a </w:t>
      </w:r>
      <w:r w:rsidR="00C80B86">
        <w:rPr>
          <w:rFonts w:ascii="Book Antiqua" w:hAnsi="Book Antiqua" w:cs="Arial"/>
        </w:rPr>
        <w:t>youth</w:t>
      </w:r>
      <w:r w:rsidR="00E6447F">
        <w:rPr>
          <w:rFonts w:ascii="Book Antiqua" w:hAnsi="Book Antiqua" w:cs="Arial"/>
        </w:rPr>
        <w:t xml:space="preserve"> offender and between </w:t>
      </w:r>
      <w:r w:rsidR="00BA07C0">
        <w:rPr>
          <w:rFonts w:ascii="Book Antiqua" w:hAnsi="Book Antiqua" w:cs="Arial"/>
        </w:rPr>
        <w:t xml:space="preserve">February </w:t>
      </w:r>
      <w:r w:rsidR="00E6447F">
        <w:rPr>
          <w:rFonts w:ascii="Book Antiqua" w:hAnsi="Book Antiqua" w:cs="Arial"/>
        </w:rPr>
        <w:t>2009 - mid 2013 (a total of four-and-a-half years) he had committed 22 offences.  During that period he received two custodial sentences of 28 months and fifteen months respectively.  He is due credit for not offending since 2013</w:t>
      </w:r>
      <w:r w:rsidR="00AE6957">
        <w:rPr>
          <w:rFonts w:ascii="Book Antiqua" w:hAnsi="Book Antiqua" w:cs="Arial"/>
        </w:rPr>
        <w:t xml:space="preserve"> (save for his being sentenced to 7 months for having assaulted a fellow prisoner, </w:t>
      </w:r>
      <w:r w:rsidR="00252586">
        <w:rPr>
          <w:rFonts w:ascii="Book Antiqua" w:hAnsi="Book Antiqua" w:cs="Arial"/>
        </w:rPr>
        <w:t>in</w:t>
      </w:r>
      <w:r w:rsidR="00AE6957">
        <w:rPr>
          <w:rFonts w:ascii="Book Antiqua" w:hAnsi="Book Antiqua" w:cs="Arial"/>
        </w:rPr>
        <w:t xml:space="preserve"> respect of which he may have been in the grip of psychotic ideation)</w:t>
      </w:r>
      <w:r w:rsidR="00E6447F">
        <w:rPr>
          <w:rFonts w:ascii="Book Antiqua" w:hAnsi="Book Antiqua" w:cs="Arial"/>
        </w:rPr>
        <w:t xml:space="preserve">, </w:t>
      </w:r>
      <w:r w:rsidR="00D84A2A">
        <w:rPr>
          <w:rFonts w:ascii="Book Antiqua" w:hAnsi="Book Antiqua" w:cs="Arial"/>
        </w:rPr>
        <w:t>but it is also relevant</w:t>
      </w:r>
      <w:r w:rsidR="00BA07C0">
        <w:rPr>
          <w:rFonts w:ascii="Book Antiqua" w:hAnsi="Book Antiqua" w:cs="Arial"/>
        </w:rPr>
        <w:t>,</w:t>
      </w:r>
      <w:r w:rsidR="00D84A2A">
        <w:rPr>
          <w:rFonts w:ascii="Book Antiqua" w:hAnsi="Book Antiqua" w:cs="Arial"/>
        </w:rPr>
        <w:t xml:space="preserve"> in considering the period since</w:t>
      </w:r>
      <w:r w:rsidR="00BA07C0">
        <w:rPr>
          <w:rFonts w:ascii="Book Antiqua" w:hAnsi="Book Antiqua" w:cs="Arial"/>
        </w:rPr>
        <w:t>,</w:t>
      </w:r>
      <w:r w:rsidR="00D84A2A">
        <w:rPr>
          <w:rFonts w:ascii="Book Antiqua" w:hAnsi="Book Antiqua" w:cs="Arial"/>
        </w:rPr>
        <w:t xml:space="preserve"> that </w:t>
      </w:r>
      <w:r w:rsidR="002D52A3">
        <w:rPr>
          <w:rFonts w:ascii="Book Antiqua" w:hAnsi="Book Antiqua" w:cs="Arial"/>
        </w:rPr>
        <w:t xml:space="preserve">(i) following the conditional release date for his criminal offences, he was held in immigration detention until February 2017; and (ii) </w:t>
      </w:r>
      <w:r w:rsidR="00E6447F">
        <w:rPr>
          <w:rFonts w:ascii="Book Antiqua" w:hAnsi="Book Antiqua" w:cs="Arial"/>
        </w:rPr>
        <w:t xml:space="preserve">he </w:t>
      </w:r>
      <w:r w:rsidR="00C80B86">
        <w:rPr>
          <w:rFonts w:ascii="Book Antiqua" w:hAnsi="Book Antiqua" w:cs="Arial"/>
        </w:rPr>
        <w:t>himself</w:t>
      </w:r>
      <w:r w:rsidR="00E6447F">
        <w:rPr>
          <w:rFonts w:ascii="Book Antiqua" w:hAnsi="Book Antiqua" w:cs="Arial"/>
        </w:rPr>
        <w:t xml:space="preserve"> describes his life as being </w:t>
      </w:r>
      <w:r w:rsidR="00BA07C0">
        <w:rPr>
          <w:rFonts w:ascii="Book Antiqua" w:hAnsi="Book Antiqua" w:cs="Arial"/>
        </w:rPr>
        <w:t>“</w:t>
      </w:r>
      <w:r w:rsidR="00E6447F">
        <w:rPr>
          <w:rFonts w:ascii="Book Antiqua" w:hAnsi="Book Antiqua" w:cs="Arial"/>
        </w:rPr>
        <w:t>on hold</w:t>
      </w:r>
      <w:r w:rsidR="00BA07C0">
        <w:rPr>
          <w:rFonts w:ascii="Book Antiqua" w:hAnsi="Book Antiqua" w:cs="Arial"/>
        </w:rPr>
        <w:t>”</w:t>
      </w:r>
      <w:r w:rsidR="00E6447F">
        <w:rPr>
          <w:rFonts w:ascii="Book Antiqua" w:hAnsi="Book Antiqua" w:cs="Arial"/>
        </w:rPr>
        <w:t xml:space="preserve"> since the deportation order against which he now appeals was made in July 2014. </w:t>
      </w:r>
    </w:p>
    <w:p w:rsidR="009D07E1" w:rsidRDefault="009D07E1" w:rsidP="00D97FE6">
      <w:pPr>
        <w:spacing w:before="160"/>
        <w:ind w:left="567" w:hanging="567"/>
        <w:jc w:val="both"/>
        <w:rPr>
          <w:rFonts w:ascii="Book Antiqua" w:hAnsi="Book Antiqua" w:cs="Arial"/>
        </w:rPr>
      </w:pPr>
      <w:r>
        <w:rPr>
          <w:rFonts w:ascii="Book Antiqua" w:hAnsi="Book Antiqua" w:cs="Arial"/>
        </w:rPr>
        <w:t>37.</w:t>
      </w:r>
      <w:r w:rsidR="00D97FE6">
        <w:rPr>
          <w:rFonts w:ascii="Book Antiqua" w:hAnsi="Book Antiqua" w:cs="Arial"/>
        </w:rPr>
        <w:tab/>
      </w:r>
      <w:r w:rsidR="00BA07C0">
        <w:rPr>
          <w:rFonts w:ascii="Book Antiqua" w:hAnsi="Book Antiqua" w:cs="Arial"/>
        </w:rPr>
        <w:t>Considering the claimant’s life since February 2009 prompts the question, can social and cultural links a person has forged in the UK be broken</w:t>
      </w:r>
      <w:r w:rsidR="00F67FA3">
        <w:rPr>
          <w:rFonts w:ascii="Book Antiqua" w:hAnsi="Book Antiqua" w:cs="Arial"/>
        </w:rPr>
        <w:t xml:space="preserve"> (or demonstrate a lack of integration)</w:t>
      </w:r>
      <w:r w:rsidR="00687868">
        <w:rPr>
          <w:rFonts w:ascii="Book Antiqua" w:hAnsi="Book Antiqua" w:cs="Arial"/>
        </w:rPr>
        <w:t>?</w:t>
      </w:r>
      <w:r w:rsidR="00BA07C0">
        <w:rPr>
          <w:rFonts w:ascii="Book Antiqua" w:hAnsi="Book Antiqua" w:cs="Arial"/>
        </w:rPr>
        <w:t xml:space="preserve"> In my view</w:t>
      </w:r>
      <w:r w:rsidR="004376DB">
        <w:rPr>
          <w:rFonts w:ascii="Book Antiqua" w:hAnsi="Book Antiqua" w:cs="Arial"/>
        </w:rPr>
        <w:t xml:space="preserve">, in the context of paragraph 399A(b), </w:t>
      </w:r>
      <w:r w:rsidR="00BA07C0">
        <w:rPr>
          <w:rFonts w:ascii="Book Antiqua" w:hAnsi="Book Antiqua" w:cs="Arial"/>
        </w:rPr>
        <w:t>social (if not also cultural) integration can be broken by an</w:t>
      </w:r>
      <w:r w:rsidR="00687868">
        <w:rPr>
          <w:rFonts w:ascii="Book Antiqua" w:hAnsi="Book Antiqua" w:cs="Arial"/>
        </w:rPr>
        <w:t>ti</w:t>
      </w:r>
      <w:r w:rsidR="00BA07C0">
        <w:rPr>
          <w:rFonts w:ascii="Book Antiqua" w:hAnsi="Book Antiqua" w:cs="Arial"/>
        </w:rPr>
        <w:t>-social behaviour in the form of criminal offending, particularly when there has been a patte</w:t>
      </w:r>
      <w:r w:rsidR="00687868">
        <w:rPr>
          <w:rFonts w:ascii="Book Antiqua" w:hAnsi="Book Antiqua" w:cs="Arial"/>
        </w:rPr>
        <w:t>r</w:t>
      </w:r>
      <w:r w:rsidR="00BA07C0">
        <w:rPr>
          <w:rFonts w:ascii="Book Antiqua" w:hAnsi="Book Antiqua" w:cs="Arial"/>
        </w:rPr>
        <w:t xml:space="preserve">n of offending over a </w:t>
      </w:r>
      <w:r w:rsidR="00687868">
        <w:rPr>
          <w:rFonts w:ascii="Book Antiqua" w:hAnsi="Book Antiqua" w:cs="Arial"/>
        </w:rPr>
        <w:t>significant</w:t>
      </w:r>
      <w:r w:rsidR="00831C2D">
        <w:rPr>
          <w:rFonts w:ascii="Book Antiqua" w:hAnsi="Book Antiqua" w:cs="Arial"/>
        </w:rPr>
        <w:t xml:space="preserve"> </w:t>
      </w:r>
      <w:r w:rsidR="00831C2D">
        <w:rPr>
          <w:rFonts w:ascii="Book Antiqua" w:hAnsi="Book Antiqua" w:cs="Arial"/>
        </w:rPr>
        <w:lastRenderedPageBreak/>
        <w:t xml:space="preserve">period of time. </w:t>
      </w:r>
      <w:r w:rsidR="004376DB">
        <w:rPr>
          <w:rFonts w:ascii="Book Antiqua" w:hAnsi="Book Antiqua" w:cs="Arial"/>
        </w:rPr>
        <w:t>I</w:t>
      </w:r>
      <w:r w:rsidR="00BA07C0">
        <w:rPr>
          <w:rFonts w:ascii="Book Antiqua" w:hAnsi="Book Antiqua" w:cs="Arial"/>
        </w:rPr>
        <w:t xml:space="preserve">t can also be broken by imprisonment </w:t>
      </w:r>
      <w:r w:rsidR="00687868">
        <w:rPr>
          <w:rFonts w:ascii="Book Antiqua" w:hAnsi="Book Antiqua" w:cs="Arial"/>
        </w:rPr>
        <w:t>consequent</w:t>
      </w:r>
      <w:r w:rsidR="00BA07C0">
        <w:rPr>
          <w:rFonts w:ascii="Book Antiqua" w:hAnsi="Book Antiqua" w:cs="Arial"/>
        </w:rPr>
        <w:t xml:space="preserve"> upon conviction for such anti-social behaviour. </w:t>
      </w:r>
      <w:r w:rsidR="004376DB">
        <w:rPr>
          <w:rFonts w:ascii="Book Antiqua" w:hAnsi="Book Antiqua" w:cs="Arial"/>
        </w:rPr>
        <w:t>However, consideration of this question will be highly fact-sensitive, a</w:t>
      </w:r>
      <w:r w:rsidR="008F5EF5">
        <w:rPr>
          <w:rFonts w:ascii="Book Antiqua" w:hAnsi="Book Antiqua" w:cs="Arial"/>
        </w:rPr>
        <w:t>nd</w:t>
      </w:r>
      <w:r w:rsidR="004376DB">
        <w:rPr>
          <w:rFonts w:ascii="Book Antiqua" w:hAnsi="Book Antiqua" w:cs="Arial"/>
        </w:rPr>
        <w:t xml:space="preserve"> much will depend on the particular circumstances of the case.</w:t>
      </w:r>
    </w:p>
    <w:p w:rsidR="000E2BAB" w:rsidRPr="009D07E1" w:rsidRDefault="009D07E1" w:rsidP="00D97FE6">
      <w:pPr>
        <w:spacing w:before="160"/>
        <w:ind w:left="567" w:hanging="567"/>
        <w:jc w:val="both"/>
        <w:rPr>
          <w:rFonts w:ascii="Book Antiqua" w:hAnsi="Book Antiqua" w:cs="Arial"/>
        </w:rPr>
      </w:pPr>
      <w:r>
        <w:rPr>
          <w:rFonts w:ascii="Book Antiqua" w:hAnsi="Book Antiqua" w:cs="Arial"/>
        </w:rPr>
        <w:t>38.</w:t>
      </w:r>
      <w:r w:rsidR="00D97FE6">
        <w:rPr>
          <w:rFonts w:ascii="Book Antiqua" w:hAnsi="Book Antiqua" w:cs="Arial"/>
        </w:rPr>
        <w:tab/>
      </w:r>
      <w:r w:rsidR="004C395B">
        <w:rPr>
          <w:rFonts w:ascii="Book Antiqua" w:hAnsi="Book Antiqua" w:cs="Arial"/>
        </w:rPr>
        <w:t>I accept that</w:t>
      </w:r>
      <w:r>
        <w:rPr>
          <w:rFonts w:ascii="Book Antiqua" w:hAnsi="Book Antiqua" w:cs="Arial"/>
        </w:rPr>
        <w:t xml:space="preserve"> a somewhat different view was </w:t>
      </w:r>
      <w:r w:rsidR="004C395B">
        <w:rPr>
          <w:rFonts w:ascii="Book Antiqua" w:hAnsi="Book Antiqua" w:cs="Arial"/>
        </w:rPr>
        <w:t xml:space="preserve">taken by a distinguished panel in </w:t>
      </w:r>
      <w:r w:rsidR="004C395B" w:rsidRPr="00F67FA3">
        <w:rPr>
          <w:rFonts w:ascii="Book Antiqua" w:hAnsi="Book Antiqua" w:cs="Arial"/>
          <w:b/>
          <w:u w:val="single"/>
        </w:rPr>
        <w:t>Tirabi</w:t>
      </w:r>
      <w:r w:rsidR="004C395B">
        <w:rPr>
          <w:rFonts w:ascii="Book Antiqua" w:hAnsi="Book Antiqua" w:cs="Arial"/>
        </w:rPr>
        <w:t xml:space="preserve"> but I do not find the reason giv</w:t>
      </w:r>
      <w:r>
        <w:rPr>
          <w:rFonts w:ascii="Book Antiqua" w:hAnsi="Book Antiqua" w:cs="Arial"/>
        </w:rPr>
        <w:t>e</w:t>
      </w:r>
      <w:r w:rsidR="004C395B">
        <w:rPr>
          <w:rFonts w:ascii="Book Antiqua" w:hAnsi="Book Antiqua" w:cs="Arial"/>
        </w:rPr>
        <w:t xml:space="preserve">n in that case for considering commission of an offence </w:t>
      </w:r>
      <w:r w:rsidR="008F5EF5">
        <w:rPr>
          <w:rFonts w:ascii="Book Antiqua" w:hAnsi="Book Antiqua" w:cs="Arial"/>
        </w:rPr>
        <w:t>to be in</w:t>
      </w:r>
      <w:r>
        <w:rPr>
          <w:rFonts w:ascii="Book Antiqua" w:hAnsi="Book Antiqua" w:cs="Arial"/>
        </w:rPr>
        <w:t>capab</w:t>
      </w:r>
      <w:r w:rsidR="004C395B">
        <w:rPr>
          <w:rFonts w:ascii="Book Antiqua" w:hAnsi="Book Antiqua" w:cs="Arial"/>
        </w:rPr>
        <w:t xml:space="preserve">le of breaking integration (or </w:t>
      </w:r>
      <w:r w:rsidR="008F5EF5">
        <w:rPr>
          <w:rFonts w:ascii="Book Antiqua" w:hAnsi="Book Antiqua" w:cs="Arial"/>
        </w:rPr>
        <w:t xml:space="preserve">in the panel’s terms, </w:t>
      </w:r>
      <w:r w:rsidR="009E156B">
        <w:rPr>
          <w:rFonts w:ascii="Book Antiqua" w:hAnsi="Book Antiqua" w:cs="Arial"/>
        </w:rPr>
        <w:t>creating</w:t>
      </w:r>
      <w:r w:rsidR="004C395B">
        <w:rPr>
          <w:rFonts w:ascii="Book Antiqua" w:hAnsi="Book Antiqua" w:cs="Arial"/>
        </w:rPr>
        <w:t xml:space="preserve"> a </w:t>
      </w:r>
      <w:r w:rsidR="008F5EF5">
        <w:rPr>
          <w:rFonts w:ascii="Book Antiqua" w:hAnsi="Book Antiqua" w:cs="Arial"/>
        </w:rPr>
        <w:t>“</w:t>
      </w:r>
      <w:r w:rsidR="004C395B">
        <w:rPr>
          <w:rFonts w:ascii="Book Antiqua" w:hAnsi="Book Antiqua" w:cs="Arial"/>
        </w:rPr>
        <w:t>lack of integration</w:t>
      </w:r>
      <w:r w:rsidR="008F5EF5">
        <w:rPr>
          <w:rFonts w:ascii="Book Antiqua" w:hAnsi="Book Antiqua" w:cs="Arial"/>
        </w:rPr>
        <w:t>”</w:t>
      </w:r>
      <w:r w:rsidR="004C395B">
        <w:rPr>
          <w:rFonts w:ascii="Book Antiqua" w:hAnsi="Book Antiqua" w:cs="Arial"/>
        </w:rPr>
        <w:t xml:space="preserve">) convincing. The </w:t>
      </w:r>
      <w:r w:rsidR="009E156B">
        <w:rPr>
          <w:rFonts w:ascii="Book Antiqua" w:hAnsi="Book Antiqua" w:cs="Arial"/>
        </w:rPr>
        <w:t>Tribunal</w:t>
      </w:r>
      <w:r w:rsidR="004C395B">
        <w:rPr>
          <w:rFonts w:ascii="Book Antiqua" w:hAnsi="Book Antiqua" w:cs="Arial"/>
        </w:rPr>
        <w:t xml:space="preserve"> states </w:t>
      </w:r>
      <w:r w:rsidR="000E2BAB">
        <w:rPr>
          <w:rFonts w:ascii="Book Antiqua" w:hAnsi="Book Antiqua" w:cs="Arial"/>
        </w:rPr>
        <w:t xml:space="preserve">in </w:t>
      </w:r>
      <w:r w:rsidR="000E2BAB" w:rsidRPr="00F67FA3">
        <w:rPr>
          <w:rFonts w:ascii="Book Antiqua" w:hAnsi="Book Antiqua" w:cs="Arial"/>
          <w:b/>
          <w:u w:val="single"/>
        </w:rPr>
        <w:t>Tirab</w:t>
      </w:r>
      <w:r w:rsidR="000E2BAB" w:rsidRPr="00B8648A">
        <w:rPr>
          <w:rFonts w:ascii="Book Antiqua" w:hAnsi="Book Antiqua" w:cs="Arial"/>
          <w:b/>
        </w:rPr>
        <w:t>i</w:t>
      </w:r>
      <w:r w:rsidR="000E2BAB">
        <w:rPr>
          <w:rFonts w:ascii="Book Antiqua" w:hAnsi="Book Antiqua" w:cs="Arial"/>
        </w:rPr>
        <w:t xml:space="preserve"> at para </w:t>
      </w:r>
      <w:r w:rsidR="009E53FF">
        <w:rPr>
          <w:rFonts w:ascii="Book Antiqua" w:hAnsi="Book Antiqua" w:cs="Arial"/>
        </w:rPr>
        <w:t xml:space="preserve">15 </w:t>
      </w:r>
      <w:r w:rsidR="000E2BAB">
        <w:rPr>
          <w:rFonts w:ascii="Book Antiqua" w:hAnsi="Book Antiqua" w:cs="Arial"/>
        </w:rPr>
        <w:t>that: “[b]</w:t>
      </w:r>
      <w:r w:rsidR="000E2BAB">
        <w:rPr>
          <w:rFonts w:ascii="Book Antiqua" w:hAnsi="Book Antiqua"/>
          <w:color w:val="000000"/>
        </w:rPr>
        <w:t>earing in mind again that these factors are being taken into account always in the context of the deportation of a person who has committed an offence, it is inconceivable that it could have been intended that, in any general sense, the commission of an offence would demonstrate a lack of integration.”</w:t>
      </w:r>
      <w:r w:rsidR="00B8648A">
        <w:rPr>
          <w:rFonts w:ascii="Book Antiqua" w:hAnsi="Book Antiqua"/>
          <w:color w:val="000000"/>
        </w:rPr>
        <w:t xml:space="preserve"> However, this seems to </w:t>
      </w:r>
      <w:r w:rsidR="008F5EF5">
        <w:rPr>
          <w:rFonts w:ascii="Book Antiqua" w:hAnsi="Book Antiqua"/>
          <w:color w:val="000000"/>
        </w:rPr>
        <w:t xml:space="preserve">convert a question of fact into a legal rule. Is the commission of </w:t>
      </w:r>
      <w:r w:rsidR="009E156B">
        <w:rPr>
          <w:rFonts w:ascii="Book Antiqua" w:hAnsi="Book Antiqua"/>
          <w:color w:val="000000"/>
        </w:rPr>
        <w:t>a string</w:t>
      </w:r>
      <w:r w:rsidR="008F5EF5">
        <w:rPr>
          <w:rFonts w:ascii="Book Antiqua" w:hAnsi="Book Antiqua"/>
          <w:color w:val="000000"/>
        </w:rPr>
        <w:t xml:space="preserve"> of serious offences over a period of 20 </w:t>
      </w:r>
      <w:r w:rsidR="00B83F6C">
        <w:rPr>
          <w:rFonts w:ascii="Book Antiqua" w:hAnsi="Book Antiqua"/>
          <w:color w:val="000000"/>
        </w:rPr>
        <w:t>years, say</w:t>
      </w:r>
      <w:r w:rsidR="008F5EF5">
        <w:rPr>
          <w:rFonts w:ascii="Book Antiqua" w:hAnsi="Book Antiqua"/>
          <w:color w:val="000000"/>
        </w:rPr>
        <w:t xml:space="preserve">, to be equally irrelevant as the commission of a very minor offence on one </w:t>
      </w:r>
      <w:r w:rsidR="00F67FA3">
        <w:rPr>
          <w:rFonts w:ascii="Book Antiqua" w:hAnsi="Book Antiqua"/>
          <w:color w:val="000000"/>
        </w:rPr>
        <w:t xml:space="preserve">isolated </w:t>
      </w:r>
      <w:r w:rsidR="008F5EF5">
        <w:rPr>
          <w:rFonts w:ascii="Book Antiqua" w:hAnsi="Book Antiqua"/>
          <w:color w:val="000000"/>
        </w:rPr>
        <w:t xml:space="preserve">occasion?  If the drafters intended to exclude </w:t>
      </w:r>
      <w:r w:rsidR="009E156B">
        <w:rPr>
          <w:rFonts w:ascii="Book Antiqua" w:hAnsi="Book Antiqua"/>
          <w:color w:val="000000"/>
        </w:rPr>
        <w:t>commission</w:t>
      </w:r>
      <w:r w:rsidR="008F5EF5">
        <w:rPr>
          <w:rFonts w:ascii="Book Antiqua" w:hAnsi="Book Antiqua"/>
          <w:color w:val="000000"/>
        </w:rPr>
        <w:t xml:space="preserve"> of offences from the potential range of factors relevant to social and cultural integration, one would have expected </w:t>
      </w:r>
      <w:r w:rsidR="009E156B">
        <w:rPr>
          <w:rFonts w:ascii="Book Antiqua" w:hAnsi="Book Antiqua"/>
          <w:color w:val="000000"/>
        </w:rPr>
        <w:t>them</w:t>
      </w:r>
      <w:r w:rsidR="008F5EF5">
        <w:rPr>
          <w:rFonts w:ascii="Book Antiqua" w:hAnsi="Book Antiqua"/>
          <w:color w:val="000000"/>
        </w:rPr>
        <w:t xml:space="preserve"> to say so. If the opposite of “social[ly] is “anti-social”and if criminal behaviour is anti-</w:t>
      </w:r>
      <w:r w:rsidR="009E156B">
        <w:rPr>
          <w:rFonts w:ascii="Book Antiqua" w:hAnsi="Book Antiqua"/>
          <w:color w:val="000000"/>
        </w:rPr>
        <w:t>social, then</w:t>
      </w:r>
      <w:r w:rsidR="008F5EF5">
        <w:rPr>
          <w:rFonts w:ascii="Book Antiqua" w:hAnsi="Book Antiqua"/>
          <w:color w:val="000000"/>
        </w:rPr>
        <w:t xml:space="preserve"> on the panel’s approach one could have the anomaly of a decision-maker finding there was integration even though the person concerned had exhibited </w:t>
      </w:r>
      <w:r w:rsidR="009E156B">
        <w:rPr>
          <w:rFonts w:ascii="Book Antiqua" w:hAnsi="Book Antiqua"/>
          <w:color w:val="000000"/>
        </w:rPr>
        <w:t>consistently</w:t>
      </w:r>
      <w:r w:rsidR="008F5EF5">
        <w:rPr>
          <w:rFonts w:ascii="Book Antiqua" w:hAnsi="Book Antiqua"/>
          <w:color w:val="000000"/>
        </w:rPr>
        <w:t xml:space="preserve"> anti-social </w:t>
      </w:r>
      <w:r w:rsidR="009E156B">
        <w:rPr>
          <w:rFonts w:ascii="Book Antiqua" w:hAnsi="Book Antiqua"/>
          <w:color w:val="000000"/>
        </w:rPr>
        <w:t>behaviour</w:t>
      </w:r>
      <w:r w:rsidR="008F5EF5">
        <w:rPr>
          <w:rFonts w:ascii="Book Antiqua" w:hAnsi="Book Antiqua"/>
          <w:color w:val="000000"/>
        </w:rPr>
        <w:t xml:space="preserve">. </w:t>
      </w:r>
      <w:r w:rsidR="00F67FA3">
        <w:rPr>
          <w:rFonts w:ascii="Book Antiqua" w:hAnsi="Book Antiqua"/>
          <w:color w:val="000000"/>
        </w:rPr>
        <w:t xml:space="preserve">Further, to the extent that it sheds light on the general purport of para 399A(b), the Home Office policy instructions </w:t>
      </w:r>
      <w:r w:rsidR="002F35E8">
        <w:rPr>
          <w:rFonts w:ascii="Book Antiqua" w:hAnsi="Book Antiqua"/>
          <w:color w:val="000000"/>
        </w:rPr>
        <w:t xml:space="preserve">to staff </w:t>
      </w:r>
      <w:r w:rsidR="00F67FA3">
        <w:rPr>
          <w:rFonts w:ascii="Book Antiqua" w:hAnsi="Book Antiqua"/>
          <w:color w:val="000000"/>
        </w:rPr>
        <w:t>as set out in “Criminality: Article 8 ECHR</w:t>
      </w:r>
      <w:r w:rsidR="00B83F6C">
        <w:rPr>
          <w:rFonts w:ascii="Book Antiqua" w:hAnsi="Book Antiqua"/>
          <w:color w:val="000000"/>
        </w:rPr>
        <w:t>” Version 6</w:t>
      </w:r>
      <w:r w:rsidR="00F67FA3">
        <w:rPr>
          <w:rFonts w:ascii="Book Antiqua" w:hAnsi="Book Antiqua"/>
          <w:color w:val="000000"/>
        </w:rPr>
        <w:t>, 22 February 2017, clearly considers the commission of offences as relevant to the issue of integration in this context</w:t>
      </w:r>
      <w:r w:rsidR="00F67FA3">
        <w:rPr>
          <w:rStyle w:val="FootnoteReference"/>
          <w:rFonts w:ascii="Book Antiqua" w:hAnsi="Book Antiqua"/>
          <w:color w:val="000000"/>
        </w:rPr>
        <w:footnoteReference w:id="1"/>
      </w:r>
      <w:r w:rsidR="00F67FA3">
        <w:rPr>
          <w:rFonts w:ascii="Book Antiqua" w:hAnsi="Book Antiqua"/>
          <w:color w:val="000000"/>
        </w:rPr>
        <w:t xml:space="preserve">. </w:t>
      </w:r>
    </w:p>
    <w:p w:rsidR="00AE6957" w:rsidRDefault="009E53FF" w:rsidP="00D97FE6">
      <w:pPr>
        <w:spacing w:before="160"/>
        <w:ind w:left="567" w:hanging="567"/>
        <w:jc w:val="both"/>
        <w:rPr>
          <w:rFonts w:ascii="Book Antiqua" w:hAnsi="Book Antiqua" w:cs="Arial"/>
        </w:rPr>
      </w:pPr>
      <w:r>
        <w:rPr>
          <w:rFonts w:ascii="Book Antiqua" w:hAnsi="Book Antiqua" w:cs="Arial"/>
        </w:rPr>
        <w:t>39</w:t>
      </w:r>
      <w:r w:rsidR="00687868">
        <w:rPr>
          <w:rFonts w:ascii="Book Antiqua" w:hAnsi="Book Antiqua" w:cs="Arial"/>
        </w:rPr>
        <w:t>.</w:t>
      </w:r>
      <w:r w:rsidR="00D97FE6">
        <w:rPr>
          <w:rFonts w:ascii="Book Antiqua" w:hAnsi="Book Antiqua" w:cs="Arial"/>
        </w:rPr>
        <w:tab/>
      </w:r>
      <w:r w:rsidR="00A7001E">
        <w:rPr>
          <w:rFonts w:ascii="Book Antiqua" w:hAnsi="Book Antiqua" w:cs="Arial"/>
        </w:rPr>
        <w:t xml:space="preserve">In my </w:t>
      </w:r>
      <w:r w:rsidR="00252586">
        <w:rPr>
          <w:rFonts w:ascii="Book Antiqua" w:hAnsi="Book Antiqua" w:cs="Arial"/>
        </w:rPr>
        <w:t>judgement,</w:t>
      </w:r>
      <w:r w:rsidR="00A7001E">
        <w:rPr>
          <w:rFonts w:ascii="Book Antiqua" w:hAnsi="Book Antiqua" w:cs="Arial"/>
        </w:rPr>
        <w:t xml:space="preserve"> the effect of th</w:t>
      </w:r>
      <w:r w:rsidR="00687868">
        <w:rPr>
          <w:rFonts w:ascii="Book Antiqua" w:hAnsi="Book Antiqua" w:cs="Arial"/>
        </w:rPr>
        <w:t>e claimant’s</w:t>
      </w:r>
      <w:r w:rsidR="00A7001E">
        <w:rPr>
          <w:rFonts w:ascii="Book Antiqua" w:hAnsi="Book Antiqua" w:cs="Arial"/>
        </w:rPr>
        <w:t xml:space="preserve"> pattern of offending </w:t>
      </w:r>
      <w:r w:rsidR="00687868">
        <w:rPr>
          <w:rFonts w:ascii="Book Antiqua" w:hAnsi="Book Antiqua" w:cs="Arial"/>
        </w:rPr>
        <w:t xml:space="preserve">over a period of some 3 years 7 months </w:t>
      </w:r>
      <w:r w:rsidR="002D52A3">
        <w:rPr>
          <w:rFonts w:ascii="Book Antiqua" w:hAnsi="Book Antiqua" w:cs="Arial"/>
        </w:rPr>
        <w:t xml:space="preserve">and his periods in detention </w:t>
      </w:r>
      <w:r w:rsidR="00A7001E">
        <w:rPr>
          <w:rFonts w:ascii="Book Antiqua" w:hAnsi="Book Antiqua" w:cs="Arial"/>
        </w:rPr>
        <w:t xml:space="preserve">was to </w:t>
      </w:r>
      <w:r w:rsidR="00C80B86">
        <w:rPr>
          <w:rFonts w:ascii="Book Antiqua" w:hAnsi="Book Antiqua" w:cs="Arial"/>
        </w:rPr>
        <w:t>break the</w:t>
      </w:r>
      <w:r w:rsidR="00A7001E">
        <w:rPr>
          <w:rFonts w:ascii="Book Antiqua" w:hAnsi="Book Antiqua" w:cs="Arial"/>
        </w:rPr>
        <w:t xml:space="preserve"> social and cultural integration he had acquired during his childhood.  The question therefore is whether </w:t>
      </w:r>
      <w:r w:rsidR="007316C2">
        <w:rPr>
          <w:rFonts w:ascii="Book Antiqua" w:hAnsi="Book Antiqua" w:cs="Arial"/>
        </w:rPr>
        <w:t xml:space="preserve">since February 2017 </w:t>
      </w:r>
      <w:r w:rsidR="00A7001E">
        <w:rPr>
          <w:rFonts w:ascii="Book Antiqua" w:hAnsi="Book Antiqua" w:cs="Arial"/>
        </w:rPr>
        <w:t xml:space="preserve">he has </w:t>
      </w:r>
      <w:r w:rsidR="00C80B86">
        <w:rPr>
          <w:rFonts w:ascii="Book Antiqua" w:hAnsi="Book Antiqua" w:cs="Arial"/>
        </w:rPr>
        <w:t>reacquired</w:t>
      </w:r>
      <w:r w:rsidR="00A7001E">
        <w:rPr>
          <w:rFonts w:ascii="Book Antiqua" w:hAnsi="Book Antiqua" w:cs="Arial"/>
        </w:rPr>
        <w:t xml:space="preserve"> the </w:t>
      </w:r>
      <w:r w:rsidR="00C80B86">
        <w:rPr>
          <w:rFonts w:ascii="Book Antiqua" w:hAnsi="Book Antiqua" w:cs="Arial"/>
        </w:rPr>
        <w:t>status</w:t>
      </w:r>
      <w:r w:rsidR="00A7001E">
        <w:rPr>
          <w:rFonts w:ascii="Book Antiqua" w:hAnsi="Book Antiqua" w:cs="Arial"/>
        </w:rPr>
        <w:t xml:space="preserve"> of someone who is culturally and </w:t>
      </w:r>
      <w:r w:rsidR="00C80B86">
        <w:rPr>
          <w:rFonts w:ascii="Book Antiqua" w:hAnsi="Book Antiqua" w:cs="Arial"/>
        </w:rPr>
        <w:t>socially</w:t>
      </w:r>
      <w:r w:rsidR="00A7001E">
        <w:rPr>
          <w:rFonts w:ascii="Book Antiqua" w:hAnsi="Book Antiqua" w:cs="Arial"/>
        </w:rPr>
        <w:t xml:space="preserve"> integrated.  </w:t>
      </w:r>
    </w:p>
    <w:p w:rsidR="00AE6957" w:rsidRDefault="009E53FF" w:rsidP="00D97FE6">
      <w:pPr>
        <w:spacing w:before="160"/>
        <w:ind w:left="567" w:hanging="567"/>
        <w:jc w:val="both"/>
        <w:rPr>
          <w:rFonts w:ascii="Book Antiqua" w:hAnsi="Book Antiqua" w:cs="Arial"/>
        </w:rPr>
      </w:pPr>
      <w:r>
        <w:rPr>
          <w:rFonts w:ascii="Book Antiqua" w:hAnsi="Book Antiqua" w:cs="Arial"/>
        </w:rPr>
        <w:lastRenderedPageBreak/>
        <w:t>40</w:t>
      </w:r>
      <w:r w:rsidR="00252586">
        <w:rPr>
          <w:rFonts w:ascii="Book Antiqua" w:hAnsi="Book Antiqua" w:cs="Arial"/>
        </w:rPr>
        <w:t>.</w:t>
      </w:r>
      <w:r w:rsidR="00D97FE6">
        <w:rPr>
          <w:rFonts w:ascii="Book Antiqua" w:hAnsi="Book Antiqua" w:cs="Arial"/>
        </w:rPr>
        <w:tab/>
      </w:r>
      <w:r w:rsidR="00D84A2A">
        <w:rPr>
          <w:rFonts w:ascii="Book Antiqua" w:hAnsi="Book Antiqua" w:cs="Arial"/>
        </w:rPr>
        <w:t>I</w:t>
      </w:r>
      <w:r w:rsidR="00E6447F">
        <w:rPr>
          <w:rFonts w:ascii="Book Antiqua" w:hAnsi="Book Antiqua" w:cs="Arial"/>
        </w:rPr>
        <w:t xml:space="preserve">n certain respects he has </w:t>
      </w:r>
      <w:r w:rsidR="00C80B86">
        <w:rPr>
          <w:rFonts w:ascii="Book Antiqua" w:hAnsi="Book Antiqua" w:cs="Arial"/>
        </w:rPr>
        <w:t>clearly</w:t>
      </w:r>
      <w:r w:rsidR="00E6447F">
        <w:rPr>
          <w:rFonts w:ascii="Book Antiqua" w:hAnsi="Book Antiqua" w:cs="Arial"/>
        </w:rPr>
        <w:t xml:space="preserve"> continued to form social relationships and to maintain some level of contact with his mother and siblings.  From one of his relationships he has had a </w:t>
      </w:r>
      <w:r w:rsidR="00C80B86">
        <w:rPr>
          <w:rFonts w:ascii="Book Antiqua" w:hAnsi="Book Antiqua" w:cs="Arial"/>
        </w:rPr>
        <w:t>child</w:t>
      </w:r>
      <w:r w:rsidR="00E6447F">
        <w:rPr>
          <w:rFonts w:ascii="Book Antiqua" w:hAnsi="Book Antiqua" w:cs="Arial"/>
        </w:rPr>
        <w:t xml:space="preserve"> and has stated that the only reason he has not sought to </w:t>
      </w:r>
      <w:r w:rsidR="00C80B86">
        <w:rPr>
          <w:rFonts w:ascii="Book Antiqua" w:hAnsi="Book Antiqua" w:cs="Arial"/>
        </w:rPr>
        <w:t>form</w:t>
      </w:r>
      <w:r w:rsidR="00E6447F">
        <w:rPr>
          <w:rFonts w:ascii="Book Antiqua" w:hAnsi="Book Antiqua" w:cs="Arial"/>
        </w:rPr>
        <w:t xml:space="preserve"> a father-son relationship with this child is because he is afraid this might be disrupted by his deportation.  </w:t>
      </w:r>
    </w:p>
    <w:p w:rsidR="00F40931" w:rsidRDefault="00687868"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1</w:t>
      </w:r>
      <w:r w:rsidR="00252586">
        <w:rPr>
          <w:rFonts w:ascii="Book Antiqua" w:hAnsi="Book Antiqua" w:cs="Arial"/>
        </w:rPr>
        <w:t>.</w:t>
      </w:r>
      <w:r w:rsidR="00D97FE6">
        <w:rPr>
          <w:rFonts w:ascii="Book Antiqua" w:hAnsi="Book Antiqua" w:cs="Arial"/>
        </w:rPr>
        <w:tab/>
      </w:r>
      <w:r w:rsidR="00E6447F">
        <w:rPr>
          <w:rFonts w:ascii="Book Antiqua" w:hAnsi="Book Antiqua" w:cs="Arial"/>
        </w:rPr>
        <w:t xml:space="preserve">In other </w:t>
      </w:r>
      <w:r w:rsidR="00C80B86">
        <w:rPr>
          <w:rFonts w:ascii="Book Antiqua" w:hAnsi="Book Antiqua" w:cs="Arial"/>
        </w:rPr>
        <w:t>respects</w:t>
      </w:r>
      <w:r w:rsidR="00E6447F">
        <w:rPr>
          <w:rFonts w:ascii="Book Antiqua" w:hAnsi="Book Antiqua" w:cs="Arial"/>
        </w:rPr>
        <w:t xml:space="preserve">, however, he is not someone who has developed significant private life ties.  Indeed, Ms Moffatt emphasised more than once in her submissions regarding obstacles to his integration into Nigerian </w:t>
      </w:r>
      <w:r w:rsidR="00C80B86">
        <w:rPr>
          <w:rFonts w:ascii="Book Antiqua" w:hAnsi="Book Antiqua" w:cs="Arial"/>
        </w:rPr>
        <w:t>society</w:t>
      </w:r>
      <w:r w:rsidR="00E6447F">
        <w:rPr>
          <w:rFonts w:ascii="Book Antiqua" w:hAnsi="Book Antiqua" w:cs="Arial"/>
        </w:rPr>
        <w:t xml:space="preserve"> that he does not have </w:t>
      </w:r>
      <w:r w:rsidR="0068767D">
        <w:rPr>
          <w:rFonts w:ascii="Book Antiqua" w:hAnsi="Book Antiqua" w:cs="Arial"/>
        </w:rPr>
        <w:t>a network of family or friends in the UK and no-one came to support him in his appeal.  Nor has the claimant been in employment</w:t>
      </w:r>
      <w:r w:rsidR="00D84A2A">
        <w:rPr>
          <w:rFonts w:ascii="Book Antiqua" w:hAnsi="Book Antiqua" w:cs="Arial"/>
        </w:rPr>
        <w:t xml:space="preserve"> for a number of years</w:t>
      </w:r>
      <w:r w:rsidR="0068767D">
        <w:rPr>
          <w:rFonts w:ascii="Book Antiqua" w:hAnsi="Book Antiqua" w:cs="Arial"/>
        </w:rPr>
        <w:t xml:space="preserve">.  He has given evidence that he has not been able to find work because of his immigration status, but he is someone who has ILR and </w:t>
      </w:r>
      <w:r w:rsidR="00AE6957">
        <w:rPr>
          <w:rFonts w:ascii="Book Antiqua" w:hAnsi="Book Antiqua" w:cs="Arial"/>
        </w:rPr>
        <w:t xml:space="preserve">(as Ms Moffat confirmed in reply to a question sent from me to the parties on 15 June 2018) </w:t>
      </w:r>
      <w:r w:rsidR="0068767D">
        <w:rPr>
          <w:rFonts w:ascii="Book Antiqua" w:hAnsi="Book Antiqua" w:cs="Arial"/>
        </w:rPr>
        <w:t xml:space="preserve">that only ceases to have legal effect if and when he proves unsuccessful in his appeal against a deportation order.  </w:t>
      </w:r>
      <w:r w:rsidR="00C80B86">
        <w:rPr>
          <w:rFonts w:ascii="Book Antiqua" w:hAnsi="Book Antiqua" w:cs="Arial"/>
        </w:rPr>
        <w:t>He has also given evidence that he has taken active steps to learn how to become a financial adviser; that is to his credit; but it remains he has not had any connection with the labour market</w:t>
      </w:r>
      <w:r w:rsidR="00D84A2A">
        <w:rPr>
          <w:rFonts w:ascii="Book Antiqua" w:hAnsi="Book Antiqua" w:cs="Arial"/>
        </w:rPr>
        <w:t xml:space="preserve"> for some time</w:t>
      </w:r>
      <w:r w:rsidR="00C80B86">
        <w:rPr>
          <w:rFonts w:ascii="Book Antiqua" w:hAnsi="Book Antiqua" w:cs="Arial"/>
        </w:rPr>
        <w:t xml:space="preserve">.  </w:t>
      </w:r>
      <w:r w:rsidR="00513FD1">
        <w:rPr>
          <w:rFonts w:ascii="Book Antiqua" w:hAnsi="Book Antiqua" w:cs="Arial"/>
        </w:rPr>
        <w:t xml:space="preserve">His history of offending represents anti-social behaviour in very strong form. </w:t>
      </w:r>
      <w:r w:rsidR="00252586">
        <w:rPr>
          <w:rFonts w:ascii="Book Antiqua" w:hAnsi="Book Antiqua" w:cs="Arial"/>
        </w:rPr>
        <w:t xml:space="preserve">As regards his risk of re-offending, the report from Dr Brotherton states that the risk of violent offending is moderate and that “I do not think that his risk of re-offending has significantly reduced” [from what is was assessed as being in the Pre-Sentence report by a probation officer in July 2013] (para 7.3.1). </w:t>
      </w:r>
      <w:r w:rsidR="00AE6957">
        <w:rPr>
          <w:rFonts w:ascii="Book Antiqua" w:hAnsi="Book Antiqua" w:cs="Arial"/>
        </w:rPr>
        <w:t xml:space="preserve">Although the claimant stated in his evidence to me that he has shown remorse, Dr Brotherton concluded in the same report that “there was no evidence of remorse, aside that for his own personal </w:t>
      </w:r>
      <w:r w:rsidR="00252586">
        <w:rPr>
          <w:rFonts w:ascii="Book Antiqua" w:hAnsi="Book Antiqua" w:cs="Arial"/>
        </w:rPr>
        <w:t>consequences</w:t>
      </w:r>
      <w:r w:rsidR="00AE6957">
        <w:rPr>
          <w:rFonts w:ascii="Book Antiqua" w:hAnsi="Book Antiqua" w:cs="Arial"/>
        </w:rPr>
        <w:t xml:space="preserve"> and references to others’ material loss” ( 7.1.2). </w:t>
      </w:r>
      <w:r w:rsidR="00252586">
        <w:rPr>
          <w:rFonts w:ascii="Book Antiqua" w:hAnsi="Book Antiqua" w:cs="Arial"/>
        </w:rPr>
        <w:t xml:space="preserve">Whether or not as a result of his own mental health difficulties at the time, the claimant’s time in detention was not one where he engaged in any behaviour specifically identified as positive.  </w:t>
      </w:r>
      <w:r w:rsidR="0068767D">
        <w:rPr>
          <w:rFonts w:ascii="Book Antiqua" w:hAnsi="Book Antiqua" w:cs="Arial"/>
        </w:rPr>
        <w:t>In my judgement</w:t>
      </w:r>
      <w:r w:rsidR="00513FD1">
        <w:rPr>
          <w:rFonts w:ascii="Book Antiqua" w:hAnsi="Book Antiqua" w:cs="Arial"/>
        </w:rPr>
        <w:t>,</w:t>
      </w:r>
      <w:r w:rsidR="0068767D">
        <w:rPr>
          <w:rFonts w:ascii="Book Antiqua" w:hAnsi="Book Antiqua" w:cs="Arial"/>
        </w:rPr>
        <w:t xml:space="preserve"> </w:t>
      </w:r>
      <w:r w:rsidR="00513FD1">
        <w:rPr>
          <w:rFonts w:ascii="Book Antiqua" w:hAnsi="Book Antiqua" w:cs="Arial"/>
        </w:rPr>
        <w:t xml:space="preserve">on the facts of his case </w:t>
      </w:r>
      <w:r w:rsidR="006C7887">
        <w:rPr>
          <w:rFonts w:ascii="Book Antiqua" w:hAnsi="Book Antiqua" w:cs="Arial"/>
        </w:rPr>
        <w:t xml:space="preserve">the integrative links </w:t>
      </w:r>
      <w:r>
        <w:rPr>
          <w:rFonts w:ascii="Book Antiqua" w:hAnsi="Book Antiqua" w:cs="Arial"/>
        </w:rPr>
        <w:t>t</w:t>
      </w:r>
      <w:r w:rsidR="006C7887">
        <w:rPr>
          <w:rFonts w:ascii="Book Antiqua" w:hAnsi="Book Antiqua" w:cs="Arial"/>
        </w:rPr>
        <w:t xml:space="preserve">he </w:t>
      </w:r>
      <w:r>
        <w:rPr>
          <w:rFonts w:ascii="Book Antiqua" w:hAnsi="Book Antiqua" w:cs="Arial"/>
        </w:rPr>
        <w:t xml:space="preserve">claimant </w:t>
      </w:r>
      <w:r w:rsidR="006C7887">
        <w:rPr>
          <w:rFonts w:ascii="Book Antiqua" w:hAnsi="Book Antiqua" w:cs="Arial"/>
        </w:rPr>
        <w:t xml:space="preserve">had with the UK were broken </w:t>
      </w:r>
      <w:r w:rsidR="00252586">
        <w:rPr>
          <w:rFonts w:ascii="Book Antiqua" w:hAnsi="Book Antiqua" w:cs="Arial"/>
        </w:rPr>
        <w:t>by his</w:t>
      </w:r>
      <w:r w:rsidR="006C7887">
        <w:rPr>
          <w:rFonts w:ascii="Book Antiqua" w:hAnsi="Book Antiqua" w:cs="Arial"/>
        </w:rPr>
        <w:t xml:space="preserve"> </w:t>
      </w:r>
      <w:r>
        <w:rPr>
          <w:rFonts w:ascii="Book Antiqua" w:hAnsi="Book Antiqua" w:cs="Arial"/>
        </w:rPr>
        <w:t xml:space="preserve">period of </w:t>
      </w:r>
      <w:r w:rsidR="006C7887">
        <w:rPr>
          <w:rFonts w:ascii="Book Antiqua" w:hAnsi="Book Antiqua" w:cs="Arial"/>
        </w:rPr>
        <w:t xml:space="preserve">offending and his period of </w:t>
      </w:r>
      <w:r w:rsidR="00252586">
        <w:rPr>
          <w:rFonts w:ascii="Book Antiqua" w:hAnsi="Book Antiqua" w:cs="Arial"/>
        </w:rPr>
        <w:t>imprisonment</w:t>
      </w:r>
      <w:r>
        <w:rPr>
          <w:rFonts w:ascii="Book Antiqua" w:hAnsi="Book Antiqua" w:cs="Arial"/>
        </w:rPr>
        <w:t>;</w:t>
      </w:r>
      <w:r w:rsidR="006C7887">
        <w:rPr>
          <w:rFonts w:ascii="Book Antiqua" w:hAnsi="Book Antiqua" w:cs="Arial"/>
        </w:rPr>
        <w:t xml:space="preserve"> and</w:t>
      </w:r>
      <w:r>
        <w:rPr>
          <w:rFonts w:ascii="Book Antiqua" w:hAnsi="Book Antiqua" w:cs="Arial"/>
        </w:rPr>
        <w:t>,</w:t>
      </w:r>
      <w:r w:rsidR="006C7887">
        <w:rPr>
          <w:rFonts w:ascii="Book Antiqua" w:hAnsi="Book Antiqua" w:cs="Arial"/>
        </w:rPr>
        <w:t xml:space="preserve"> since his release from </w:t>
      </w:r>
      <w:r w:rsidR="00252586">
        <w:rPr>
          <w:rFonts w:ascii="Book Antiqua" w:hAnsi="Book Antiqua" w:cs="Arial"/>
        </w:rPr>
        <w:t>detention</w:t>
      </w:r>
      <w:r>
        <w:rPr>
          <w:rFonts w:ascii="Book Antiqua" w:hAnsi="Book Antiqua" w:cs="Arial"/>
        </w:rPr>
        <w:t>,</w:t>
      </w:r>
      <w:r w:rsidR="006C7887">
        <w:rPr>
          <w:rFonts w:ascii="Book Antiqua" w:hAnsi="Book Antiqua" w:cs="Arial"/>
        </w:rPr>
        <w:t xml:space="preserve"> </w:t>
      </w:r>
      <w:r>
        <w:rPr>
          <w:rFonts w:ascii="Book Antiqua" w:hAnsi="Book Antiqua" w:cs="Arial"/>
        </w:rPr>
        <w:t xml:space="preserve">they </w:t>
      </w:r>
      <w:r w:rsidR="006C7887">
        <w:rPr>
          <w:rFonts w:ascii="Book Antiqua" w:hAnsi="Book Antiqua" w:cs="Arial"/>
        </w:rPr>
        <w:t>have not been re</w:t>
      </w:r>
      <w:r w:rsidR="00513FD1">
        <w:rPr>
          <w:rFonts w:ascii="Book Antiqua" w:hAnsi="Book Antiqua" w:cs="Arial"/>
        </w:rPr>
        <w:t>-</w:t>
      </w:r>
      <w:r w:rsidR="006C7887">
        <w:rPr>
          <w:rFonts w:ascii="Book Antiqua" w:hAnsi="Book Antiqua" w:cs="Arial"/>
        </w:rPr>
        <w:t xml:space="preserve">formed. </w:t>
      </w:r>
      <w:r w:rsidR="00186D79">
        <w:rPr>
          <w:rFonts w:ascii="Book Antiqua" w:hAnsi="Book Antiqua" w:cs="Arial"/>
        </w:rPr>
        <w:t>(I leave open the question of whether I would take the same view of someone whose history was the same as the claimant’s save that he or she was a British citizen, except to note that British citizenship in itself constitutes an important integrative link, but in any event this claimant is not a British citizen.) Considering</w:t>
      </w:r>
      <w:r w:rsidR="00D01CC1">
        <w:rPr>
          <w:rFonts w:ascii="Book Antiqua" w:hAnsi="Book Antiqua" w:cs="Arial"/>
        </w:rPr>
        <w:t xml:space="preserve"> the evidence in the </w:t>
      </w:r>
      <w:r w:rsidR="00186D79">
        <w:rPr>
          <w:rFonts w:ascii="Book Antiqua" w:hAnsi="Book Antiqua" w:cs="Arial"/>
        </w:rPr>
        <w:t>round</w:t>
      </w:r>
      <w:r w:rsidR="00D01CC1">
        <w:rPr>
          <w:rFonts w:ascii="Book Antiqua" w:hAnsi="Book Antiqua" w:cs="Arial"/>
        </w:rPr>
        <w:t xml:space="preserve">, the claimant </w:t>
      </w:r>
      <w:r w:rsidR="0068767D">
        <w:rPr>
          <w:rFonts w:ascii="Book Antiqua" w:hAnsi="Book Antiqua" w:cs="Arial"/>
        </w:rPr>
        <w:t>is not someone who is presently “</w:t>
      </w:r>
      <w:r w:rsidR="00A7001E">
        <w:rPr>
          <w:rFonts w:ascii="Book Antiqua" w:hAnsi="Book Antiqua" w:cs="Arial"/>
        </w:rPr>
        <w:t>culturally and socially integrated in the UK”.</w:t>
      </w:r>
    </w:p>
    <w:p w:rsidR="00A7001E" w:rsidRDefault="00687868"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2</w:t>
      </w:r>
      <w:r w:rsidR="00A7001E">
        <w:rPr>
          <w:rFonts w:ascii="Book Antiqua" w:hAnsi="Book Antiqua" w:cs="Arial"/>
        </w:rPr>
        <w:t>.</w:t>
      </w:r>
      <w:r w:rsidR="00A7001E">
        <w:rPr>
          <w:rFonts w:ascii="Book Antiqua" w:hAnsi="Book Antiqua" w:cs="Arial"/>
        </w:rPr>
        <w:tab/>
        <w:t xml:space="preserve">Ms Moffatt has submitted that the claimant should be considered as someone who has remained socially and culturally integrated by virtue of the fact that he was denied a normal childhood </w:t>
      </w:r>
      <w:r w:rsidR="00C80B86">
        <w:rPr>
          <w:rFonts w:ascii="Book Antiqua" w:hAnsi="Book Antiqua" w:cs="Arial"/>
        </w:rPr>
        <w:t>through</w:t>
      </w:r>
      <w:r w:rsidR="00A7001E">
        <w:rPr>
          <w:rFonts w:ascii="Book Antiqua" w:hAnsi="Book Antiqua" w:cs="Arial"/>
        </w:rPr>
        <w:t xml:space="preserve"> forces </w:t>
      </w:r>
      <w:r w:rsidR="00C80B86">
        <w:rPr>
          <w:rFonts w:ascii="Book Antiqua" w:hAnsi="Book Antiqua" w:cs="Arial"/>
        </w:rPr>
        <w:t>outside</w:t>
      </w:r>
      <w:r w:rsidR="00A7001E">
        <w:rPr>
          <w:rFonts w:ascii="Book Antiqua" w:hAnsi="Book Antiqua" w:cs="Arial"/>
        </w:rPr>
        <w:t xml:space="preserve"> his control – his mother having treated him abusively as a child and </w:t>
      </w:r>
      <w:r w:rsidR="00D34700">
        <w:rPr>
          <w:rFonts w:ascii="Book Antiqua" w:hAnsi="Book Antiqua" w:cs="Arial"/>
        </w:rPr>
        <w:t>Lambeth Social Services</w:t>
      </w:r>
      <w:r w:rsidR="00A7001E">
        <w:rPr>
          <w:rFonts w:ascii="Book Antiqua" w:hAnsi="Book Antiqua" w:cs="Arial"/>
        </w:rPr>
        <w:t xml:space="preserve"> having </w:t>
      </w:r>
      <w:r w:rsidR="00C80B86">
        <w:rPr>
          <w:rFonts w:ascii="Book Antiqua" w:hAnsi="Book Antiqua" w:cs="Arial"/>
        </w:rPr>
        <w:t>failed</w:t>
      </w:r>
      <w:r w:rsidR="00A7001E">
        <w:rPr>
          <w:rFonts w:ascii="Book Antiqua" w:hAnsi="Book Antiqua" w:cs="Arial"/>
        </w:rPr>
        <w:t xml:space="preserve"> to take him into care until he was </w:t>
      </w:r>
      <w:r w:rsidR="00D84A2A">
        <w:rPr>
          <w:rFonts w:ascii="Book Antiqua" w:hAnsi="Book Antiqua" w:cs="Arial"/>
        </w:rPr>
        <w:t xml:space="preserve">aged </w:t>
      </w:r>
      <w:r w:rsidR="00A7001E">
        <w:rPr>
          <w:rFonts w:ascii="Book Antiqua" w:hAnsi="Book Antiqua" w:cs="Arial"/>
        </w:rPr>
        <w:t xml:space="preserve">14/15, when he was </w:t>
      </w:r>
      <w:r w:rsidR="00C80B86">
        <w:rPr>
          <w:rFonts w:ascii="Book Antiqua" w:hAnsi="Book Antiqua" w:cs="Arial"/>
        </w:rPr>
        <w:t>clearly</w:t>
      </w:r>
      <w:r w:rsidR="00A7001E">
        <w:rPr>
          <w:rFonts w:ascii="Book Antiqua" w:hAnsi="Book Antiqua" w:cs="Arial"/>
        </w:rPr>
        <w:t xml:space="preserve"> in need of protection much earlier.  She relies on the observations made by doctors Brotherton and Thomas and independent social worker Horrocks in this regard.  These reports present a harrowing picture.  </w:t>
      </w:r>
      <w:r w:rsidR="00503473">
        <w:rPr>
          <w:rFonts w:ascii="Book Antiqua" w:hAnsi="Book Antiqua" w:cs="Arial"/>
        </w:rPr>
        <w:t xml:space="preserve">They also confirm that he has Major Depressive Disorder </w:t>
      </w:r>
      <w:r w:rsidR="00C4062B">
        <w:rPr>
          <w:rFonts w:ascii="Book Antiqua" w:hAnsi="Book Antiqua" w:cs="Arial"/>
        </w:rPr>
        <w:t>secondary</w:t>
      </w:r>
      <w:r w:rsidR="00503473">
        <w:rPr>
          <w:rFonts w:ascii="Book Antiqua" w:hAnsi="Book Antiqua" w:cs="Arial"/>
        </w:rPr>
        <w:t xml:space="preserve"> to his past and present life </w:t>
      </w:r>
      <w:r w:rsidR="00C4062B">
        <w:rPr>
          <w:rFonts w:ascii="Book Antiqua" w:hAnsi="Book Antiqua" w:cs="Arial"/>
        </w:rPr>
        <w:t>circumstances</w:t>
      </w:r>
      <w:r w:rsidR="00503473">
        <w:rPr>
          <w:rFonts w:ascii="Book Antiqua" w:hAnsi="Book Antiqua" w:cs="Arial"/>
        </w:rPr>
        <w:t xml:space="preserve"> with some </w:t>
      </w:r>
      <w:r w:rsidR="00C4062B">
        <w:rPr>
          <w:rFonts w:ascii="Book Antiqua" w:hAnsi="Book Antiqua" w:cs="Arial"/>
        </w:rPr>
        <w:t>significant</w:t>
      </w:r>
      <w:r w:rsidR="00503473">
        <w:rPr>
          <w:rFonts w:ascii="Book Antiqua" w:hAnsi="Book Antiqua" w:cs="Arial"/>
        </w:rPr>
        <w:t xml:space="preserve"> post-</w:t>
      </w:r>
      <w:r w:rsidR="00C4062B">
        <w:rPr>
          <w:rFonts w:ascii="Book Antiqua" w:hAnsi="Book Antiqua" w:cs="Arial"/>
        </w:rPr>
        <w:t>traumatic</w:t>
      </w:r>
      <w:r w:rsidR="00503473">
        <w:rPr>
          <w:rFonts w:ascii="Book Antiqua" w:hAnsi="Book Antiqua" w:cs="Arial"/>
        </w:rPr>
        <w:t xml:space="preserve"> traits and </w:t>
      </w:r>
      <w:r w:rsidR="00C4062B">
        <w:rPr>
          <w:rFonts w:ascii="Book Antiqua" w:hAnsi="Book Antiqua" w:cs="Arial"/>
        </w:rPr>
        <w:t>psychotic</w:t>
      </w:r>
      <w:r w:rsidR="00503473">
        <w:rPr>
          <w:rFonts w:ascii="Book Antiqua" w:hAnsi="Book Antiqua" w:cs="Arial"/>
        </w:rPr>
        <w:t xml:space="preserve"> symptoms. </w:t>
      </w:r>
      <w:r w:rsidR="00800FA2">
        <w:rPr>
          <w:rFonts w:ascii="Book Antiqua" w:hAnsi="Book Antiqua" w:cs="Arial"/>
        </w:rPr>
        <w:t xml:space="preserve">However, even assuming I were prepared to accept their assessment that </w:t>
      </w:r>
      <w:r w:rsidR="00D34700">
        <w:rPr>
          <w:rFonts w:ascii="Book Antiqua" w:hAnsi="Book Antiqua" w:cs="Arial"/>
        </w:rPr>
        <w:t>Lambeth Social Services</w:t>
      </w:r>
      <w:r w:rsidR="00800FA2">
        <w:rPr>
          <w:rFonts w:ascii="Book Antiqua" w:hAnsi="Book Antiqua" w:cs="Arial"/>
        </w:rPr>
        <w:t xml:space="preserve"> bears significant responsibility for the </w:t>
      </w:r>
      <w:r w:rsidR="00D84A2A">
        <w:rPr>
          <w:rFonts w:ascii="Book Antiqua" w:hAnsi="Book Antiqua" w:cs="Arial"/>
        </w:rPr>
        <w:t xml:space="preserve">distressing </w:t>
      </w:r>
      <w:r w:rsidR="00800FA2">
        <w:rPr>
          <w:rFonts w:ascii="Book Antiqua" w:hAnsi="Book Antiqua" w:cs="Arial"/>
        </w:rPr>
        <w:t xml:space="preserve">problems </w:t>
      </w:r>
      <w:r w:rsidR="00800FA2">
        <w:rPr>
          <w:rFonts w:ascii="Book Antiqua" w:hAnsi="Book Antiqua" w:cs="Arial"/>
        </w:rPr>
        <w:lastRenderedPageBreak/>
        <w:t xml:space="preserve">the claimant faced as a child, he has been in care since 2014 and </w:t>
      </w:r>
      <w:r w:rsidR="00503473">
        <w:rPr>
          <w:rFonts w:ascii="Book Antiqua" w:hAnsi="Book Antiqua" w:cs="Arial"/>
        </w:rPr>
        <w:t xml:space="preserve">I do not consider the evidence </w:t>
      </w:r>
      <w:r w:rsidR="00C4062B">
        <w:rPr>
          <w:rFonts w:ascii="Book Antiqua" w:hAnsi="Book Antiqua" w:cs="Arial"/>
        </w:rPr>
        <w:t>demonstrates</w:t>
      </w:r>
      <w:r w:rsidR="00503473">
        <w:rPr>
          <w:rFonts w:ascii="Book Antiqua" w:hAnsi="Book Antiqua" w:cs="Arial"/>
        </w:rPr>
        <w:t xml:space="preserve"> that his</w:t>
      </w:r>
      <w:r w:rsidR="00800FA2">
        <w:rPr>
          <w:rFonts w:ascii="Book Antiqua" w:hAnsi="Book Antiqua" w:cs="Arial"/>
        </w:rPr>
        <w:t xml:space="preserve"> welfare and be</w:t>
      </w:r>
      <w:r w:rsidR="00D84A2A">
        <w:rPr>
          <w:rFonts w:ascii="Book Antiqua" w:hAnsi="Book Antiqua" w:cs="Arial"/>
        </w:rPr>
        <w:t>st</w:t>
      </w:r>
      <w:r w:rsidR="00800FA2">
        <w:rPr>
          <w:rFonts w:ascii="Book Antiqua" w:hAnsi="Book Antiqua" w:cs="Arial"/>
        </w:rPr>
        <w:t xml:space="preserve"> interests were mishandled from then on.  For that reason (even leaving aside the fact that not </w:t>
      </w:r>
      <w:r w:rsidR="00D84A2A">
        <w:rPr>
          <w:rFonts w:ascii="Book Antiqua" w:hAnsi="Book Antiqua" w:cs="Arial"/>
        </w:rPr>
        <w:t>e</w:t>
      </w:r>
      <w:r w:rsidR="00800FA2">
        <w:rPr>
          <w:rFonts w:ascii="Book Antiqua" w:hAnsi="Book Antiqua" w:cs="Arial"/>
        </w:rPr>
        <w:t>very child who ha</w:t>
      </w:r>
      <w:r w:rsidR="00D84A2A">
        <w:rPr>
          <w:rFonts w:ascii="Book Antiqua" w:hAnsi="Book Antiqua" w:cs="Arial"/>
        </w:rPr>
        <w:t>s</w:t>
      </w:r>
      <w:r w:rsidR="00800FA2">
        <w:rPr>
          <w:rFonts w:ascii="Book Antiqua" w:hAnsi="Book Antiqua" w:cs="Arial"/>
        </w:rPr>
        <w:t xml:space="preserve"> a blighted childhood goes on to commit </w:t>
      </w:r>
      <w:r w:rsidR="00C80B86">
        <w:rPr>
          <w:rFonts w:ascii="Book Antiqua" w:hAnsi="Book Antiqua" w:cs="Arial"/>
        </w:rPr>
        <w:t>offences</w:t>
      </w:r>
      <w:r w:rsidR="00800FA2">
        <w:rPr>
          <w:rFonts w:ascii="Book Antiqua" w:hAnsi="Book Antiqua" w:cs="Arial"/>
        </w:rPr>
        <w:t xml:space="preserve">) I do not consider that the claimant can be said to have </w:t>
      </w:r>
      <w:r w:rsidR="00D84A2A">
        <w:rPr>
          <w:rFonts w:ascii="Book Antiqua" w:hAnsi="Book Antiqua" w:cs="Arial"/>
        </w:rPr>
        <w:t xml:space="preserve">lost the ability to be responsible </w:t>
      </w:r>
      <w:r w:rsidR="00C4062B">
        <w:rPr>
          <w:rFonts w:ascii="Book Antiqua" w:hAnsi="Book Antiqua" w:cs="Arial"/>
        </w:rPr>
        <w:t>for avoiding</w:t>
      </w:r>
      <w:r w:rsidR="00800FA2">
        <w:rPr>
          <w:rFonts w:ascii="Book Antiqua" w:hAnsi="Book Antiqua" w:cs="Arial"/>
        </w:rPr>
        <w:t xml:space="preserve"> anti-social behaviour.  </w:t>
      </w:r>
    </w:p>
    <w:p w:rsidR="00800FA2" w:rsidRPr="00BA07C0" w:rsidRDefault="00BA07C0" w:rsidP="00D97FE6">
      <w:pPr>
        <w:spacing w:before="160"/>
        <w:ind w:left="567"/>
        <w:jc w:val="both"/>
        <w:rPr>
          <w:rFonts w:ascii="Book Antiqua" w:hAnsi="Book Antiqua" w:cs="Arial"/>
          <w:b/>
        </w:rPr>
      </w:pPr>
      <w:r w:rsidRPr="00BA07C0">
        <w:rPr>
          <w:rFonts w:ascii="Book Antiqua" w:hAnsi="Book Antiqua" w:cs="Arial"/>
          <w:b/>
        </w:rPr>
        <w:t>“…very significant obstacles to his integration…”</w:t>
      </w:r>
    </w:p>
    <w:p w:rsidR="00AC6A03" w:rsidRDefault="00687868"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3</w:t>
      </w:r>
      <w:r w:rsidR="00C80B86">
        <w:rPr>
          <w:rFonts w:ascii="Book Antiqua" w:hAnsi="Book Antiqua" w:cs="Arial"/>
        </w:rPr>
        <w:t>.</w:t>
      </w:r>
      <w:r w:rsidR="00C80B86">
        <w:rPr>
          <w:rFonts w:ascii="Book Antiqua" w:hAnsi="Book Antiqua" w:cs="Arial"/>
        </w:rPr>
        <w:tab/>
        <w:t xml:space="preserve">Turning to 399A(c), Ms Moffatt submits that there would clearly be very significant obstacles to the claimant’s integration into Nigeria, a country which he left when he was 1 year old and in which he has no family ties, no cultural or social affinities, and where he would face significant difficulties, aggravated by his mental health condition, in obtaining accommodation, employment and access to health services.  </w:t>
      </w:r>
      <w:r w:rsidR="00800FA2">
        <w:rPr>
          <w:rFonts w:ascii="Book Antiqua" w:hAnsi="Book Antiqua" w:cs="Arial"/>
        </w:rPr>
        <w:t xml:space="preserve">She pointed out that there was no evidence to indicate that the claimant would receive </w:t>
      </w:r>
      <w:r w:rsidR="00C80B86">
        <w:rPr>
          <w:rFonts w:ascii="Book Antiqua" w:hAnsi="Book Antiqua" w:cs="Arial"/>
        </w:rPr>
        <w:t>financial</w:t>
      </w:r>
      <w:r w:rsidR="00800FA2">
        <w:rPr>
          <w:rFonts w:ascii="Book Antiqua" w:hAnsi="Book Antiqua" w:cs="Arial"/>
        </w:rPr>
        <w:t xml:space="preserve"> support from family members or friends in the UK.  I am prepared to accept that the claimant would face </w:t>
      </w:r>
      <w:r w:rsidR="00C80B86">
        <w:rPr>
          <w:rFonts w:ascii="Book Antiqua" w:hAnsi="Book Antiqua" w:cs="Arial"/>
        </w:rPr>
        <w:t>significant</w:t>
      </w:r>
      <w:r w:rsidR="00800FA2">
        <w:rPr>
          <w:rFonts w:ascii="Book Antiqua" w:hAnsi="Book Antiqua" w:cs="Arial"/>
        </w:rPr>
        <w:t xml:space="preserve"> obstacles for the aforementioned reasons, but </w:t>
      </w:r>
      <w:r w:rsidR="00B26123">
        <w:rPr>
          <w:rFonts w:ascii="Book Antiqua" w:hAnsi="Book Antiqua" w:cs="Arial"/>
        </w:rPr>
        <w:t xml:space="preserve">not </w:t>
      </w:r>
      <w:r w:rsidR="00800FA2">
        <w:rPr>
          <w:rFonts w:ascii="Book Antiqua" w:hAnsi="Book Antiqua" w:cs="Arial"/>
        </w:rPr>
        <w:t xml:space="preserve">that they would cross the threshold of “very significant obstacles”.  That is for a combination of two </w:t>
      </w:r>
      <w:r w:rsidR="00B26123">
        <w:rPr>
          <w:rFonts w:ascii="Book Antiqua" w:hAnsi="Book Antiqua" w:cs="Arial"/>
        </w:rPr>
        <w:t>sorts</w:t>
      </w:r>
      <w:r w:rsidR="00800FA2">
        <w:rPr>
          <w:rFonts w:ascii="Book Antiqua" w:hAnsi="Book Antiqua" w:cs="Arial"/>
        </w:rPr>
        <w:t xml:space="preserve"> of reasons.  First of all</w:t>
      </w:r>
      <w:r w:rsidR="002D62B6">
        <w:rPr>
          <w:rFonts w:ascii="Book Antiqua" w:hAnsi="Book Antiqua" w:cs="Arial"/>
        </w:rPr>
        <w:t xml:space="preserve"> (focussing on his experiences in the UK</w:t>
      </w:r>
      <w:r w:rsidR="00005162">
        <w:rPr>
          <w:rFonts w:ascii="Book Antiqua" w:hAnsi="Book Antiqua" w:cs="Arial"/>
        </w:rPr>
        <w:t>),</w:t>
      </w:r>
      <w:r w:rsidR="00800FA2">
        <w:rPr>
          <w:rFonts w:ascii="Book Antiqua" w:hAnsi="Book Antiqua" w:cs="Arial"/>
        </w:rPr>
        <w:t xml:space="preserve"> whilst the claimant may have no family ties </w:t>
      </w:r>
      <w:r w:rsidR="00057BD3">
        <w:rPr>
          <w:rFonts w:ascii="Book Antiqua" w:hAnsi="Book Antiqua" w:cs="Arial"/>
        </w:rPr>
        <w:t xml:space="preserve">there </w:t>
      </w:r>
      <w:r w:rsidR="00800FA2">
        <w:rPr>
          <w:rFonts w:ascii="Book Antiqua" w:hAnsi="Book Antiqua" w:cs="Arial"/>
        </w:rPr>
        <w:t xml:space="preserve">and may identify as black British, he spent </w:t>
      </w:r>
      <w:r w:rsidR="00C80B86">
        <w:rPr>
          <w:rFonts w:ascii="Book Antiqua" w:hAnsi="Book Antiqua" w:cs="Arial"/>
        </w:rPr>
        <w:t>fourteen</w:t>
      </w:r>
      <w:r w:rsidR="00800FA2">
        <w:rPr>
          <w:rFonts w:ascii="Book Antiqua" w:hAnsi="Book Antiqua" w:cs="Arial"/>
        </w:rPr>
        <w:t xml:space="preserve">/fifteen years of his life </w:t>
      </w:r>
      <w:r w:rsidR="00B37D96">
        <w:rPr>
          <w:rFonts w:ascii="Book Antiqua" w:hAnsi="Book Antiqua" w:cs="Arial"/>
        </w:rPr>
        <w:t xml:space="preserve">living with his mother and siblings and it has not been suggested that his mother brought him up ignorant of Nigerian customs and traditions.  Ms Moffatt has argued that the fact that the claimant’s mother was abusive towards the claimant meant he could not have felt any love for Nigeria; that may be so; but that does not </w:t>
      </w:r>
      <w:r w:rsidR="00C4062B">
        <w:rPr>
          <w:rFonts w:ascii="Book Antiqua" w:hAnsi="Book Antiqua" w:cs="Arial"/>
        </w:rPr>
        <w:t>demonstrate</w:t>
      </w:r>
      <w:r w:rsidR="00503473">
        <w:rPr>
          <w:rFonts w:ascii="Book Antiqua" w:hAnsi="Book Antiqua" w:cs="Arial"/>
        </w:rPr>
        <w:t xml:space="preserve"> that</w:t>
      </w:r>
      <w:r w:rsidR="00B37D96">
        <w:rPr>
          <w:rFonts w:ascii="Book Antiqua" w:hAnsi="Book Antiqua" w:cs="Arial"/>
        </w:rPr>
        <w:t xml:space="preserve"> he lacked familiarity with his mother’s </w:t>
      </w:r>
      <w:r w:rsidR="00B26123">
        <w:rPr>
          <w:rFonts w:ascii="Book Antiqua" w:hAnsi="Book Antiqua" w:cs="Arial"/>
        </w:rPr>
        <w:t xml:space="preserve">cultural </w:t>
      </w:r>
      <w:r w:rsidR="00B37D96">
        <w:rPr>
          <w:rFonts w:ascii="Book Antiqua" w:hAnsi="Book Antiqua" w:cs="Arial"/>
        </w:rPr>
        <w:t>way of life.  Second</w:t>
      </w:r>
      <w:r w:rsidR="002D62B6">
        <w:rPr>
          <w:rFonts w:ascii="Book Antiqua" w:hAnsi="Book Antiqua" w:cs="Arial"/>
        </w:rPr>
        <w:t xml:space="preserve"> (focussing on his likely situation in Nigeria)</w:t>
      </w:r>
      <w:r w:rsidR="00B37D96">
        <w:rPr>
          <w:rFonts w:ascii="Book Antiqua" w:hAnsi="Book Antiqua" w:cs="Arial"/>
        </w:rPr>
        <w:t xml:space="preserve">, Nigeria is a country where English is widely spoken, so the claimant would not </w:t>
      </w:r>
      <w:r>
        <w:rPr>
          <w:rFonts w:ascii="Book Antiqua" w:hAnsi="Book Antiqua" w:cs="Arial"/>
        </w:rPr>
        <w:t xml:space="preserve">struggle with </w:t>
      </w:r>
      <w:r w:rsidR="00B37D96">
        <w:rPr>
          <w:rFonts w:ascii="Book Antiqua" w:hAnsi="Book Antiqua" w:cs="Arial"/>
        </w:rPr>
        <w:t xml:space="preserve">daily </w:t>
      </w:r>
      <w:r w:rsidR="00C80B86">
        <w:rPr>
          <w:rFonts w:ascii="Book Antiqua" w:hAnsi="Book Antiqua" w:cs="Arial"/>
        </w:rPr>
        <w:t>communication</w:t>
      </w:r>
      <w:r w:rsidR="00B37D96">
        <w:rPr>
          <w:rFonts w:ascii="Book Antiqua" w:hAnsi="Book Antiqua" w:cs="Arial"/>
        </w:rPr>
        <w:t xml:space="preserve"> with other Nigerians.  Ms Moffatt has highlighted the difficulties the claimant would have accessing health services, but given that the claimant has shown </w:t>
      </w:r>
      <w:r w:rsidR="00AC6A03">
        <w:rPr>
          <w:rFonts w:ascii="Book Antiqua" w:hAnsi="Book Antiqua" w:cs="Arial"/>
        </w:rPr>
        <w:t xml:space="preserve">some degree </w:t>
      </w:r>
      <w:r w:rsidR="00252586">
        <w:rPr>
          <w:rFonts w:ascii="Book Antiqua" w:hAnsi="Book Antiqua" w:cs="Arial"/>
        </w:rPr>
        <w:t>of ability</w:t>
      </w:r>
      <w:r w:rsidR="00B37D96">
        <w:rPr>
          <w:rFonts w:ascii="Book Antiqua" w:hAnsi="Book Antiqua" w:cs="Arial"/>
        </w:rPr>
        <w:t xml:space="preserve"> to seek and obtai</w:t>
      </w:r>
      <w:r w:rsidR="00DC6099">
        <w:rPr>
          <w:rFonts w:ascii="Book Antiqua" w:hAnsi="Book Antiqua" w:cs="Arial"/>
        </w:rPr>
        <w:t>n help f</w:t>
      </w:r>
      <w:r w:rsidR="00B37D96">
        <w:rPr>
          <w:rFonts w:ascii="Book Antiqua" w:hAnsi="Book Antiqua" w:cs="Arial"/>
        </w:rPr>
        <w:t>r</w:t>
      </w:r>
      <w:r w:rsidR="00DC6099">
        <w:rPr>
          <w:rFonts w:ascii="Book Antiqua" w:hAnsi="Book Antiqua" w:cs="Arial"/>
        </w:rPr>
        <w:t>o</w:t>
      </w:r>
      <w:r w:rsidR="00B37D96">
        <w:rPr>
          <w:rFonts w:ascii="Book Antiqua" w:hAnsi="Book Antiqua" w:cs="Arial"/>
        </w:rPr>
        <w:t xml:space="preserve">m health professionals in the UK, I do not see that he would lose that ability simply by virtue of being deported back to Nigeria.  </w:t>
      </w:r>
      <w:r w:rsidR="00AC6A03">
        <w:rPr>
          <w:rFonts w:ascii="Book Antiqua" w:hAnsi="Book Antiqua" w:cs="Arial"/>
        </w:rPr>
        <w:t xml:space="preserve">She has also </w:t>
      </w:r>
      <w:r w:rsidR="00B37D96">
        <w:rPr>
          <w:rFonts w:ascii="Book Antiqua" w:hAnsi="Book Antiqua" w:cs="Arial"/>
        </w:rPr>
        <w:t>submitted that the claimant’s psychological</w:t>
      </w:r>
      <w:r w:rsidR="007E3FB6">
        <w:rPr>
          <w:rFonts w:ascii="Book Antiqua" w:hAnsi="Book Antiqua" w:cs="Arial"/>
        </w:rPr>
        <w:t xml:space="preserve">/mental </w:t>
      </w:r>
      <w:r w:rsidR="00C4062B">
        <w:rPr>
          <w:rFonts w:ascii="Book Antiqua" w:hAnsi="Book Antiqua" w:cs="Arial"/>
        </w:rPr>
        <w:t>health problems</w:t>
      </w:r>
      <w:r w:rsidR="00B37D96">
        <w:rPr>
          <w:rFonts w:ascii="Book Antiqua" w:hAnsi="Book Antiqua" w:cs="Arial"/>
        </w:rPr>
        <w:t xml:space="preserve"> </w:t>
      </w:r>
      <w:r w:rsidR="00F82D65">
        <w:rPr>
          <w:rFonts w:ascii="Book Antiqua" w:hAnsi="Book Antiqua" w:cs="Arial"/>
        </w:rPr>
        <w:t xml:space="preserve">would make the claimant vulnerable and less able to </w:t>
      </w:r>
      <w:r w:rsidR="00C80B86">
        <w:rPr>
          <w:rFonts w:ascii="Book Antiqua" w:hAnsi="Book Antiqua" w:cs="Arial"/>
        </w:rPr>
        <w:t>integrate</w:t>
      </w:r>
      <w:r w:rsidR="00AC6A03">
        <w:rPr>
          <w:rFonts w:ascii="Book Antiqua" w:hAnsi="Book Antiqua" w:cs="Arial"/>
        </w:rPr>
        <w:t xml:space="preserve">; she has also highlighted that Dr Brotherton considered that his deportation </w:t>
      </w:r>
      <w:r w:rsidR="00252586">
        <w:rPr>
          <w:rFonts w:ascii="Book Antiqua" w:hAnsi="Book Antiqua" w:cs="Arial"/>
        </w:rPr>
        <w:t>would</w:t>
      </w:r>
      <w:r w:rsidR="00AC6A03">
        <w:rPr>
          <w:rFonts w:ascii="Book Antiqua" w:hAnsi="Book Antiqua" w:cs="Arial"/>
        </w:rPr>
        <w:t xml:space="preserve"> have a “devastating effect on [his] mental health and rehabilitation” </w:t>
      </w:r>
      <w:r w:rsidR="00186D79">
        <w:rPr>
          <w:rFonts w:ascii="Book Antiqua" w:hAnsi="Book Antiqua" w:cs="Arial"/>
        </w:rPr>
        <w:t>(7.1.8</w:t>
      </w:r>
      <w:r w:rsidR="00AC6A03">
        <w:rPr>
          <w:rFonts w:ascii="Book Antiqua" w:hAnsi="Book Antiqua" w:cs="Arial"/>
        </w:rPr>
        <w:t xml:space="preserve">). However, as Dr Brotherton conceded, she is not an expert in mental health </w:t>
      </w:r>
      <w:r w:rsidR="00252586">
        <w:rPr>
          <w:rFonts w:ascii="Book Antiqua" w:hAnsi="Book Antiqua" w:cs="Arial"/>
        </w:rPr>
        <w:t>facilities</w:t>
      </w:r>
      <w:r w:rsidR="00AC6A03">
        <w:rPr>
          <w:rFonts w:ascii="Book Antiqua" w:hAnsi="Book Antiqua" w:cs="Arial"/>
        </w:rPr>
        <w:t xml:space="preserve"> in Nigeria or in anything to do with Nigerian society. The background evidence does not demonstrate that the claimant </w:t>
      </w:r>
      <w:r w:rsidR="00252586">
        <w:rPr>
          <w:rFonts w:ascii="Book Antiqua" w:hAnsi="Book Antiqua" w:cs="Arial"/>
        </w:rPr>
        <w:t>would</w:t>
      </w:r>
      <w:r w:rsidR="00AC6A03">
        <w:rPr>
          <w:rFonts w:ascii="Book Antiqua" w:hAnsi="Book Antiqua" w:cs="Arial"/>
        </w:rPr>
        <w:t xml:space="preserve"> be unable to access mental health facilities or </w:t>
      </w:r>
      <w:r w:rsidR="00252586">
        <w:rPr>
          <w:rFonts w:ascii="Book Antiqua" w:hAnsi="Book Antiqua" w:cs="Arial"/>
        </w:rPr>
        <w:t>community</w:t>
      </w:r>
      <w:r w:rsidR="00AC6A03">
        <w:rPr>
          <w:rFonts w:ascii="Book Antiqua" w:hAnsi="Book Antiqua" w:cs="Arial"/>
        </w:rPr>
        <w:t xml:space="preserve"> </w:t>
      </w:r>
      <w:r w:rsidR="00252586">
        <w:rPr>
          <w:rFonts w:ascii="Book Antiqua" w:hAnsi="Book Antiqua" w:cs="Arial"/>
        </w:rPr>
        <w:t>assistance</w:t>
      </w:r>
      <w:r w:rsidR="00AC6A03">
        <w:rPr>
          <w:rFonts w:ascii="Book Antiqua" w:hAnsi="Book Antiqua" w:cs="Arial"/>
        </w:rPr>
        <w:t xml:space="preserve"> if he needed them. </w:t>
      </w:r>
      <w:r w:rsidR="00F82D65">
        <w:rPr>
          <w:rFonts w:ascii="Book Antiqua" w:hAnsi="Book Antiqua" w:cs="Arial"/>
        </w:rPr>
        <w:t xml:space="preserve"> </w:t>
      </w:r>
    </w:p>
    <w:p w:rsidR="00800FA2" w:rsidRDefault="00687868"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4</w:t>
      </w:r>
      <w:r w:rsidR="00252586">
        <w:rPr>
          <w:rFonts w:ascii="Book Antiqua" w:hAnsi="Book Antiqua" w:cs="Arial"/>
        </w:rPr>
        <w:t>.</w:t>
      </w:r>
      <w:r w:rsidR="00D97FE6">
        <w:rPr>
          <w:rFonts w:ascii="Book Antiqua" w:hAnsi="Book Antiqua" w:cs="Arial"/>
        </w:rPr>
        <w:tab/>
      </w:r>
      <w:r w:rsidR="00F82D65">
        <w:rPr>
          <w:rFonts w:ascii="Book Antiqua" w:hAnsi="Book Antiqua" w:cs="Arial"/>
        </w:rPr>
        <w:t xml:space="preserve">I am prepared to accept that the claimant’s psychological </w:t>
      </w:r>
      <w:r w:rsidR="007E3FB6">
        <w:rPr>
          <w:rFonts w:ascii="Book Antiqua" w:hAnsi="Book Antiqua" w:cs="Arial"/>
        </w:rPr>
        <w:t xml:space="preserve">/mental health </w:t>
      </w:r>
      <w:r w:rsidR="00F82D65">
        <w:rPr>
          <w:rFonts w:ascii="Book Antiqua" w:hAnsi="Book Antiqua" w:cs="Arial"/>
        </w:rPr>
        <w:t xml:space="preserve">problems would make it more difficult </w:t>
      </w:r>
      <w:r w:rsidR="007E3FB6">
        <w:rPr>
          <w:rFonts w:ascii="Book Antiqua" w:hAnsi="Book Antiqua" w:cs="Arial"/>
        </w:rPr>
        <w:t xml:space="preserve">for him </w:t>
      </w:r>
      <w:r w:rsidR="00F82D65">
        <w:rPr>
          <w:rFonts w:ascii="Book Antiqua" w:hAnsi="Book Antiqua" w:cs="Arial"/>
        </w:rPr>
        <w:t>to integrate than a normal adult in his mid 20s, but</w:t>
      </w:r>
      <w:r w:rsidR="007E3FB6">
        <w:rPr>
          <w:rFonts w:ascii="Book Antiqua" w:hAnsi="Book Antiqua" w:cs="Arial"/>
        </w:rPr>
        <w:t xml:space="preserve"> on the available evidence </w:t>
      </w:r>
      <w:r w:rsidR="00005162">
        <w:rPr>
          <w:rFonts w:ascii="Book Antiqua" w:hAnsi="Book Antiqua" w:cs="Arial"/>
        </w:rPr>
        <w:t>these</w:t>
      </w:r>
      <w:r w:rsidR="00F82D65">
        <w:rPr>
          <w:rFonts w:ascii="Book Antiqua" w:hAnsi="Book Antiqua" w:cs="Arial"/>
        </w:rPr>
        <w:t xml:space="preserve"> problems </w:t>
      </w:r>
      <w:r w:rsidR="007E3FB6">
        <w:rPr>
          <w:rFonts w:ascii="Book Antiqua" w:hAnsi="Book Antiqua" w:cs="Arial"/>
        </w:rPr>
        <w:t xml:space="preserve">of his </w:t>
      </w:r>
      <w:r w:rsidR="00F82D65">
        <w:rPr>
          <w:rFonts w:ascii="Book Antiqua" w:hAnsi="Book Antiqua" w:cs="Arial"/>
        </w:rPr>
        <w:t xml:space="preserve">have not prevented him from taking active steps </w:t>
      </w:r>
      <w:r w:rsidR="00AC6A03">
        <w:rPr>
          <w:rFonts w:ascii="Book Antiqua" w:hAnsi="Book Antiqua" w:cs="Arial"/>
        </w:rPr>
        <w:t xml:space="preserve">in the UK </w:t>
      </w:r>
      <w:r w:rsidR="00F82D65">
        <w:rPr>
          <w:rFonts w:ascii="Book Antiqua" w:hAnsi="Book Antiqua" w:cs="Arial"/>
        </w:rPr>
        <w:t>to become a financial adviso</w:t>
      </w:r>
      <w:r w:rsidR="007E3FB6">
        <w:rPr>
          <w:rFonts w:ascii="Book Antiqua" w:hAnsi="Book Antiqua" w:cs="Arial"/>
        </w:rPr>
        <w:t xml:space="preserve">r.  </w:t>
      </w:r>
      <w:r w:rsidR="00AC6A03">
        <w:rPr>
          <w:rFonts w:ascii="Book Antiqua" w:hAnsi="Book Antiqua" w:cs="Arial"/>
        </w:rPr>
        <w:t xml:space="preserve">He is also someone who was assessed by the probation </w:t>
      </w:r>
      <w:r w:rsidR="00252586">
        <w:rPr>
          <w:rFonts w:ascii="Book Antiqua" w:hAnsi="Book Antiqua" w:cs="Arial"/>
        </w:rPr>
        <w:t>officer</w:t>
      </w:r>
      <w:r w:rsidR="00AC6A03">
        <w:rPr>
          <w:rFonts w:ascii="Book Antiqua" w:hAnsi="Book Antiqua" w:cs="Arial"/>
        </w:rPr>
        <w:t xml:space="preserve"> in the </w:t>
      </w:r>
      <w:r w:rsidR="00252586">
        <w:rPr>
          <w:rFonts w:ascii="Book Antiqua" w:hAnsi="Book Antiqua" w:cs="Arial"/>
        </w:rPr>
        <w:t>Pre</w:t>
      </w:r>
      <w:r w:rsidR="00AC6A03">
        <w:rPr>
          <w:rFonts w:ascii="Book Antiqua" w:hAnsi="Book Antiqua" w:cs="Arial"/>
        </w:rPr>
        <w:t xml:space="preserve">-Sentence report as having ‘good social skills” and to be clearly someone of </w:t>
      </w:r>
      <w:r w:rsidR="00252586">
        <w:rPr>
          <w:rFonts w:ascii="Book Antiqua" w:hAnsi="Book Antiqua" w:cs="Arial"/>
        </w:rPr>
        <w:t>intelligence</w:t>
      </w:r>
      <w:r w:rsidR="00AC6A03">
        <w:rPr>
          <w:rFonts w:ascii="Book Antiqua" w:hAnsi="Book Antiqua" w:cs="Arial"/>
        </w:rPr>
        <w:t xml:space="preserve"> and ability to make a </w:t>
      </w:r>
      <w:r w:rsidR="00252586">
        <w:rPr>
          <w:rFonts w:ascii="Book Antiqua" w:hAnsi="Book Antiqua" w:cs="Arial"/>
        </w:rPr>
        <w:t>good</w:t>
      </w:r>
      <w:r w:rsidR="00AC6A03">
        <w:rPr>
          <w:rFonts w:ascii="Book Antiqua" w:hAnsi="Book Antiqua" w:cs="Arial"/>
        </w:rPr>
        <w:t xml:space="preserve"> life for himself without illegal </w:t>
      </w:r>
      <w:r w:rsidR="00252586">
        <w:rPr>
          <w:rFonts w:ascii="Book Antiqua" w:hAnsi="Book Antiqua" w:cs="Arial"/>
        </w:rPr>
        <w:t>activities</w:t>
      </w:r>
      <w:r w:rsidR="00AC6A03">
        <w:rPr>
          <w:rFonts w:ascii="Book Antiqua" w:hAnsi="Book Antiqua" w:cs="Arial"/>
        </w:rPr>
        <w:t xml:space="preserve">. </w:t>
      </w:r>
      <w:r w:rsidR="007E3FB6">
        <w:rPr>
          <w:rFonts w:ascii="Book Antiqua" w:hAnsi="Book Antiqua" w:cs="Arial"/>
        </w:rPr>
        <w:t xml:space="preserve">He did work previously for a </w:t>
      </w:r>
      <w:r w:rsidR="00005162">
        <w:rPr>
          <w:rFonts w:ascii="Book Antiqua" w:hAnsi="Book Antiqua" w:cs="Arial"/>
        </w:rPr>
        <w:t>company</w:t>
      </w:r>
      <w:r w:rsidR="007E3FB6">
        <w:rPr>
          <w:rFonts w:ascii="Book Antiqua" w:hAnsi="Book Antiqua" w:cs="Arial"/>
        </w:rPr>
        <w:t xml:space="preserve"> in Brighton</w:t>
      </w:r>
      <w:r w:rsidR="00F82D65">
        <w:rPr>
          <w:rFonts w:ascii="Book Antiqua" w:hAnsi="Book Antiqua" w:cs="Arial"/>
        </w:rPr>
        <w:t xml:space="preserve"> </w:t>
      </w:r>
      <w:r w:rsidR="00AC6A03">
        <w:rPr>
          <w:rFonts w:ascii="Book Antiqua" w:hAnsi="Book Antiqua" w:cs="Arial"/>
        </w:rPr>
        <w:t xml:space="preserve">(and there was also some mention by him of working for </w:t>
      </w:r>
      <w:r w:rsidR="00252586">
        <w:rPr>
          <w:rFonts w:ascii="Book Antiqua" w:hAnsi="Book Antiqua" w:cs="Arial"/>
        </w:rPr>
        <w:t>TalkTalk</w:t>
      </w:r>
      <w:r w:rsidR="00AC6A03">
        <w:rPr>
          <w:rFonts w:ascii="Book Antiqua" w:hAnsi="Book Antiqua" w:cs="Arial"/>
        </w:rPr>
        <w:t xml:space="preserve"> </w:t>
      </w:r>
      <w:r w:rsidR="00197B3B">
        <w:rPr>
          <w:rFonts w:ascii="Book Antiqua" w:hAnsi="Book Antiqua" w:cs="Arial"/>
        </w:rPr>
        <w:t xml:space="preserve">for a while as a sales agent) </w:t>
      </w:r>
      <w:r w:rsidR="00F82D65">
        <w:rPr>
          <w:rFonts w:ascii="Book Antiqua" w:hAnsi="Book Antiqua" w:cs="Arial"/>
        </w:rPr>
        <w:t xml:space="preserve">and so has some work experience.  Even if he would not be able to find work </w:t>
      </w:r>
      <w:r w:rsidR="00503473">
        <w:rPr>
          <w:rFonts w:ascii="Book Antiqua" w:hAnsi="Book Antiqua" w:cs="Arial"/>
        </w:rPr>
        <w:t xml:space="preserve">in </w:t>
      </w:r>
      <w:r w:rsidR="00503473">
        <w:rPr>
          <w:rFonts w:ascii="Book Antiqua" w:hAnsi="Book Antiqua" w:cs="Arial"/>
        </w:rPr>
        <w:lastRenderedPageBreak/>
        <w:t xml:space="preserve">Nigeria </w:t>
      </w:r>
      <w:r w:rsidR="00C80B86">
        <w:rPr>
          <w:rFonts w:ascii="Book Antiqua" w:hAnsi="Book Antiqua" w:cs="Arial"/>
        </w:rPr>
        <w:t>immediately</w:t>
      </w:r>
      <w:r w:rsidR="00F82D65">
        <w:rPr>
          <w:rFonts w:ascii="Book Antiqua" w:hAnsi="Book Antiqua" w:cs="Arial"/>
        </w:rPr>
        <w:t xml:space="preserve"> in the financial advice field (because he could not afford the fees for the trai</w:t>
      </w:r>
      <w:r w:rsidR="00DC6099">
        <w:rPr>
          <w:rFonts w:ascii="Book Antiqua" w:hAnsi="Book Antiqua" w:cs="Arial"/>
        </w:rPr>
        <w:t>n</w:t>
      </w:r>
      <w:r w:rsidR="00F82D65">
        <w:rPr>
          <w:rFonts w:ascii="Book Antiqua" w:hAnsi="Book Antiqua" w:cs="Arial"/>
        </w:rPr>
        <w:t>ing courses)</w:t>
      </w:r>
      <w:r>
        <w:rPr>
          <w:rFonts w:ascii="Book Antiqua" w:hAnsi="Book Antiqua" w:cs="Arial"/>
        </w:rPr>
        <w:t>,</w:t>
      </w:r>
      <w:r w:rsidR="00F82D65">
        <w:rPr>
          <w:rFonts w:ascii="Book Antiqua" w:hAnsi="Book Antiqua" w:cs="Arial"/>
        </w:rPr>
        <w:t xml:space="preserve"> it is likely that he would be able to find work.  I also </w:t>
      </w:r>
      <w:r w:rsidR="006660ED">
        <w:rPr>
          <w:rFonts w:ascii="Book Antiqua" w:hAnsi="Book Antiqua" w:cs="Arial"/>
        </w:rPr>
        <w:t>consider it likely that he would be able to obtain accommodation, even if initially it was by accessing health/welfare services.</w:t>
      </w:r>
    </w:p>
    <w:p w:rsidR="006660ED" w:rsidRDefault="00252586"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5</w:t>
      </w:r>
      <w:r w:rsidR="006660ED">
        <w:rPr>
          <w:rFonts w:ascii="Book Antiqua" w:hAnsi="Book Antiqua" w:cs="Arial"/>
        </w:rPr>
        <w:t>.</w:t>
      </w:r>
      <w:r w:rsidR="006660ED">
        <w:rPr>
          <w:rFonts w:ascii="Book Antiqua" w:hAnsi="Book Antiqua" w:cs="Arial"/>
        </w:rPr>
        <w:tab/>
        <w:t xml:space="preserve">For the above </w:t>
      </w:r>
      <w:r>
        <w:rPr>
          <w:rFonts w:ascii="Book Antiqua" w:hAnsi="Book Antiqua" w:cs="Arial"/>
        </w:rPr>
        <w:t>reasons,</w:t>
      </w:r>
      <w:r w:rsidR="006660ED">
        <w:rPr>
          <w:rFonts w:ascii="Book Antiqua" w:hAnsi="Book Antiqua" w:cs="Arial"/>
        </w:rPr>
        <w:t xml:space="preserve"> I conclude that the claimant cannot succeed under any of the three sets of requirements necessary to bring a person within paragraph 399A.</w:t>
      </w:r>
    </w:p>
    <w:p w:rsidR="006660ED" w:rsidRDefault="00252586"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6</w:t>
      </w:r>
      <w:r>
        <w:rPr>
          <w:rFonts w:ascii="Book Antiqua" w:hAnsi="Book Antiqua" w:cs="Arial"/>
        </w:rPr>
        <w:t>.</w:t>
      </w:r>
      <w:r w:rsidR="006660ED">
        <w:rPr>
          <w:rFonts w:ascii="Book Antiqua" w:hAnsi="Book Antiqua" w:cs="Arial"/>
        </w:rPr>
        <w:tab/>
      </w:r>
      <w:r w:rsidR="00005162">
        <w:rPr>
          <w:rFonts w:ascii="Book Antiqua" w:hAnsi="Book Antiqua" w:cs="Arial"/>
        </w:rPr>
        <w:t>Accordingly,</w:t>
      </w:r>
      <w:r w:rsidR="006660ED">
        <w:rPr>
          <w:rFonts w:ascii="Book Antiqua" w:hAnsi="Book Antiqua" w:cs="Arial"/>
        </w:rPr>
        <w:t xml:space="preserve"> the claimant can only succeed in this appeal if I can be satisfied that there are “very </w:t>
      </w:r>
      <w:r w:rsidR="00C80B86">
        <w:rPr>
          <w:rFonts w:ascii="Book Antiqua" w:hAnsi="Book Antiqua" w:cs="Arial"/>
        </w:rPr>
        <w:t>compelling</w:t>
      </w:r>
      <w:r w:rsidR="006660ED">
        <w:rPr>
          <w:rFonts w:ascii="Book Antiqua" w:hAnsi="Book Antiqua" w:cs="Arial"/>
        </w:rPr>
        <w:t xml:space="preserve"> circumstances over and above those described in paragraph 399A”.</w:t>
      </w:r>
    </w:p>
    <w:p w:rsidR="006660ED" w:rsidRDefault="00252586"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7</w:t>
      </w:r>
      <w:r w:rsidR="006660ED">
        <w:rPr>
          <w:rFonts w:ascii="Book Antiqua" w:hAnsi="Book Antiqua" w:cs="Arial"/>
        </w:rPr>
        <w:t>.</w:t>
      </w:r>
      <w:r w:rsidR="006660ED">
        <w:rPr>
          <w:rFonts w:ascii="Book Antiqua" w:hAnsi="Book Antiqua" w:cs="Arial"/>
        </w:rPr>
        <w:tab/>
        <w:t xml:space="preserve">Ms Moffatt rightly submits that in </w:t>
      </w:r>
      <w:r w:rsidR="00C80B86">
        <w:rPr>
          <w:rFonts w:ascii="Book Antiqua" w:hAnsi="Book Antiqua" w:cs="Arial"/>
        </w:rPr>
        <w:t>deciding</w:t>
      </w:r>
      <w:r w:rsidR="006660ED">
        <w:rPr>
          <w:rFonts w:ascii="Book Antiqua" w:hAnsi="Book Antiqua" w:cs="Arial"/>
        </w:rPr>
        <w:t xml:space="preserve"> whether there are very compelling circumstances I must take into </w:t>
      </w:r>
      <w:r w:rsidR="00C80B86">
        <w:rPr>
          <w:rFonts w:ascii="Book Antiqua" w:hAnsi="Book Antiqua" w:cs="Arial"/>
        </w:rPr>
        <w:t>account</w:t>
      </w:r>
      <w:r w:rsidR="006660ED">
        <w:rPr>
          <w:rFonts w:ascii="Book Antiqua" w:hAnsi="Book Antiqua" w:cs="Arial"/>
        </w:rPr>
        <w:t xml:space="preserve"> the extent to which the claimant meets the </w:t>
      </w:r>
      <w:r w:rsidR="009E156B">
        <w:rPr>
          <w:rFonts w:ascii="Book Antiqua" w:hAnsi="Book Antiqua" w:cs="Arial"/>
        </w:rPr>
        <w:t xml:space="preserve">elements or </w:t>
      </w:r>
      <w:r w:rsidR="006660ED">
        <w:rPr>
          <w:rFonts w:ascii="Book Antiqua" w:hAnsi="Book Antiqua" w:cs="Arial"/>
        </w:rPr>
        <w:t xml:space="preserve">requirements of paragraph 399A even </w:t>
      </w:r>
      <w:r w:rsidR="00C80B86">
        <w:rPr>
          <w:rFonts w:ascii="Book Antiqua" w:hAnsi="Book Antiqua" w:cs="Arial"/>
        </w:rPr>
        <w:t>if he</w:t>
      </w:r>
      <w:r w:rsidR="006660ED">
        <w:rPr>
          <w:rFonts w:ascii="Book Antiqua" w:hAnsi="Book Antiqua" w:cs="Arial"/>
        </w:rPr>
        <w:t xml:space="preserve"> does not meet them all or meets them insufficiently.  In light of my earlier findings, the claimant’s is not a case in </w:t>
      </w:r>
      <w:r w:rsidR="00C80B86">
        <w:rPr>
          <w:rFonts w:ascii="Book Antiqua" w:hAnsi="Book Antiqua" w:cs="Arial"/>
        </w:rPr>
        <w:t>which</w:t>
      </w:r>
      <w:r w:rsidR="006660ED">
        <w:rPr>
          <w:rFonts w:ascii="Book Antiqua" w:hAnsi="Book Antiqua" w:cs="Arial"/>
        </w:rPr>
        <w:t xml:space="preserve"> it can be said he has broadly met most or all of these requirements. </w:t>
      </w:r>
      <w:r w:rsidR="00E03203">
        <w:rPr>
          <w:rFonts w:ascii="Book Antiqua" w:hAnsi="Book Antiqua" w:cs="Arial"/>
        </w:rPr>
        <w:t xml:space="preserve">Even if my assessment of one or two of these three requirements were incorrect, it would remain he had failed to bring himself within the para 399A exception. </w:t>
      </w:r>
      <w:r w:rsidR="006660ED">
        <w:rPr>
          <w:rFonts w:ascii="Book Antiqua" w:hAnsi="Book Antiqua" w:cs="Arial"/>
        </w:rPr>
        <w:t xml:space="preserve"> That said</w:t>
      </w:r>
      <w:r w:rsidR="007E3FB6">
        <w:rPr>
          <w:rFonts w:ascii="Book Antiqua" w:hAnsi="Book Antiqua" w:cs="Arial"/>
        </w:rPr>
        <w:t>,</w:t>
      </w:r>
      <w:r w:rsidR="006660ED">
        <w:rPr>
          <w:rFonts w:ascii="Book Antiqua" w:hAnsi="Book Antiqua" w:cs="Arial"/>
        </w:rPr>
        <w:t xml:space="preserve"> all the factors counting in his favour, </w:t>
      </w:r>
      <w:r w:rsidR="00C80B86">
        <w:rPr>
          <w:rFonts w:ascii="Book Antiqua" w:hAnsi="Book Antiqua" w:cs="Arial"/>
        </w:rPr>
        <w:t>including</w:t>
      </w:r>
      <w:r w:rsidR="006660ED">
        <w:rPr>
          <w:rFonts w:ascii="Book Antiqua" w:hAnsi="Book Antiqua" w:cs="Arial"/>
        </w:rPr>
        <w:t xml:space="preserve"> his very lengthy residence</w:t>
      </w:r>
      <w:r w:rsidR="007E3FB6">
        <w:rPr>
          <w:rFonts w:ascii="Book Antiqua" w:hAnsi="Book Antiqua" w:cs="Arial"/>
        </w:rPr>
        <w:t xml:space="preserve">, </w:t>
      </w:r>
      <w:r w:rsidR="00503473">
        <w:rPr>
          <w:rFonts w:ascii="Book Antiqua" w:hAnsi="Book Antiqua" w:cs="Arial"/>
        </w:rPr>
        <w:t xml:space="preserve">the fact that if his mother and the </w:t>
      </w:r>
      <w:r w:rsidR="00C4062B">
        <w:rPr>
          <w:rFonts w:ascii="Book Antiqua" w:hAnsi="Book Antiqua" w:cs="Arial"/>
        </w:rPr>
        <w:t>Secretary</w:t>
      </w:r>
      <w:r w:rsidR="00503473">
        <w:rPr>
          <w:rFonts w:ascii="Book Antiqua" w:hAnsi="Book Antiqua" w:cs="Arial"/>
        </w:rPr>
        <w:t xml:space="preserve"> of State had not delayed as long as they did he may well have acquired ILR earlier, </w:t>
      </w:r>
      <w:r w:rsidR="007E3FB6">
        <w:rPr>
          <w:rFonts w:ascii="Book Antiqua" w:hAnsi="Book Antiqua" w:cs="Arial"/>
        </w:rPr>
        <w:t>his distressing childhood</w:t>
      </w:r>
      <w:r w:rsidR="006660ED">
        <w:rPr>
          <w:rFonts w:ascii="Book Antiqua" w:hAnsi="Book Antiqua" w:cs="Arial"/>
        </w:rPr>
        <w:t xml:space="preserve"> and </w:t>
      </w:r>
      <w:r w:rsidR="007E3FB6">
        <w:rPr>
          <w:rFonts w:ascii="Book Antiqua" w:hAnsi="Book Antiqua" w:cs="Arial"/>
        </w:rPr>
        <w:t xml:space="preserve">his </w:t>
      </w:r>
      <w:r w:rsidR="006660ED">
        <w:rPr>
          <w:rFonts w:ascii="Book Antiqua" w:hAnsi="Book Antiqua" w:cs="Arial"/>
        </w:rPr>
        <w:t>mental health difficulties stand to be weighed in the balance when considering very compelling circumstances.</w:t>
      </w:r>
    </w:p>
    <w:p w:rsidR="006660ED" w:rsidRDefault="00252586"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8</w:t>
      </w:r>
      <w:r w:rsidR="006660ED">
        <w:rPr>
          <w:rFonts w:ascii="Book Antiqua" w:hAnsi="Book Antiqua" w:cs="Arial"/>
        </w:rPr>
        <w:t>.</w:t>
      </w:r>
      <w:r w:rsidR="006660ED">
        <w:rPr>
          <w:rFonts w:ascii="Book Antiqua" w:hAnsi="Book Antiqua" w:cs="Arial"/>
        </w:rPr>
        <w:tab/>
      </w:r>
      <w:r w:rsidR="00190910">
        <w:rPr>
          <w:rFonts w:ascii="Book Antiqua" w:hAnsi="Book Antiqua" w:cs="Arial"/>
        </w:rPr>
        <w:t xml:space="preserve">The basis of the claimant’s Article </w:t>
      </w:r>
      <w:r w:rsidR="004F290C">
        <w:rPr>
          <w:rFonts w:ascii="Book Antiqua" w:hAnsi="Book Antiqua" w:cs="Arial"/>
        </w:rPr>
        <w:t xml:space="preserve">8 </w:t>
      </w:r>
      <w:r w:rsidR="00190910">
        <w:rPr>
          <w:rFonts w:ascii="Book Antiqua" w:hAnsi="Book Antiqua" w:cs="Arial"/>
        </w:rPr>
        <w:t>claim rests on his right to respect for private life.  It cannot be</w:t>
      </w:r>
      <w:r w:rsidR="007E3FB6">
        <w:rPr>
          <w:rFonts w:ascii="Book Antiqua" w:hAnsi="Book Antiqua" w:cs="Arial"/>
        </w:rPr>
        <w:t xml:space="preserve"> said</w:t>
      </w:r>
      <w:r w:rsidR="00190910">
        <w:rPr>
          <w:rFonts w:ascii="Book Antiqua" w:hAnsi="Book Antiqua" w:cs="Arial"/>
        </w:rPr>
        <w:t xml:space="preserve"> that his ties with his mother and siblings go beyond normal emotional ties and on his own evidence he has no real relationship with his son.</w:t>
      </w:r>
    </w:p>
    <w:p w:rsidR="00190910" w:rsidRDefault="00C80B86" w:rsidP="00D97FE6">
      <w:pPr>
        <w:spacing w:before="160"/>
        <w:ind w:left="567" w:hanging="567"/>
        <w:jc w:val="both"/>
        <w:rPr>
          <w:rFonts w:ascii="Book Antiqua" w:hAnsi="Book Antiqua" w:cs="Arial"/>
        </w:rPr>
      </w:pPr>
      <w:r>
        <w:rPr>
          <w:rFonts w:ascii="Book Antiqua" w:hAnsi="Book Antiqua" w:cs="Arial"/>
        </w:rPr>
        <w:t>4</w:t>
      </w:r>
      <w:r w:rsidR="009E53FF">
        <w:rPr>
          <w:rFonts w:ascii="Book Antiqua" w:hAnsi="Book Antiqua" w:cs="Arial"/>
        </w:rPr>
        <w:t>9</w:t>
      </w:r>
      <w:r w:rsidR="00190910">
        <w:rPr>
          <w:rFonts w:ascii="Book Antiqua" w:hAnsi="Book Antiqua" w:cs="Arial"/>
        </w:rPr>
        <w:t>.</w:t>
      </w:r>
      <w:r w:rsidR="00190910">
        <w:rPr>
          <w:rFonts w:ascii="Book Antiqua" w:hAnsi="Book Antiqua" w:cs="Arial"/>
        </w:rPr>
        <w:tab/>
        <w:t xml:space="preserve">In assessing whether there are very compelling circumstances I take into account that had the claimant’s mother from 2000 onwards taken active steps to apply for leave to remain for the claimant on the basis of seven years </w:t>
      </w:r>
      <w:r>
        <w:rPr>
          <w:rFonts w:ascii="Book Antiqua" w:hAnsi="Book Antiqua" w:cs="Arial"/>
        </w:rPr>
        <w:t>residence</w:t>
      </w:r>
      <w:r w:rsidR="00190910">
        <w:rPr>
          <w:rFonts w:ascii="Book Antiqua" w:hAnsi="Book Antiqua" w:cs="Arial"/>
        </w:rPr>
        <w:t xml:space="preserve">, he would likely have been granted ILR earlier and would thus, in 2018, have been able to show he had spent most of his life in the UK lawfully.  By virtue of having gone </w:t>
      </w:r>
      <w:r>
        <w:rPr>
          <w:rFonts w:ascii="Book Antiqua" w:hAnsi="Book Antiqua" w:cs="Arial"/>
        </w:rPr>
        <w:t>through</w:t>
      </w:r>
      <w:r w:rsidR="00190910">
        <w:rPr>
          <w:rFonts w:ascii="Book Antiqua" w:hAnsi="Book Antiqua" w:cs="Arial"/>
        </w:rPr>
        <w:t xml:space="preserve"> the UK education system he has become </w:t>
      </w:r>
      <w:r w:rsidR="00503473">
        <w:rPr>
          <w:rFonts w:ascii="Book Antiqua" w:hAnsi="Book Antiqua" w:cs="Arial"/>
        </w:rPr>
        <w:t xml:space="preserve">anglicised and </w:t>
      </w:r>
      <w:r w:rsidR="00190910">
        <w:rPr>
          <w:rFonts w:ascii="Book Antiqua" w:hAnsi="Book Antiqua" w:cs="Arial"/>
        </w:rPr>
        <w:t>someone who identifies as black British.  The claimant is also someone who has lived in the UK as a minor for all but one year of his life.  At the same time, h</w:t>
      </w:r>
      <w:r w:rsidR="00C343E5">
        <w:rPr>
          <w:rFonts w:ascii="Book Antiqua" w:hAnsi="Book Antiqua" w:cs="Arial"/>
        </w:rPr>
        <w:t>e</w:t>
      </w:r>
      <w:r w:rsidR="00190910">
        <w:rPr>
          <w:rFonts w:ascii="Book Antiqua" w:hAnsi="Book Antiqua" w:cs="Arial"/>
        </w:rPr>
        <w:t xml:space="preserve"> is not able to invoke the principles set out </w:t>
      </w:r>
      <w:r w:rsidR="00190910" w:rsidRPr="00190910">
        <w:rPr>
          <w:rFonts w:ascii="Book Antiqua" w:hAnsi="Book Antiqua" w:cs="Arial"/>
          <w:b/>
          <w:u w:val="single"/>
        </w:rPr>
        <w:t>Maslov</w:t>
      </w:r>
      <w:r w:rsidR="00C343E5">
        <w:rPr>
          <w:rFonts w:ascii="Book Antiqua" w:hAnsi="Book Antiqua" w:cs="Arial"/>
          <w:b/>
          <w:u w:val="single"/>
        </w:rPr>
        <w:t xml:space="preserve"> v </w:t>
      </w:r>
      <w:r w:rsidR="00005162">
        <w:rPr>
          <w:rFonts w:ascii="Book Antiqua" w:hAnsi="Book Antiqua" w:cs="Arial"/>
          <w:b/>
          <w:u w:val="single"/>
        </w:rPr>
        <w:t>Austria [</w:t>
      </w:r>
      <w:r w:rsidR="004422C5" w:rsidRPr="004422C5">
        <w:rPr>
          <w:rFonts w:ascii="Book Antiqua" w:hAnsi="Book Antiqua" w:cs="Arial"/>
        </w:rPr>
        <w:t xml:space="preserve">2008] ECHR </w:t>
      </w:r>
      <w:r w:rsidR="00186D79" w:rsidRPr="004422C5">
        <w:rPr>
          <w:rFonts w:ascii="Book Antiqua" w:hAnsi="Book Antiqua" w:cs="Arial"/>
        </w:rPr>
        <w:t>546</w:t>
      </w:r>
      <w:r w:rsidR="00186D79">
        <w:rPr>
          <w:rFonts w:ascii="Book Antiqua" w:hAnsi="Book Antiqua" w:cs="Arial"/>
          <w:b/>
          <w:u w:val="single"/>
        </w:rPr>
        <w:t xml:space="preserve"> </w:t>
      </w:r>
      <w:r w:rsidR="00186D79">
        <w:rPr>
          <w:rFonts w:ascii="Book Antiqua" w:hAnsi="Book Antiqua" w:cs="Arial"/>
        </w:rPr>
        <w:t>because</w:t>
      </w:r>
      <w:r w:rsidR="00190910">
        <w:rPr>
          <w:rFonts w:ascii="Book Antiqua" w:hAnsi="Book Antiqua" w:cs="Arial"/>
        </w:rPr>
        <w:t xml:space="preserve"> he was not for most of his childhood a settled migrant. </w:t>
      </w:r>
      <w:r w:rsidR="004422C5">
        <w:rPr>
          <w:rFonts w:ascii="Book Antiqua" w:hAnsi="Book Antiqua" w:cs="Arial"/>
        </w:rPr>
        <w:t xml:space="preserve">And it remains </w:t>
      </w:r>
      <w:r w:rsidR="00190910">
        <w:rPr>
          <w:rFonts w:ascii="Book Antiqua" w:hAnsi="Book Antiqua" w:cs="Arial"/>
        </w:rPr>
        <w:t xml:space="preserve">that his actual history of </w:t>
      </w:r>
      <w:r>
        <w:rPr>
          <w:rFonts w:ascii="Book Antiqua" w:hAnsi="Book Antiqua" w:cs="Arial"/>
        </w:rPr>
        <w:t>residence</w:t>
      </w:r>
      <w:r w:rsidR="00190910">
        <w:rPr>
          <w:rFonts w:ascii="Book Antiqua" w:hAnsi="Book Antiqua" w:cs="Arial"/>
        </w:rPr>
        <w:t xml:space="preserve"> does not show continuous integrative links with the UK</w:t>
      </w:r>
      <w:r w:rsidR="004422C5">
        <w:rPr>
          <w:rFonts w:ascii="Book Antiqua" w:hAnsi="Book Antiqua" w:cs="Arial"/>
        </w:rPr>
        <w:t xml:space="preserve">. </w:t>
      </w:r>
      <w:r w:rsidR="00687868">
        <w:rPr>
          <w:rFonts w:ascii="Book Antiqua" w:hAnsi="Book Antiqua" w:cs="Arial"/>
        </w:rPr>
        <w:t>As explained earlier, t</w:t>
      </w:r>
      <w:r w:rsidR="004422C5">
        <w:rPr>
          <w:rFonts w:ascii="Book Antiqua" w:hAnsi="Book Antiqua" w:cs="Arial"/>
        </w:rPr>
        <w:t>hey were broken</w:t>
      </w:r>
      <w:r w:rsidR="00190910">
        <w:rPr>
          <w:rFonts w:ascii="Book Antiqua" w:hAnsi="Book Antiqua" w:cs="Arial"/>
        </w:rPr>
        <w:t xml:space="preserve"> by his pattern of criminal offending between 2009-2013</w:t>
      </w:r>
      <w:r w:rsidR="00503473">
        <w:rPr>
          <w:rFonts w:ascii="Book Antiqua" w:hAnsi="Book Antiqua" w:cs="Arial"/>
        </w:rPr>
        <w:t xml:space="preserve"> and his subsequent periods in detention</w:t>
      </w:r>
      <w:r w:rsidR="004422C5">
        <w:rPr>
          <w:rFonts w:ascii="Book Antiqua" w:hAnsi="Book Antiqua" w:cs="Arial"/>
        </w:rPr>
        <w:t xml:space="preserve">. </w:t>
      </w:r>
      <w:r w:rsidR="00687868">
        <w:rPr>
          <w:rFonts w:ascii="Book Antiqua" w:hAnsi="Book Antiqua" w:cs="Arial"/>
        </w:rPr>
        <w:t>In my judgement they cannot be said to have been revived since his release from immigration detention in February 2017, in view of his lack of a significant social network and his absence from the labour market.</w:t>
      </w:r>
    </w:p>
    <w:p w:rsidR="00190910" w:rsidRDefault="009E53FF" w:rsidP="00D97FE6">
      <w:pPr>
        <w:spacing w:before="160"/>
        <w:ind w:left="567" w:hanging="567"/>
        <w:jc w:val="both"/>
        <w:rPr>
          <w:rFonts w:ascii="Book Antiqua" w:hAnsi="Book Antiqua" w:cs="Arial"/>
        </w:rPr>
      </w:pPr>
      <w:r>
        <w:rPr>
          <w:rFonts w:ascii="Book Antiqua" w:hAnsi="Book Antiqua" w:cs="Arial"/>
        </w:rPr>
        <w:t>50</w:t>
      </w:r>
      <w:r w:rsidR="00190910">
        <w:rPr>
          <w:rFonts w:ascii="Book Antiqua" w:hAnsi="Book Antiqua" w:cs="Arial"/>
        </w:rPr>
        <w:t>.</w:t>
      </w:r>
      <w:r w:rsidR="00190910">
        <w:rPr>
          <w:rFonts w:ascii="Book Antiqua" w:hAnsi="Book Antiqua" w:cs="Arial"/>
        </w:rPr>
        <w:tab/>
        <w:t xml:space="preserve">The claimant’s </w:t>
      </w:r>
      <w:r w:rsidR="004422C5">
        <w:rPr>
          <w:rFonts w:ascii="Book Antiqua" w:hAnsi="Book Antiqua" w:cs="Arial"/>
        </w:rPr>
        <w:t>psychological/</w:t>
      </w:r>
      <w:r w:rsidR="00C80B86">
        <w:rPr>
          <w:rFonts w:ascii="Book Antiqua" w:hAnsi="Book Antiqua" w:cs="Arial"/>
        </w:rPr>
        <w:t>mental</w:t>
      </w:r>
      <w:r w:rsidR="00190910">
        <w:rPr>
          <w:rFonts w:ascii="Book Antiqua" w:hAnsi="Book Antiqua" w:cs="Arial"/>
        </w:rPr>
        <w:t xml:space="preserve"> health difficulties are significant but it remains that </w:t>
      </w:r>
      <w:r w:rsidR="00503473">
        <w:rPr>
          <w:rFonts w:ascii="Book Antiqua" w:hAnsi="Book Antiqua" w:cs="Arial"/>
        </w:rPr>
        <w:t xml:space="preserve">he does not currently meet the </w:t>
      </w:r>
      <w:r w:rsidR="00C4062B">
        <w:rPr>
          <w:rFonts w:ascii="Book Antiqua" w:hAnsi="Book Antiqua" w:cs="Arial"/>
        </w:rPr>
        <w:t>criteria</w:t>
      </w:r>
      <w:r w:rsidR="00503473">
        <w:rPr>
          <w:rFonts w:ascii="Book Antiqua" w:hAnsi="Book Antiqua" w:cs="Arial"/>
        </w:rPr>
        <w:t xml:space="preserve"> for </w:t>
      </w:r>
      <w:r w:rsidR="00C4062B">
        <w:rPr>
          <w:rFonts w:ascii="Book Antiqua" w:hAnsi="Book Antiqua" w:cs="Arial"/>
        </w:rPr>
        <w:t>Anti-Social</w:t>
      </w:r>
      <w:r w:rsidR="00503473">
        <w:rPr>
          <w:rFonts w:ascii="Book Antiqua" w:hAnsi="Book Antiqua" w:cs="Arial"/>
        </w:rPr>
        <w:t xml:space="preserve"> Personality Disorder (APP</w:t>
      </w:r>
      <w:r w:rsidR="00C4062B">
        <w:rPr>
          <w:rFonts w:ascii="Book Antiqua" w:hAnsi="Book Antiqua" w:cs="Arial"/>
        </w:rPr>
        <w:t xml:space="preserve">D) </w:t>
      </w:r>
      <w:r w:rsidR="00190910">
        <w:rPr>
          <w:rFonts w:ascii="Book Antiqua" w:hAnsi="Book Antiqua" w:cs="Arial"/>
        </w:rPr>
        <w:t xml:space="preserve">he is not currently on any </w:t>
      </w:r>
      <w:r w:rsidR="00C80B86">
        <w:rPr>
          <w:rFonts w:ascii="Book Antiqua" w:hAnsi="Book Antiqua" w:cs="Arial"/>
        </w:rPr>
        <w:t>medication</w:t>
      </w:r>
      <w:r w:rsidR="00190910">
        <w:rPr>
          <w:rFonts w:ascii="Book Antiqua" w:hAnsi="Book Antiqua" w:cs="Arial"/>
        </w:rPr>
        <w:t xml:space="preserve"> and medical professionals have not </w:t>
      </w:r>
      <w:r w:rsidR="00C4062B">
        <w:rPr>
          <w:rFonts w:ascii="Book Antiqua" w:hAnsi="Book Antiqua" w:cs="Arial"/>
        </w:rPr>
        <w:t>taken steps open to them to put</w:t>
      </w:r>
      <w:r w:rsidR="00190910">
        <w:rPr>
          <w:rFonts w:ascii="Book Antiqua" w:hAnsi="Book Antiqua" w:cs="Arial"/>
        </w:rPr>
        <w:t xml:space="preserve"> </w:t>
      </w:r>
      <w:r w:rsidR="00C4062B">
        <w:rPr>
          <w:rFonts w:ascii="Book Antiqua" w:hAnsi="Book Antiqua" w:cs="Arial"/>
        </w:rPr>
        <w:t xml:space="preserve">him </w:t>
      </w:r>
      <w:r w:rsidR="00190910">
        <w:rPr>
          <w:rFonts w:ascii="Book Antiqua" w:hAnsi="Book Antiqua" w:cs="Arial"/>
        </w:rPr>
        <w:t xml:space="preserve">into mental </w:t>
      </w:r>
      <w:r w:rsidR="00C80B86">
        <w:rPr>
          <w:rFonts w:ascii="Book Antiqua" w:hAnsi="Book Antiqua" w:cs="Arial"/>
        </w:rPr>
        <w:t>health programmes</w:t>
      </w:r>
      <w:r w:rsidR="00190910">
        <w:rPr>
          <w:rFonts w:ascii="Book Antiqua" w:hAnsi="Book Antiqua" w:cs="Arial"/>
        </w:rPr>
        <w:t xml:space="preserve">.  The most that has been done is for one of the doctors to recommend that he does counselling.  </w:t>
      </w:r>
      <w:r w:rsidR="00190910">
        <w:rPr>
          <w:rFonts w:ascii="Book Antiqua" w:hAnsi="Book Antiqua" w:cs="Arial"/>
        </w:rPr>
        <w:lastRenderedPageBreak/>
        <w:t>Although he sought counselling, on his own evidence</w:t>
      </w:r>
      <w:r w:rsidR="004422C5">
        <w:rPr>
          <w:rFonts w:ascii="Book Antiqua" w:hAnsi="Book Antiqua" w:cs="Arial"/>
        </w:rPr>
        <w:t xml:space="preserve"> (correcting a claim that he had tried several times)</w:t>
      </w:r>
      <w:r w:rsidR="00190910">
        <w:rPr>
          <w:rFonts w:ascii="Book Antiqua" w:hAnsi="Book Antiqua" w:cs="Arial"/>
        </w:rPr>
        <w:t xml:space="preserve">, it was just on the one occasion.  He said he was told that the could not be accepted on such a course because of </w:t>
      </w:r>
      <w:r w:rsidR="00C4062B">
        <w:rPr>
          <w:rFonts w:ascii="Book Antiqua" w:hAnsi="Book Antiqua" w:cs="Arial"/>
        </w:rPr>
        <w:t xml:space="preserve">his </w:t>
      </w:r>
      <w:r w:rsidR="00190910">
        <w:rPr>
          <w:rFonts w:ascii="Book Antiqua" w:hAnsi="Book Antiqua" w:cs="Arial"/>
        </w:rPr>
        <w:t xml:space="preserve">immigration status, but Ms Moffatt has not produced any evidence to </w:t>
      </w:r>
      <w:r w:rsidR="00C80B86">
        <w:rPr>
          <w:rFonts w:ascii="Book Antiqua" w:hAnsi="Book Antiqua" w:cs="Arial"/>
        </w:rPr>
        <w:t>show</w:t>
      </w:r>
      <w:r w:rsidR="00190910">
        <w:rPr>
          <w:rFonts w:ascii="Book Antiqua" w:hAnsi="Book Antiqua" w:cs="Arial"/>
        </w:rPr>
        <w:t xml:space="preserve"> that he would have received the same negative response </w:t>
      </w:r>
      <w:r w:rsidR="00252586">
        <w:rPr>
          <w:rFonts w:ascii="Book Antiqua" w:hAnsi="Book Antiqua" w:cs="Arial"/>
        </w:rPr>
        <w:t xml:space="preserve">if he had tried other </w:t>
      </w:r>
      <w:r w:rsidR="00190910">
        <w:rPr>
          <w:rFonts w:ascii="Book Antiqua" w:hAnsi="Book Antiqua" w:cs="Arial"/>
        </w:rPr>
        <w:t>su</w:t>
      </w:r>
      <w:r w:rsidR="00C80B86">
        <w:rPr>
          <w:rFonts w:ascii="Book Antiqua" w:hAnsi="Book Antiqua" w:cs="Arial"/>
        </w:rPr>
        <w:t xml:space="preserve">itable sources of counselling help. </w:t>
      </w:r>
      <w:r w:rsidR="004422C5">
        <w:rPr>
          <w:rFonts w:ascii="Book Antiqua" w:hAnsi="Book Antiqua" w:cs="Arial"/>
        </w:rPr>
        <w:t xml:space="preserve">In point of fact his immigration status does not lawfully </w:t>
      </w:r>
      <w:r w:rsidR="00005162">
        <w:rPr>
          <w:rFonts w:ascii="Book Antiqua" w:hAnsi="Book Antiqua" w:cs="Arial"/>
        </w:rPr>
        <w:t>prevent him</w:t>
      </w:r>
      <w:r w:rsidR="004422C5">
        <w:rPr>
          <w:rFonts w:ascii="Book Antiqua" w:hAnsi="Book Antiqua" w:cs="Arial"/>
        </w:rPr>
        <w:t xml:space="preserve"> from having the same access</w:t>
      </w:r>
      <w:r w:rsidR="00C80B86">
        <w:rPr>
          <w:rFonts w:ascii="Book Antiqua" w:hAnsi="Book Antiqua" w:cs="Arial"/>
        </w:rPr>
        <w:t xml:space="preserve"> </w:t>
      </w:r>
      <w:r w:rsidR="004422C5">
        <w:rPr>
          <w:rFonts w:ascii="Book Antiqua" w:hAnsi="Book Antiqua" w:cs="Arial"/>
        </w:rPr>
        <w:t>as other settled persons enjoy.</w:t>
      </w:r>
      <w:r w:rsidR="00C4062B">
        <w:rPr>
          <w:rFonts w:ascii="Book Antiqua" w:hAnsi="Book Antiqua" w:cs="Arial"/>
        </w:rPr>
        <w:t xml:space="preserve"> The same applies to his access to the labour market. </w:t>
      </w:r>
    </w:p>
    <w:p w:rsidR="00C80B86" w:rsidRDefault="00687868" w:rsidP="00D97FE6">
      <w:pPr>
        <w:spacing w:before="160"/>
        <w:ind w:left="567" w:hanging="567"/>
        <w:jc w:val="both"/>
        <w:rPr>
          <w:rFonts w:ascii="Book Antiqua" w:hAnsi="Book Antiqua" w:cs="Arial"/>
        </w:rPr>
      </w:pPr>
      <w:r>
        <w:rPr>
          <w:rFonts w:ascii="Book Antiqua" w:hAnsi="Book Antiqua" w:cs="Arial"/>
        </w:rPr>
        <w:t>5</w:t>
      </w:r>
      <w:r w:rsidR="009E53FF">
        <w:rPr>
          <w:rFonts w:ascii="Book Antiqua" w:hAnsi="Book Antiqua" w:cs="Arial"/>
        </w:rPr>
        <w:t>1</w:t>
      </w:r>
      <w:r w:rsidR="00C80B86">
        <w:rPr>
          <w:rFonts w:ascii="Book Antiqua" w:hAnsi="Book Antiqua" w:cs="Arial"/>
        </w:rPr>
        <w:t>.</w:t>
      </w:r>
      <w:r w:rsidR="00C80B86">
        <w:rPr>
          <w:rFonts w:ascii="Book Antiqua" w:hAnsi="Book Antiqua" w:cs="Arial"/>
        </w:rPr>
        <w:tab/>
        <w:t>I have dealt earlier with the claimant’s likely situation on return to Nigeria.  In short, I find that he would</w:t>
      </w:r>
      <w:r w:rsidR="004422C5">
        <w:rPr>
          <w:rFonts w:ascii="Book Antiqua" w:hAnsi="Book Antiqua" w:cs="Arial"/>
        </w:rPr>
        <w:t xml:space="preserve"> </w:t>
      </w:r>
      <w:r w:rsidR="00C4062B">
        <w:rPr>
          <w:rFonts w:ascii="Book Antiqua" w:hAnsi="Book Antiqua" w:cs="Arial"/>
        </w:rPr>
        <w:t>not face</w:t>
      </w:r>
      <w:r w:rsidR="00C80B86">
        <w:rPr>
          <w:rFonts w:ascii="Book Antiqua" w:hAnsi="Book Antiqua" w:cs="Arial"/>
        </w:rPr>
        <w:t xml:space="preserve"> </w:t>
      </w:r>
      <w:r w:rsidR="004422C5">
        <w:rPr>
          <w:rFonts w:ascii="Book Antiqua" w:hAnsi="Book Antiqua" w:cs="Arial"/>
        </w:rPr>
        <w:t xml:space="preserve">very </w:t>
      </w:r>
      <w:r w:rsidR="00C80B86">
        <w:rPr>
          <w:rFonts w:ascii="Book Antiqua" w:hAnsi="Book Antiqua" w:cs="Arial"/>
        </w:rPr>
        <w:t>significant obstacles to integrating into Nigerian society.  When considering private life ties in the context of return, it is necessary to take into account not only actual ties (of which I accept he has none</w:t>
      </w:r>
      <w:r w:rsidR="00C4062B">
        <w:rPr>
          <w:rFonts w:ascii="Book Antiqua" w:hAnsi="Book Antiqua" w:cs="Arial"/>
        </w:rPr>
        <w:t xml:space="preserve"> save for familiarity with cultural norms through living with his mother for 14 years),</w:t>
      </w:r>
      <w:r w:rsidR="00C80B86">
        <w:rPr>
          <w:rFonts w:ascii="Book Antiqua" w:hAnsi="Book Antiqua" w:cs="Arial"/>
        </w:rPr>
        <w:t xml:space="preserve"> but potential ties as well as the extent to which he is someone who </w:t>
      </w:r>
      <w:r w:rsidR="004422C5">
        <w:rPr>
          <w:rFonts w:ascii="Book Antiqua" w:hAnsi="Book Antiqua" w:cs="Arial"/>
        </w:rPr>
        <w:t xml:space="preserve">ordinarily </w:t>
      </w:r>
      <w:r w:rsidR="00C80B86">
        <w:rPr>
          <w:rFonts w:ascii="Book Antiqua" w:hAnsi="Book Antiqua" w:cs="Arial"/>
        </w:rPr>
        <w:t xml:space="preserve">relies </w:t>
      </w:r>
      <w:r w:rsidR="004422C5">
        <w:rPr>
          <w:rFonts w:ascii="Book Antiqua" w:hAnsi="Book Antiqua" w:cs="Arial"/>
        </w:rPr>
        <w:t xml:space="preserve">or depends </w:t>
      </w:r>
      <w:r w:rsidR="00005162">
        <w:rPr>
          <w:rFonts w:ascii="Book Antiqua" w:hAnsi="Book Antiqua" w:cs="Arial"/>
        </w:rPr>
        <w:t>upon</w:t>
      </w:r>
      <w:r w:rsidR="004422C5">
        <w:rPr>
          <w:rFonts w:ascii="Book Antiqua" w:hAnsi="Book Antiqua" w:cs="Arial"/>
        </w:rPr>
        <w:t xml:space="preserve"> </w:t>
      </w:r>
      <w:r w:rsidR="00C80B86">
        <w:rPr>
          <w:rFonts w:ascii="Book Antiqua" w:hAnsi="Book Antiqua" w:cs="Arial"/>
        </w:rPr>
        <w:t xml:space="preserve">on close personal ties.  On the claimant’s own </w:t>
      </w:r>
      <w:r w:rsidR="00C4062B">
        <w:rPr>
          <w:rFonts w:ascii="Book Antiqua" w:hAnsi="Book Antiqua" w:cs="Arial"/>
        </w:rPr>
        <w:t>evidence,</w:t>
      </w:r>
      <w:r w:rsidR="00C80B86">
        <w:rPr>
          <w:rFonts w:ascii="Book Antiqua" w:hAnsi="Book Antiqua" w:cs="Arial"/>
        </w:rPr>
        <w:t xml:space="preserve"> he is presently someone who chooses to live a mobile lifestyle without wishing to develop long-term attachments.</w:t>
      </w:r>
      <w:r w:rsidR="00252586">
        <w:rPr>
          <w:rFonts w:ascii="Book Antiqua" w:hAnsi="Book Antiqua" w:cs="Arial"/>
        </w:rPr>
        <w:t xml:space="preserve"> As noted earlier he is someone who was assessed by his probation officer in July 2013 as having good social skills and the intelligence and ability to make a good life for himself without illegal activities. </w:t>
      </w:r>
    </w:p>
    <w:p w:rsidR="00252586" w:rsidRDefault="00687868" w:rsidP="00D97FE6">
      <w:pPr>
        <w:spacing w:before="160"/>
        <w:ind w:left="567" w:hanging="567"/>
        <w:jc w:val="both"/>
        <w:rPr>
          <w:rFonts w:ascii="Book Antiqua" w:hAnsi="Book Antiqua" w:cs="Arial"/>
        </w:rPr>
      </w:pPr>
      <w:r>
        <w:rPr>
          <w:rFonts w:ascii="Book Antiqua" w:hAnsi="Book Antiqua" w:cs="Arial"/>
        </w:rPr>
        <w:t>5</w:t>
      </w:r>
      <w:r w:rsidR="009E53FF">
        <w:rPr>
          <w:rFonts w:ascii="Book Antiqua" w:hAnsi="Book Antiqua" w:cs="Arial"/>
        </w:rPr>
        <w:t>2</w:t>
      </w:r>
      <w:r w:rsidR="00C80B86">
        <w:rPr>
          <w:rFonts w:ascii="Book Antiqua" w:hAnsi="Book Antiqua" w:cs="Arial"/>
        </w:rPr>
        <w:t>.</w:t>
      </w:r>
      <w:r w:rsidR="00C80B86">
        <w:rPr>
          <w:rFonts w:ascii="Book Antiqua" w:hAnsi="Book Antiqua" w:cs="Arial"/>
        </w:rPr>
        <w:tab/>
        <w:t xml:space="preserve">In terms of the public interest factors, the claimant, albeit a foreign criminal, has not been sentenced to a period of imprisonment of four years or more.  He has not reoffended since 2013.  </w:t>
      </w:r>
      <w:r w:rsidR="004422C5">
        <w:rPr>
          <w:rFonts w:ascii="Book Antiqua" w:hAnsi="Book Antiqua" w:cs="Arial"/>
        </w:rPr>
        <w:t xml:space="preserve">He has expressed remorse. </w:t>
      </w:r>
      <w:r w:rsidR="00252586">
        <w:rPr>
          <w:rFonts w:ascii="Book Antiqua" w:hAnsi="Book Antiqua" w:cs="Arial"/>
        </w:rPr>
        <w:t xml:space="preserve">Equally he was imprisoned for a total of 3 years 7 months with allowance being made in the context of his youth offending for the fact that he was a minor and the sentencing judge (Judge Price) in August 2013 noted the Pre-Sentence probation report (which set out the claimant’s troubled childhood history);and he has not been able to meet the requirements of paragraph 399A; he remains as someone assessed at medium to high risk of reoffending; although he has expressed remorse Dr Broterton did not consider there was any evidence of remorse aside that for his own personal consequences and references to others’ material loss. </w:t>
      </w:r>
    </w:p>
    <w:p w:rsidR="00C80B86" w:rsidRDefault="00687868" w:rsidP="00D97FE6">
      <w:pPr>
        <w:spacing w:before="160"/>
        <w:ind w:left="567" w:hanging="567"/>
        <w:jc w:val="both"/>
        <w:rPr>
          <w:rFonts w:ascii="Book Antiqua" w:hAnsi="Book Antiqua" w:cs="Arial"/>
        </w:rPr>
      </w:pPr>
      <w:r>
        <w:rPr>
          <w:rFonts w:ascii="Book Antiqua" w:hAnsi="Book Antiqua" w:cs="Arial"/>
        </w:rPr>
        <w:t>5</w:t>
      </w:r>
      <w:r w:rsidR="009E53FF">
        <w:rPr>
          <w:rFonts w:ascii="Book Antiqua" w:hAnsi="Book Antiqua" w:cs="Arial"/>
        </w:rPr>
        <w:t>3</w:t>
      </w:r>
      <w:r w:rsidR="00252586">
        <w:rPr>
          <w:rFonts w:ascii="Book Antiqua" w:hAnsi="Book Antiqua" w:cs="Arial"/>
        </w:rPr>
        <w:t>.</w:t>
      </w:r>
      <w:r w:rsidR="00D97FE6">
        <w:rPr>
          <w:rFonts w:ascii="Book Antiqua" w:hAnsi="Book Antiqua" w:cs="Arial"/>
        </w:rPr>
        <w:tab/>
      </w:r>
      <w:r w:rsidR="00C80B86">
        <w:rPr>
          <w:rFonts w:ascii="Book Antiqua" w:hAnsi="Book Antiqua" w:cs="Arial"/>
        </w:rPr>
        <w:t xml:space="preserve">It is possible </w:t>
      </w:r>
      <w:r w:rsidR="00D01CC1">
        <w:rPr>
          <w:rFonts w:ascii="Book Antiqua" w:hAnsi="Book Antiqua" w:cs="Arial"/>
        </w:rPr>
        <w:t>to argue that in some cases</w:t>
      </w:r>
      <w:r w:rsidR="00C80B86">
        <w:rPr>
          <w:rFonts w:ascii="Book Antiqua" w:hAnsi="Book Antiqua" w:cs="Arial"/>
        </w:rPr>
        <w:t xml:space="preserve"> a person’s criminal conduct renders their immigration status precarious but I do </w:t>
      </w:r>
      <w:r w:rsidR="00D01CC1">
        <w:rPr>
          <w:rFonts w:ascii="Book Antiqua" w:hAnsi="Book Antiqua" w:cs="Arial"/>
        </w:rPr>
        <w:t>not consider the provisions of s</w:t>
      </w:r>
      <w:r w:rsidR="00C80B86">
        <w:rPr>
          <w:rFonts w:ascii="Book Antiqua" w:hAnsi="Book Antiqua" w:cs="Arial"/>
        </w:rPr>
        <w:t>ection 117B(5) can easily be applied to the claimant’s case given he may have received ILR earlier had his mother acted promptly and he is someone who since 2010 has had ILR.  It remains, however, that strong weight has to be given to the public interest in the deportation of a foreign criminal.</w:t>
      </w:r>
    </w:p>
    <w:p w:rsidR="00C80B86" w:rsidRDefault="00687868" w:rsidP="00D97FE6">
      <w:pPr>
        <w:spacing w:before="160"/>
        <w:ind w:left="567" w:hanging="567"/>
        <w:jc w:val="both"/>
        <w:rPr>
          <w:rFonts w:ascii="Book Antiqua" w:hAnsi="Book Antiqua" w:cs="Arial"/>
        </w:rPr>
      </w:pPr>
      <w:r>
        <w:rPr>
          <w:rFonts w:ascii="Book Antiqua" w:hAnsi="Book Antiqua" w:cs="Arial"/>
        </w:rPr>
        <w:t>5</w:t>
      </w:r>
      <w:r w:rsidR="009E53FF">
        <w:rPr>
          <w:rFonts w:ascii="Book Antiqua" w:hAnsi="Book Antiqua" w:cs="Arial"/>
        </w:rPr>
        <w:t>4</w:t>
      </w:r>
      <w:r w:rsidR="00C80B86">
        <w:rPr>
          <w:rFonts w:ascii="Book Antiqua" w:hAnsi="Book Antiqua" w:cs="Arial"/>
        </w:rPr>
        <w:t>.</w:t>
      </w:r>
      <w:r w:rsidR="00C80B86">
        <w:rPr>
          <w:rFonts w:ascii="Book Antiqua" w:hAnsi="Book Antiqua" w:cs="Arial"/>
        </w:rPr>
        <w:tab/>
        <w:t>Taking all of the evidence in the round I conclude that there are no very compelling circumstances justifying a conclusion that the deportation order would breach the claimant’s Article 8 right to respect for private or family life.</w:t>
      </w:r>
      <w:r w:rsidR="00C4062B">
        <w:rPr>
          <w:rFonts w:ascii="Book Antiqua" w:hAnsi="Book Antiqua" w:cs="Arial"/>
        </w:rPr>
        <w:t xml:space="preserve"> The public interest factors pointing in favour of his deportation outweigh factors pointing in favour of him being allowed to remain.</w:t>
      </w:r>
    </w:p>
    <w:p w:rsidR="00C80B86" w:rsidRDefault="00252586" w:rsidP="00D97FE6">
      <w:pPr>
        <w:spacing w:before="160"/>
        <w:ind w:left="567" w:hanging="567"/>
        <w:jc w:val="both"/>
        <w:rPr>
          <w:rFonts w:ascii="Book Antiqua" w:hAnsi="Book Antiqua" w:cs="Arial"/>
        </w:rPr>
      </w:pPr>
      <w:r>
        <w:rPr>
          <w:rFonts w:ascii="Book Antiqua" w:hAnsi="Book Antiqua" w:cs="Arial"/>
        </w:rPr>
        <w:t>5</w:t>
      </w:r>
      <w:r w:rsidR="009E53FF">
        <w:rPr>
          <w:rFonts w:ascii="Book Antiqua" w:hAnsi="Book Antiqua" w:cs="Arial"/>
        </w:rPr>
        <w:t>5</w:t>
      </w:r>
      <w:r w:rsidR="00C80B86">
        <w:rPr>
          <w:rFonts w:ascii="Book Antiqua" w:hAnsi="Book Antiqua" w:cs="Arial"/>
        </w:rPr>
        <w:t>.</w:t>
      </w:r>
      <w:r w:rsidR="00C80B86">
        <w:rPr>
          <w:rFonts w:ascii="Book Antiqua" w:hAnsi="Book Antiqua" w:cs="Arial"/>
        </w:rPr>
        <w:tab/>
      </w:r>
      <w:r w:rsidR="00C4062B">
        <w:rPr>
          <w:rFonts w:ascii="Book Antiqua" w:hAnsi="Book Antiqua" w:cs="Arial"/>
        </w:rPr>
        <w:t>Accordingly,</w:t>
      </w:r>
      <w:r w:rsidR="00C80B86">
        <w:rPr>
          <w:rFonts w:ascii="Book Antiqua" w:hAnsi="Book Antiqua" w:cs="Arial"/>
        </w:rPr>
        <w:t xml:space="preserve"> the claimant’s appeal fails under both the Immigration Rules and outside the Rules. </w:t>
      </w:r>
    </w:p>
    <w:p w:rsidR="00D97FE6" w:rsidRDefault="00D97FE6" w:rsidP="00D97FE6">
      <w:pPr>
        <w:spacing w:before="160"/>
        <w:ind w:left="567" w:hanging="567"/>
        <w:jc w:val="both"/>
        <w:rPr>
          <w:rFonts w:ascii="Book Antiqua" w:hAnsi="Book Antiqua" w:cs="Arial"/>
        </w:rPr>
      </w:pPr>
    </w:p>
    <w:p w:rsidR="00C80B86" w:rsidRDefault="00252586" w:rsidP="00D97FE6">
      <w:pPr>
        <w:spacing w:before="160"/>
        <w:ind w:left="567" w:hanging="567"/>
        <w:jc w:val="both"/>
        <w:rPr>
          <w:rFonts w:ascii="Book Antiqua" w:hAnsi="Book Antiqua" w:cs="Arial"/>
        </w:rPr>
      </w:pPr>
      <w:r>
        <w:rPr>
          <w:rFonts w:ascii="Book Antiqua" w:hAnsi="Book Antiqua" w:cs="Arial"/>
        </w:rPr>
        <w:lastRenderedPageBreak/>
        <w:t>5</w:t>
      </w:r>
      <w:r w:rsidR="009E53FF">
        <w:rPr>
          <w:rFonts w:ascii="Book Antiqua" w:hAnsi="Book Antiqua" w:cs="Arial"/>
        </w:rPr>
        <w:t>6</w:t>
      </w:r>
      <w:r w:rsidR="00C80B86">
        <w:rPr>
          <w:rFonts w:ascii="Book Antiqua" w:hAnsi="Book Antiqua" w:cs="Arial"/>
        </w:rPr>
        <w:t>.</w:t>
      </w:r>
      <w:r w:rsidR="00C80B86">
        <w:rPr>
          <w:rFonts w:ascii="Book Antiqua" w:hAnsi="Book Antiqua" w:cs="Arial"/>
        </w:rPr>
        <w:tab/>
        <w:t>To conclude:</w:t>
      </w:r>
    </w:p>
    <w:p w:rsidR="00C80B86" w:rsidRPr="00F40931" w:rsidRDefault="00C80B86" w:rsidP="00D97FE6">
      <w:pPr>
        <w:spacing w:before="160"/>
        <w:ind w:left="567"/>
        <w:jc w:val="both"/>
        <w:rPr>
          <w:rFonts w:ascii="Book Antiqua" w:hAnsi="Book Antiqua" w:cs="Arial"/>
        </w:rPr>
      </w:pPr>
      <w:r>
        <w:rPr>
          <w:rFonts w:ascii="Book Antiqua" w:hAnsi="Book Antiqua" w:cs="Arial"/>
        </w:rPr>
        <w:t>The decision of the FtT judge has already been set aside for material error of law; the decision I re-make is to dismiss the claimant’s appeal.</w:t>
      </w:r>
    </w:p>
    <w:p w:rsidR="00F94C2A" w:rsidRPr="00173CC6" w:rsidRDefault="00F94C2A" w:rsidP="00D97FE6">
      <w:pPr>
        <w:spacing w:before="160"/>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F94C2A" w:rsidRPr="00687601" w:rsidRDefault="00F94C2A" w:rsidP="00D97FE6">
      <w:pPr>
        <w:spacing w:before="160"/>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Pr>
          <w:rFonts w:ascii="Book Antiqua" w:hAnsi="Book Antiqua"/>
        </w:rPr>
        <w:t>his</w:t>
      </w:r>
      <w:r w:rsidRPr="00173CC6">
        <w:rPr>
          <w:rFonts w:ascii="Book Antiqua" w:hAnsi="Book Antiqua"/>
        </w:rPr>
        <w:t xml:space="preserve"> family.  This direction applies both to the </w:t>
      </w:r>
      <w:r>
        <w:rPr>
          <w:rFonts w:ascii="Book Antiqua" w:hAnsi="Book Antiqua"/>
        </w:rPr>
        <w:t>a</w:t>
      </w:r>
      <w:r w:rsidRPr="00173CC6">
        <w:rPr>
          <w:rFonts w:ascii="Book Antiqua" w:hAnsi="Book Antiqua"/>
        </w:rPr>
        <w:t xml:space="preserve">ppellant and to the </w:t>
      </w:r>
      <w:r>
        <w:rPr>
          <w:rFonts w:ascii="Book Antiqua" w:hAnsi="Book Antiqua"/>
        </w:rPr>
        <w:t>r</w:t>
      </w:r>
      <w:r w:rsidRPr="00173CC6">
        <w:rPr>
          <w:rFonts w:ascii="Book Antiqua" w:hAnsi="Book Antiqua"/>
        </w:rPr>
        <w:t>espondent.  Failure to comply with this direction could lead to contempt of court proceedings.</w:t>
      </w:r>
    </w:p>
    <w:p w:rsidR="00A509FA" w:rsidRDefault="00A509FA" w:rsidP="009F6BEE">
      <w:pPr>
        <w:rPr>
          <w:rFonts w:ascii="Book Antiqua" w:hAnsi="Book Antiqua" w:cs="Arial"/>
        </w:rPr>
      </w:pPr>
    </w:p>
    <w:p w:rsidR="00D97FE6" w:rsidRPr="00B57D66" w:rsidRDefault="00D97FE6" w:rsidP="009F6BEE">
      <w:pPr>
        <w:rPr>
          <w:rFonts w:ascii="Book Antiqua" w:hAnsi="Book Antiqua" w:cs="Arial"/>
        </w:rPr>
      </w:pPr>
    </w:p>
    <w:p w:rsidR="001F2716" w:rsidRPr="00B57D66" w:rsidRDefault="00780F86" w:rsidP="009F6BEE">
      <w:pPr>
        <w:tabs>
          <w:tab w:val="left" w:pos="1701"/>
          <w:tab w:val="right" w:pos="9638"/>
        </w:tabs>
        <w:rPr>
          <w:rFonts w:ascii="Book Antiqua" w:hAnsi="Book Antiqua" w:cs="Arial"/>
        </w:rPr>
      </w:pPr>
      <w:r w:rsidRPr="00B57D66">
        <w:rPr>
          <w:rFonts w:ascii="Book Antiqua" w:hAnsi="Book Antiqua" w:cs="Arial"/>
        </w:rPr>
        <w:t>Signed</w:t>
      </w:r>
      <w:r w:rsidR="004422C5">
        <w:rPr>
          <w:rFonts w:ascii="Book Antiqua" w:hAnsi="Book Antiqua" w:cs="Arial"/>
        </w:rPr>
        <w:t>:</w:t>
      </w:r>
      <w:r w:rsidR="009F6BEE">
        <w:rPr>
          <w:rFonts w:ascii="Book Antiqua" w:hAnsi="Book Antiqua" w:cs="Arial"/>
        </w:rPr>
        <w:tab/>
      </w:r>
      <w:r w:rsidR="00433E74" w:rsidRPr="00B35E85">
        <w:rPr>
          <w:noProof/>
        </w:rPr>
        <w:drawing>
          <wp:inline distT="0" distB="0" distL="0" distR="0">
            <wp:extent cx="1710055"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055" cy="508000"/>
                    </a:xfrm>
                    <a:prstGeom prst="rect">
                      <a:avLst/>
                    </a:prstGeom>
                    <a:noFill/>
                    <a:ln>
                      <a:noFill/>
                    </a:ln>
                  </pic:spPr>
                </pic:pic>
              </a:graphicData>
            </a:graphic>
          </wp:inline>
        </w:drawing>
      </w:r>
      <w:r w:rsidRPr="00B57D66">
        <w:rPr>
          <w:rFonts w:ascii="Book Antiqua" w:hAnsi="Book Antiqua" w:cs="Arial"/>
        </w:rPr>
        <w:tab/>
      </w:r>
      <w:r w:rsidR="001F2716" w:rsidRPr="00B57D66">
        <w:rPr>
          <w:rFonts w:ascii="Book Antiqua" w:hAnsi="Book Antiqua" w:cs="Arial"/>
        </w:rPr>
        <w:t>Date</w:t>
      </w:r>
      <w:r w:rsidR="00005162">
        <w:rPr>
          <w:rFonts w:ascii="Book Antiqua" w:hAnsi="Book Antiqua" w:cs="Arial"/>
        </w:rPr>
        <w:t xml:space="preserve">: </w:t>
      </w:r>
      <w:r w:rsidR="00252586">
        <w:rPr>
          <w:rFonts w:ascii="Book Antiqua" w:hAnsi="Book Antiqua" w:cs="Arial"/>
        </w:rPr>
        <w:t>27</w:t>
      </w:r>
      <w:r w:rsidR="004422C5">
        <w:rPr>
          <w:rFonts w:ascii="Book Antiqua" w:hAnsi="Book Antiqua" w:cs="Arial"/>
        </w:rPr>
        <w:t xml:space="preserve"> Ju</w:t>
      </w:r>
      <w:r w:rsidR="00BA07C0">
        <w:rPr>
          <w:rFonts w:ascii="Book Antiqua" w:hAnsi="Book Antiqua" w:cs="Arial"/>
        </w:rPr>
        <w:t>ly 2018</w:t>
      </w:r>
    </w:p>
    <w:p w:rsidR="001F2716" w:rsidRPr="00B57D66" w:rsidRDefault="001F2716" w:rsidP="009F6BEE">
      <w:pPr>
        <w:tabs>
          <w:tab w:val="left" w:pos="2520"/>
        </w:tabs>
        <w:rPr>
          <w:rFonts w:ascii="Book Antiqua" w:hAnsi="Book Antiqua" w:cs="Arial"/>
        </w:rPr>
      </w:pPr>
    </w:p>
    <w:p w:rsidR="00A9409A" w:rsidRDefault="00A9409A" w:rsidP="009F6BEE">
      <w:pPr>
        <w:tabs>
          <w:tab w:val="left" w:pos="2520"/>
        </w:tabs>
        <w:rPr>
          <w:rFonts w:ascii="Book Antiqua" w:hAnsi="Book Antiqua" w:cs="Arial"/>
          <w:color w:val="000000"/>
        </w:rPr>
      </w:pPr>
      <w:r>
        <w:rPr>
          <w:rFonts w:ascii="Book Antiqua" w:hAnsi="Book Antiqua" w:cs="Arial"/>
          <w:color w:val="000000"/>
        </w:rPr>
        <w:t>Dr H H Storey</w:t>
      </w:r>
    </w:p>
    <w:p w:rsidR="00B95326" w:rsidRPr="00B57D66" w:rsidRDefault="00A9409A" w:rsidP="009F6BEE">
      <w:pPr>
        <w:tabs>
          <w:tab w:val="left" w:pos="2520"/>
        </w:tabs>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77F" w:rsidRDefault="00AA577F">
      <w:r>
        <w:separator/>
      </w:r>
    </w:p>
  </w:endnote>
  <w:endnote w:type="continuationSeparator" w:id="0">
    <w:p w:rsidR="00AA577F" w:rsidRDefault="00AA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0C" w:rsidRPr="00B57D66" w:rsidRDefault="004F290C"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7F7FA1">
      <w:rPr>
        <w:rStyle w:val="PageNumber"/>
        <w:rFonts w:ascii="Book Antiqua" w:hAnsi="Book Antiqua" w:cs="Arial"/>
        <w:noProof/>
        <w:sz w:val="16"/>
        <w:szCs w:val="16"/>
      </w:rPr>
      <w:t>13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0C" w:rsidRPr="00B57D66" w:rsidRDefault="004F290C"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77F" w:rsidRDefault="00AA577F">
      <w:r>
        <w:separator/>
      </w:r>
    </w:p>
  </w:footnote>
  <w:footnote w:type="continuationSeparator" w:id="0">
    <w:p w:rsidR="00AA577F" w:rsidRDefault="00AA577F">
      <w:r>
        <w:continuationSeparator/>
      </w:r>
    </w:p>
  </w:footnote>
  <w:footnote w:id="1">
    <w:p w:rsidR="00F67FA3" w:rsidRPr="00B83F6C" w:rsidRDefault="00F67FA3" w:rsidP="00D97FE6">
      <w:pPr>
        <w:pStyle w:val="NormalWeb"/>
        <w:numPr>
          <w:ilvl w:val="0"/>
          <w:numId w:val="1"/>
        </w:numPr>
        <w:tabs>
          <w:tab w:val="clear" w:pos="720"/>
          <w:tab w:val="left" w:pos="709"/>
        </w:tabs>
        <w:spacing w:before="120" w:beforeAutospacing="0" w:after="120" w:afterAutospacing="0"/>
        <w:ind w:left="709" w:hanging="283"/>
        <w:jc w:val="both"/>
        <w:rPr>
          <w:rFonts w:ascii="Book Antiqua" w:hAnsi="Book Antiqua"/>
          <w:sz w:val="20"/>
          <w:szCs w:val="20"/>
        </w:rPr>
      </w:pPr>
      <w:r w:rsidRPr="00B83F6C">
        <w:rPr>
          <w:rFonts w:ascii="Book Antiqua" w:hAnsi="Book Antiqua"/>
          <w:sz w:val="20"/>
          <w:szCs w:val="20"/>
        </w:rPr>
        <w:t xml:space="preserve">At pp.29-30 this Instruction to staff states: </w:t>
      </w:r>
      <w:r w:rsidR="00B83F6C" w:rsidRPr="00B83F6C">
        <w:rPr>
          <w:rFonts w:ascii="Book Antiqua" w:hAnsi="Book Antiqua"/>
          <w:sz w:val="20"/>
          <w:szCs w:val="20"/>
        </w:rPr>
        <w:t>“</w:t>
      </w:r>
      <w:r w:rsidRPr="00B83F6C">
        <w:rPr>
          <w:rFonts w:ascii="Book Antiqua" w:hAnsi="Book Antiqua" w:cs="Arial"/>
          <w:sz w:val="20"/>
          <w:szCs w:val="20"/>
        </w:rPr>
        <w:t xml:space="preserve">Immigration status is likely to be important. A person who has been in the UK with limited leave to enter or remain is less likely to be integrated because of the temporary nature of their immigration status. A person who is in the UK unlawfully will have even less of a claim to be integrated. Criminal offending will also often be an indication of lack of integration. The nature of offending, such as anti-social behaviour against a local community or offending that may have caused a serious and/or long-term impact on a victim or victims (such as sexual assault or burglary) may be further evidence of non-integration. </w:t>
      </w:r>
    </w:p>
    <w:p w:rsidR="00F67FA3" w:rsidRPr="00B83F6C" w:rsidRDefault="00F67FA3" w:rsidP="00D97FE6">
      <w:pPr>
        <w:pStyle w:val="NormalWeb"/>
        <w:spacing w:before="120" w:beforeAutospacing="0" w:after="120" w:afterAutospacing="0"/>
        <w:ind w:left="709"/>
        <w:jc w:val="both"/>
        <w:rPr>
          <w:rFonts w:ascii="Book Antiqua" w:hAnsi="Book Antiqua"/>
          <w:sz w:val="20"/>
          <w:szCs w:val="20"/>
        </w:rPr>
      </w:pPr>
      <w:r w:rsidRPr="00B83F6C">
        <w:rPr>
          <w:rFonts w:ascii="Book Antiqua" w:hAnsi="Book Antiqua" w:cs="Arial"/>
          <w:sz w:val="20"/>
          <w:szCs w:val="20"/>
        </w:rPr>
        <w:t xml:space="preserve">To outweigh any evidence of a lack of integration, the foreign criminal will need to demonstrate strong evidence of integration. Mere presence in the UK is not an indication of integration. Positive contributions to society may be evidence of integration, for example an exceptional contribution to a local community or to wider society, which has not been undertaken at a time that suggests an attempt to avoid deportation. If such a claim is made, you should expect to see credible evidence of significant voluntary work of real practical benefit. </w:t>
      </w:r>
    </w:p>
    <w:p w:rsidR="00F67FA3" w:rsidRDefault="00F67FA3" w:rsidP="00D97FE6">
      <w:pPr>
        <w:pStyle w:val="NormalWeb"/>
        <w:spacing w:before="120" w:beforeAutospacing="0" w:after="120" w:afterAutospacing="0"/>
        <w:ind w:left="709"/>
        <w:jc w:val="both"/>
      </w:pPr>
      <w:r w:rsidRPr="00B83F6C">
        <w:rPr>
          <w:rFonts w:ascii="Book Antiqua" w:hAnsi="Book Antiqua" w:cs="Arial"/>
          <w:sz w:val="20"/>
          <w:szCs w:val="20"/>
        </w:rPr>
        <w:t>It will usually be more difficult for a foreign criminal who has been sentenced more than once to a period of imprisonment of at least 12 months but less than 4 years to demonstrate that they are socially and culturally integrated, because they will have spent more time excluded from society, than for a foreign criminal who has been convicted of a single offence.”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0C" w:rsidRPr="00FE2B48" w:rsidRDefault="004F290C"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FE2B48">
      <w:rPr>
        <w:rFonts w:ascii="Book Antiqua" w:hAnsi="Book Antiqua" w:cs="Arial"/>
        <w:sz w:val="16"/>
        <w:szCs w:val="16"/>
      </w:rPr>
      <w:t>DA/01549/2014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0C" w:rsidRPr="00B57D66" w:rsidRDefault="004F290C">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A76D9"/>
    <w:multiLevelType w:val="multilevel"/>
    <w:tmpl w:val="56E0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5A"/>
    <w:rsid w:val="00000055"/>
    <w:rsid w:val="00000621"/>
    <w:rsid w:val="000036C2"/>
    <w:rsid w:val="00005162"/>
    <w:rsid w:val="00033D3D"/>
    <w:rsid w:val="00041A05"/>
    <w:rsid w:val="00057BD3"/>
    <w:rsid w:val="00062F02"/>
    <w:rsid w:val="00064144"/>
    <w:rsid w:val="00071A7E"/>
    <w:rsid w:val="000746C0"/>
    <w:rsid w:val="00074D1D"/>
    <w:rsid w:val="00082E32"/>
    <w:rsid w:val="0009150C"/>
    <w:rsid w:val="00092580"/>
    <w:rsid w:val="00093D4D"/>
    <w:rsid w:val="000A2820"/>
    <w:rsid w:val="000A383D"/>
    <w:rsid w:val="000D326A"/>
    <w:rsid w:val="000D5D94"/>
    <w:rsid w:val="000E2BAB"/>
    <w:rsid w:val="000F1A0E"/>
    <w:rsid w:val="00104002"/>
    <w:rsid w:val="001165A7"/>
    <w:rsid w:val="00152059"/>
    <w:rsid w:val="00167D3A"/>
    <w:rsid w:val="00173CC6"/>
    <w:rsid w:val="00186D79"/>
    <w:rsid w:val="00190910"/>
    <w:rsid w:val="00197B3B"/>
    <w:rsid w:val="00197FF1"/>
    <w:rsid w:val="001A3082"/>
    <w:rsid w:val="001A3DA0"/>
    <w:rsid w:val="001B186A"/>
    <w:rsid w:val="001B29C0"/>
    <w:rsid w:val="001B2F75"/>
    <w:rsid w:val="001D4DD2"/>
    <w:rsid w:val="001F2716"/>
    <w:rsid w:val="00200F1B"/>
    <w:rsid w:val="00207617"/>
    <w:rsid w:val="0021063B"/>
    <w:rsid w:val="002235C3"/>
    <w:rsid w:val="0023134B"/>
    <w:rsid w:val="00252586"/>
    <w:rsid w:val="00277CB5"/>
    <w:rsid w:val="00283659"/>
    <w:rsid w:val="002C6BD4"/>
    <w:rsid w:val="002D52A3"/>
    <w:rsid w:val="002D62B6"/>
    <w:rsid w:val="002D68BF"/>
    <w:rsid w:val="002E476B"/>
    <w:rsid w:val="002F35E8"/>
    <w:rsid w:val="002F6B98"/>
    <w:rsid w:val="00307FF9"/>
    <w:rsid w:val="003108ED"/>
    <w:rsid w:val="00327658"/>
    <w:rsid w:val="00336CBF"/>
    <w:rsid w:val="003370F1"/>
    <w:rsid w:val="00343FE3"/>
    <w:rsid w:val="003546C8"/>
    <w:rsid w:val="0036459A"/>
    <w:rsid w:val="003A6CF9"/>
    <w:rsid w:val="003A7CF2"/>
    <w:rsid w:val="003C5CE5"/>
    <w:rsid w:val="003D5D95"/>
    <w:rsid w:val="003E0953"/>
    <w:rsid w:val="003E267B"/>
    <w:rsid w:val="003E7CD1"/>
    <w:rsid w:val="003F367D"/>
    <w:rsid w:val="003F4E5A"/>
    <w:rsid w:val="00400E16"/>
    <w:rsid w:val="00402B9E"/>
    <w:rsid w:val="004249CB"/>
    <w:rsid w:val="00426616"/>
    <w:rsid w:val="00433E74"/>
    <w:rsid w:val="004376DB"/>
    <w:rsid w:val="0044127D"/>
    <w:rsid w:val="004422C5"/>
    <w:rsid w:val="004448DB"/>
    <w:rsid w:val="00446C9A"/>
    <w:rsid w:val="00452F2B"/>
    <w:rsid w:val="0046454F"/>
    <w:rsid w:val="00471B09"/>
    <w:rsid w:val="00474D05"/>
    <w:rsid w:val="00477193"/>
    <w:rsid w:val="004A1848"/>
    <w:rsid w:val="004A6F4A"/>
    <w:rsid w:val="004B5AEF"/>
    <w:rsid w:val="004C395B"/>
    <w:rsid w:val="004D0621"/>
    <w:rsid w:val="004E4717"/>
    <w:rsid w:val="004E4A09"/>
    <w:rsid w:val="004F290C"/>
    <w:rsid w:val="00500E0C"/>
    <w:rsid w:val="00503473"/>
    <w:rsid w:val="005076C0"/>
    <w:rsid w:val="00507FEC"/>
    <w:rsid w:val="00510F0E"/>
    <w:rsid w:val="00513FD1"/>
    <w:rsid w:val="00527D66"/>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E4B51"/>
    <w:rsid w:val="005F7FA2"/>
    <w:rsid w:val="00601D8F"/>
    <w:rsid w:val="006215B3"/>
    <w:rsid w:val="00632616"/>
    <w:rsid w:val="00653E97"/>
    <w:rsid w:val="006660ED"/>
    <w:rsid w:val="00670B59"/>
    <w:rsid w:val="00684A74"/>
    <w:rsid w:val="0068767D"/>
    <w:rsid w:val="00687868"/>
    <w:rsid w:val="00690B8A"/>
    <w:rsid w:val="00691269"/>
    <w:rsid w:val="006B2B73"/>
    <w:rsid w:val="006C5560"/>
    <w:rsid w:val="006C7887"/>
    <w:rsid w:val="006D5C7F"/>
    <w:rsid w:val="006E34A9"/>
    <w:rsid w:val="006F2CF1"/>
    <w:rsid w:val="00700CB3"/>
    <w:rsid w:val="007038ED"/>
    <w:rsid w:val="00703BC3"/>
    <w:rsid w:val="00704B61"/>
    <w:rsid w:val="00720D28"/>
    <w:rsid w:val="00725B1E"/>
    <w:rsid w:val="007316C2"/>
    <w:rsid w:val="0073414C"/>
    <w:rsid w:val="0074439E"/>
    <w:rsid w:val="007552A9"/>
    <w:rsid w:val="00761858"/>
    <w:rsid w:val="00761DDA"/>
    <w:rsid w:val="00767D59"/>
    <w:rsid w:val="007702DD"/>
    <w:rsid w:val="00771806"/>
    <w:rsid w:val="00776E97"/>
    <w:rsid w:val="00780F86"/>
    <w:rsid w:val="007912AD"/>
    <w:rsid w:val="007A4FEE"/>
    <w:rsid w:val="007B0824"/>
    <w:rsid w:val="007B5D3C"/>
    <w:rsid w:val="007C1919"/>
    <w:rsid w:val="007E3FB6"/>
    <w:rsid w:val="007F7FA1"/>
    <w:rsid w:val="00800FA2"/>
    <w:rsid w:val="00821B72"/>
    <w:rsid w:val="00823EF2"/>
    <w:rsid w:val="008303B8"/>
    <w:rsid w:val="00831C2D"/>
    <w:rsid w:val="00833DCE"/>
    <w:rsid w:val="00842F3A"/>
    <w:rsid w:val="00845E03"/>
    <w:rsid w:val="00871D34"/>
    <w:rsid w:val="00872D99"/>
    <w:rsid w:val="00884F7E"/>
    <w:rsid w:val="00887DA7"/>
    <w:rsid w:val="00892906"/>
    <w:rsid w:val="008A01DD"/>
    <w:rsid w:val="008A151B"/>
    <w:rsid w:val="008A7800"/>
    <w:rsid w:val="008A7A7E"/>
    <w:rsid w:val="008B270C"/>
    <w:rsid w:val="008B4F43"/>
    <w:rsid w:val="008B5078"/>
    <w:rsid w:val="008B6CB4"/>
    <w:rsid w:val="008C0FB3"/>
    <w:rsid w:val="008C3D3D"/>
    <w:rsid w:val="008D37CB"/>
    <w:rsid w:val="008D4131"/>
    <w:rsid w:val="008F0203"/>
    <w:rsid w:val="008F1932"/>
    <w:rsid w:val="008F1BC2"/>
    <w:rsid w:val="008F5EF5"/>
    <w:rsid w:val="00921062"/>
    <w:rsid w:val="009407F7"/>
    <w:rsid w:val="0096726B"/>
    <w:rsid w:val="009722BC"/>
    <w:rsid w:val="009727A3"/>
    <w:rsid w:val="00975893"/>
    <w:rsid w:val="00987774"/>
    <w:rsid w:val="009A11E8"/>
    <w:rsid w:val="009A679E"/>
    <w:rsid w:val="009B4673"/>
    <w:rsid w:val="009B65AF"/>
    <w:rsid w:val="009D07E1"/>
    <w:rsid w:val="009E156B"/>
    <w:rsid w:val="009E53FF"/>
    <w:rsid w:val="009F5220"/>
    <w:rsid w:val="009F6BEE"/>
    <w:rsid w:val="00A15234"/>
    <w:rsid w:val="00A201AB"/>
    <w:rsid w:val="00A2306E"/>
    <w:rsid w:val="00A31C8B"/>
    <w:rsid w:val="00A50368"/>
    <w:rsid w:val="00A509FA"/>
    <w:rsid w:val="00A7001E"/>
    <w:rsid w:val="00A845DC"/>
    <w:rsid w:val="00A9409A"/>
    <w:rsid w:val="00AA577F"/>
    <w:rsid w:val="00AB1D3D"/>
    <w:rsid w:val="00AC6A03"/>
    <w:rsid w:val="00AD17CF"/>
    <w:rsid w:val="00AE6957"/>
    <w:rsid w:val="00B26123"/>
    <w:rsid w:val="00B26AA2"/>
    <w:rsid w:val="00B3524D"/>
    <w:rsid w:val="00B37D96"/>
    <w:rsid w:val="00B40F69"/>
    <w:rsid w:val="00B448D5"/>
    <w:rsid w:val="00B46616"/>
    <w:rsid w:val="00B57D66"/>
    <w:rsid w:val="00B7040A"/>
    <w:rsid w:val="00B83391"/>
    <w:rsid w:val="00B83F6C"/>
    <w:rsid w:val="00B8648A"/>
    <w:rsid w:val="00B91E85"/>
    <w:rsid w:val="00B95326"/>
    <w:rsid w:val="00BA07C0"/>
    <w:rsid w:val="00BB45A9"/>
    <w:rsid w:val="00BD2D6B"/>
    <w:rsid w:val="00BD4196"/>
    <w:rsid w:val="00BE06FA"/>
    <w:rsid w:val="00BE2F3A"/>
    <w:rsid w:val="00BF22CA"/>
    <w:rsid w:val="00BF23BB"/>
    <w:rsid w:val="00C00DE8"/>
    <w:rsid w:val="00C047BE"/>
    <w:rsid w:val="00C21665"/>
    <w:rsid w:val="00C26032"/>
    <w:rsid w:val="00C318B6"/>
    <w:rsid w:val="00C343E5"/>
    <w:rsid w:val="00C345E1"/>
    <w:rsid w:val="00C4062B"/>
    <w:rsid w:val="00C43BFD"/>
    <w:rsid w:val="00C522BA"/>
    <w:rsid w:val="00C56E8E"/>
    <w:rsid w:val="00C73B8E"/>
    <w:rsid w:val="00C80B86"/>
    <w:rsid w:val="00C816AD"/>
    <w:rsid w:val="00CB6E35"/>
    <w:rsid w:val="00CC26E8"/>
    <w:rsid w:val="00CD4CBE"/>
    <w:rsid w:val="00CE1A46"/>
    <w:rsid w:val="00CE7550"/>
    <w:rsid w:val="00CF505E"/>
    <w:rsid w:val="00D015C1"/>
    <w:rsid w:val="00D01CC1"/>
    <w:rsid w:val="00D07F38"/>
    <w:rsid w:val="00D20757"/>
    <w:rsid w:val="00D22636"/>
    <w:rsid w:val="00D34700"/>
    <w:rsid w:val="00D40FD9"/>
    <w:rsid w:val="00D53769"/>
    <w:rsid w:val="00D7040C"/>
    <w:rsid w:val="00D84A2A"/>
    <w:rsid w:val="00D85C13"/>
    <w:rsid w:val="00D9111A"/>
    <w:rsid w:val="00D91BE3"/>
    <w:rsid w:val="00D9427A"/>
    <w:rsid w:val="00D94AFC"/>
    <w:rsid w:val="00D97B17"/>
    <w:rsid w:val="00D97FE6"/>
    <w:rsid w:val="00DA1880"/>
    <w:rsid w:val="00DB70AE"/>
    <w:rsid w:val="00DC375C"/>
    <w:rsid w:val="00DC6099"/>
    <w:rsid w:val="00DD5071"/>
    <w:rsid w:val="00DD5C39"/>
    <w:rsid w:val="00DE7DB7"/>
    <w:rsid w:val="00E00A0A"/>
    <w:rsid w:val="00E01592"/>
    <w:rsid w:val="00E03203"/>
    <w:rsid w:val="00E066DE"/>
    <w:rsid w:val="00E07AAF"/>
    <w:rsid w:val="00E07F57"/>
    <w:rsid w:val="00E20E58"/>
    <w:rsid w:val="00E24E82"/>
    <w:rsid w:val="00E30683"/>
    <w:rsid w:val="00E319EB"/>
    <w:rsid w:val="00E4074F"/>
    <w:rsid w:val="00E453D8"/>
    <w:rsid w:val="00E500B2"/>
    <w:rsid w:val="00E50BCE"/>
    <w:rsid w:val="00E556B8"/>
    <w:rsid w:val="00E574BF"/>
    <w:rsid w:val="00E61292"/>
    <w:rsid w:val="00E6447F"/>
    <w:rsid w:val="00E77C4D"/>
    <w:rsid w:val="00E812E3"/>
    <w:rsid w:val="00E81D01"/>
    <w:rsid w:val="00E82519"/>
    <w:rsid w:val="00ED6E0E"/>
    <w:rsid w:val="00EE45D8"/>
    <w:rsid w:val="00F17123"/>
    <w:rsid w:val="00F22EDA"/>
    <w:rsid w:val="00F35C16"/>
    <w:rsid w:val="00F40931"/>
    <w:rsid w:val="00F465D5"/>
    <w:rsid w:val="00F47952"/>
    <w:rsid w:val="00F67FA3"/>
    <w:rsid w:val="00F82D65"/>
    <w:rsid w:val="00F93ABB"/>
    <w:rsid w:val="00F94C2A"/>
    <w:rsid w:val="00F95BB7"/>
    <w:rsid w:val="00FA6FCD"/>
    <w:rsid w:val="00FC193E"/>
    <w:rsid w:val="00FC45FD"/>
    <w:rsid w:val="00FC6CA9"/>
    <w:rsid w:val="00FD6BE8"/>
    <w:rsid w:val="00FD7ADD"/>
    <w:rsid w:val="00FE2B48"/>
    <w:rsid w:val="00FF0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256EEB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apple-converted-space">
    <w:name w:val="apple-converted-space"/>
    <w:rsid w:val="009E156B"/>
  </w:style>
  <w:style w:type="paragraph" w:styleId="FootnoteText">
    <w:name w:val="footnote text"/>
    <w:basedOn w:val="Normal"/>
    <w:link w:val="FootnoteTextChar"/>
    <w:rsid w:val="00F67FA3"/>
  </w:style>
  <w:style w:type="character" w:customStyle="1" w:styleId="FootnoteTextChar">
    <w:name w:val="Footnote Text Char"/>
    <w:link w:val="FootnoteText"/>
    <w:rsid w:val="00F67FA3"/>
    <w:rPr>
      <w:sz w:val="24"/>
      <w:szCs w:val="24"/>
    </w:rPr>
  </w:style>
  <w:style w:type="character" w:styleId="FootnoteReference">
    <w:name w:val="footnote reference"/>
    <w:rsid w:val="00F67FA3"/>
    <w:rPr>
      <w:vertAlign w:val="superscript"/>
    </w:rPr>
  </w:style>
  <w:style w:type="paragraph" w:styleId="NormalWeb">
    <w:name w:val="Normal (Web)"/>
    <w:basedOn w:val="Normal"/>
    <w:uiPriority w:val="99"/>
    <w:unhideWhenUsed/>
    <w:rsid w:val="00F67F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0560">
      <w:bodyDiv w:val="1"/>
      <w:marLeft w:val="0"/>
      <w:marRight w:val="0"/>
      <w:marTop w:val="0"/>
      <w:marBottom w:val="0"/>
      <w:divBdr>
        <w:top w:val="none" w:sz="0" w:space="0" w:color="auto"/>
        <w:left w:val="none" w:sz="0" w:space="0" w:color="auto"/>
        <w:bottom w:val="none" w:sz="0" w:space="0" w:color="auto"/>
        <w:right w:val="none" w:sz="0" w:space="0" w:color="auto"/>
      </w:divBdr>
      <w:divsChild>
        <w:div w:id="580992142">
          <w:marLeft w:val="0"/>
          <w:marRight w:val="0"/>
          <w:marTop w:val="0"/>
          <w:marBottom w:val="0"/>
          <w:divBdr>
            <w:top w:val="none" w:sz="0" w:space="0" w:color="auto"/>
            <w:left w:val="none" w:sz="0" w:space="0" w:color="auto"/>
            <w:bottom w:val="none" w:sz="0" w:space="0" w:color="auto"/>
            <w:right w:val="none" w:sz="0" w:space="0" w:color="auto"/>
          </w:divBdr>
          <w:divsChild>
            <w:div w:id="2131318828">
              <w:marLeft w:val="0"/>
              <w:marRight w:val="0"/>
              <w:marTop w:val="0"/>
              <w:marBottom w:val="0"/>
              <w:divBdr>
                <w:top w:val="none" w:sz="0" w:space="0" w:color="auto"/>
                <w:left w:val="none" w:sz="0" w:space="0" w:color="auto"/>
                <w:bottom w:val="none" w:sz="0" w:space="0" w:color="auto"/>
                <w:right w:val="none" w:sz="0" w:space="0" w:color="auto"/>
              </w:divBdr>
              <w:divsChild>
                <w:div w:id="2872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4521">
          <w:marLeft w:val="0"/>
          <w:marRight w:val="0"/>
          <w:marTop w:val="0"/>
          <w:marBottom w:val="0"/>
          <w:divBdr>
            <w:top w:val="none" w:sz="0" w:space="0" w:color="auto"/>
            <w:left w:val="none" w:sz="0" w:space="0" w:color="auto"/>
            <w:bottom w:val="none" w:sz="0" w:space="0" w:color="auto"/>
            <w:right w:val="none" w:sz="0" w:space="0" w:color="auto"/>
          </w:divBdr>
          <w:divsChild>
            <w:div w:id="499740556">
              <w:marLeft w:val="0"/>
              <w:marRight w:val="0"/>
              <w:marTop w:val="0"/>
              <w:marBottom w:val="0"/>
              <w:divBdr>
                <w:top w:val="none" w:sz="0" w:space="0" w:color="auto"/>
                <w:left w:val="none" w:sz="0" w:space="0" w:color="auto"/>
                <w:bottom w:val="none" w:sz="0" w:space="0" w:color="auto"/>
                <w:right w:val="none" w:sz="0" w:space="0" w:color="auto"/>
              </w:divBdr>
              <w:divsChild>
                <w:div w:id="5889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0563">
      <w:bodyDiv w:val="1"/>
      <w:marLeft w:val="0"/>
      <w:marRight w:val="0"/>
      <w:marTop w:val="0"/>
      <w:marBottom w:val="0"/>
      <w:divBdr>
        <w:top w:val="none" w:sz="0" w:space="0" w:color="auto"/>
        <w:left w:val="none" w:sz="0" w:space="0" w:color="auto"/>
        <w:bottom w:val="none" w:sz="0" w:space="0" w:color="auto"/>
        <w:right w:val="none" w:sz="0" w:space="0" w:color="auto"/>
      </w:divBdr>
    </w:div>
    <w:div w:id="1390376977">
      <w:bodyDiv w:val="1"/>
      <w:marLeft w:val="0"/>
      <w:marRight w:val="0"/>
      <w:marTop w:val="0"/>
      <w:marBottom w:val="0"/>
      <w:divBdr>
        <w:top w:val="none" w:sz="0" w:space="0" w:color="auto"/>
        <w:left w:val="none" w:sz="0" w:space="0" w:color="auto"/>
        <w:bottom w:val="none" w:sz="0" w:space="0" w:color="auto"/>
        <w:right w:val="none" w:sz="0" w:space="0" w:color="auto"/>
      </w:divBdr>
    </w:div>
    <w:div w:id="208942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943675-F2A3-4899-A3C8-D3B58926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6470</Words>
  <Characters>31406</Characters>
  <Application>Microsoft Office Word</Application>
  <DocSecurity>0</DocSecurity>
  <Lines>261</Lines>
  <Paragraphs>75</Paragraphs>
  <ScaleCrop>false</ScaleCrop>
  <Company/>
  <LinksUpToDate>false</LinksUpToDate>
  <CharactersWithSpaces>37801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2018-08-16T15:34:00Z</dcterms:created>
  <dcterms:modified xsi:type="dcterms:W3CDTF">2018-08-16T15:34:00Z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