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8A1BDE" w:rsidRDefault="002C6354" w:rsidP="00F97703">
      <w:pPr>
        <w:jc w:val="center"/>
        <w:rPr>
          <w:rFonts w:ascii="Sylfaen" w:hAnsi="Sylfaen" w:cs="Arial"/>
          <w:color w:val="000000"/>
          <w:sz w:val="16"/>
          <w:szCs w:val="16"/>
        </w:rPr>
      </w:pPr>
      <w:r w:rsidRPr="008A1BDE">
        <w:rPr>
          <w:rFonts w:ascii="Sylfaen" w:hAnsi="Sylfaen"/>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8A1BDE" w:rsidRPr="008A1BDE" w:rsidRDefault="008A1BDE" w:rsidP="008A1BDE">
      <w:pPr>
        <w:rPr>
          <w:rFonts w:ascii="Sylfaen" w:hAnsi="Sylfaen" w:cs="Arial"/>
          <w:color w:val="000000"/>
          <w:sz w:val="16"/>
          <w:szCs w:val="16"/>
        </w:rPr>
      </w:pPr>
    </w:p>
    <w:p w:rsidR="00F97703" w:rsidRPr="00A544A8" w:rsidRDefault="00611011" w:rsidP="00780F86">
      <w:pPr>
        <w:tabs>
          <w:tab w:val="right" w:pos="9720"/>
        </w:tabs>
        <w:ind w:right="-82"/>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rsidR="007B0824" w:rsidRPr="00A544A8" w:rsidRDefault="00F97703" w:rsidP="00780F86">
      <w:pPr>
        <w:tabs>
          <w:tab w:val="right" w:pos="9720"/>
        </w:tabs>
        <w:ind w:right="-82"/>
        <w:rPr>
          <w:rFonts w:ascii="Sylfaen" w:hAnsi="Sylfaen" w:cs="Arial"/>
          <w:color w:val="000000"/>
        </w:rPr>
      </w:pPr>
      <w:r w:rsidRPr="00A544A8">
        <w:rPr>
          <w:rFonts w:ascii="Sylfaen" w:hAnsi="Sylfaen" w:cs="Arial"/>
          <w:b/>
          <w:color w:val="000000"/>
        </w:rPr>
        <w:t>(Immigration and Asylum Chamber)</w:t>
      </w:r>
      <w:r w:rsidR="00DB70AE" w:rsidRPr="00A544A8">
        <w:rPr>
          <w:rFonts w:ascii="Sylfaen" w:hAnsi="Sylfaen" w:cs="Arial"/>
          <w:b/>
          <w:color w:val="000000"/>
        </w:rPr>
        <w:tab/>
      </w:r>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bookmarkStart w:id="0" w:name="_GoBack"/>
      <w:r w:rsidR="00705BE5">
        <w:rPr>
          <w:rFonts w:ascii="Sylfaen" w:hAnsi="Sylfaen" w:cs="Arial"/>
          <w:b/>
          <w:color w:val="000000"/>
        </w:rPr>
        <w:t>DA</w:t>
      </w:r>
      <w:r w:rsidR="0014666D">
        <w:rPr>
          <w:rFonts w:ascii="Sylfaen" w:hAnsi="Sylfaen" w:cs="Arial"/>
          <w:b/>
          <w:color w:val="000000"/>
        </w:rPr>
        <w:t>/01569/20</w:t>
      </w:r>
      <w:r w:rsidR="00705BE5">
        <w:rPr>
          <w:rFonts w:ascii="Sylfaen" w:hAnsi="Sylfaen" w:cs="Arial"/>
          <w:b/>
          <w:color w:val="000000"/>
        </w:rPr>
        <w:t>14</w:t>
      </w:r>
      <w:bookmarkEnd w:id="0"/>
    </w:p>
    <w:p w:rsidR="00C345E1" w:rsidRPr="00A544A8" w:rsidRDefault="00C345E1" w:rsidP="00C345E1">
      <w:pPr>
        <w:jc w:val="center"/>
        <w:rPr>
          <w:rFonts w:ascii="Sylfaen" w:hAnsi="Sylfaen" w:cs="Arial"/>
          <w:color w:val="000000"/>
        </w:rPr>
      </w:pPr>
    </w:p>
    <w:p w:rsidR="008A1BDE" w:rsidRDefault="008A1BDE" w:rsidP="00C345E1">
      <w:pPr>
        <w:jc w:val="center"/>
        <w:rPr>
          <w:rFonts w:ascii="Sylfaen" w:hAnsi="Sylfaen" w:cs="Arial"/>
          <w:b/>
          <w:color w:val="000000"/>
          <w:u w:val="single"/>
        </w:rPr>
      </w:pPr>
    </w:p>
    <w:p w:rsidR="00C345E1"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rsidR="008A1BDE" w:rsidRPr="00A544A8" w:rsidRDefault="008A1BDE" w:rsidP="00C345E1">
      <w:pPr>
        <w:jc w:val="center"/>
        <w:rPr>
          <w:rFonts w:ascii="Sylfaen" w:hAnsi="Sylfaen" w:cs="Arial"/>
          <w:b/>
          <w:color w:val="000000"/>
          <w:u w:val="single"/>
        </w:rPr>
      </w:pPr>
    </w:p>
    <w:p w:rsidR="00C345E1" w:rsidRPr="00A544A8" w:rsidRDefault="00C345E1" w:rsidP="00C345E1">
      <w:pPr>
        <w:jc w:val="center"/>
        <w:rPr>
          <w:rFonts w:ascii="Sylfaen" w:hAnsi="Sylfaen" w:cs="Arial"/>
          <w:b/>
          <w:u w:val="single"/>
        </w:rPr>
      </w:pPr>
    </w:p>
    <w:tbl>
      <w:tblPr>
        <w:tblW w:w="0" w:type="auto"/>
        <w:tblLook w:val="01E0" w:firstRow="1" w:lastRow="1" w:firstColumn="1" w:lastColumn="1" w:noHBand="0" w:noVBand="0"/>
      </w:tblPr>
      <w:tblGrid>
        <w:gridCol w:w="4812"/>
        <w:gridCol w:w="4826"/>
      </w:tblGrid>
      <w:tr w:rsidR="00D22636" w:rsidRPr="003B0823" w:rsidTr="002C6354">
        <w:tc>
          <w:tcPr>
            <w:tcW w:w="4928" w:type="dxa"/>
            <w:shd w:val="clear" w:color="auto" w:fill="auto"/>
          </w:tcPr>
          <w:p w:rsidR="00D22636" w:rsidRPr="003B0823" w:rsidRDefault="002C6354" w:rsidP="003B0823">
            <w:pPr>
              <w:ind w:left="540" w:hanging="540"/>
              <w:jc w:val="both"/>
              <w:rPr>
                <w:rFonts w:ascii="Sylfaen" w:hAnsi="Sylfaen" w:cs="Arial"/>
                <w:b/>
              </w:rPr>
            </w:pPr>
            <w:r>
              <w:rPr>
                <w:rFonts w:ascii="Sylfaen" w:hAnsi="Sylfaen" w:cs="Arial"/>
              </w:rPr>
              <w:t>Healed at</w:t>
            </w:r>
            <w:r w:rsidR="00BD3A9C" w:rsidRPr="003B0823">
              <w:rPr>
                <w:rFonts w:ascii="Sylfaen" w:hAnsi="Sylfaen" w:cs="Arial"/>
                <w:b/>
              </w:rPr>
              <w:t xml:space="preserve">  </w:t>
            </w:r>
            <w:bookmarkStart w:id="1" w:name="Dropdown5"/>
            <w:r w:rsidR="00B560DF" w:rsidRPr="003B0823">
              <w:rPr>
                <w:rFonts w:ascii="Sylfaen" w:hAnsi="Sylfaen" w:cs="Arial"/>
                <w:b/>
              </w:rPr>
              <w:fldChar w:fldCharType="begin">
                <w:ffData>
                  <w:name w:val="Dropdown5"/>
                  <w:enabled/>
                  <w:calcOnExit w:val="0"/>
                  <w:ddList>
                    <w:listEntry w:val="Field House"/>
                    <w:listEntry w:val="Newport"/>
                    <w:listEntry w:val="Harmondsworth"/>
                  </w:ddList>
                </w:ffData>
              </w:fldChar>
            </w:r>
            <w:r w:rsidR="00B560DF" w:rsidRPr="003B0823">
              <w:rPr>
                <w:rFonts w:ascii="Sylfaen" w:hAnsi="Sylfaen" w:cs="Arial"/>
                <w:b/>
              </w:rPr>
              <w:instrText xml:space="preserve"> FORMDROPDOWN </w:instrText>
            </w:r>
            <w:r w:rsidR="00E61B7D">
              <w:rPr>
                <w:rFonts w:ascii="Sylfaen" w:hAnsi="Sylfaen" w:cs="Arial"/>
                <w:b/>
              </w:rPr>
            </w:r>
            <w:r w:rsidR="00E61B7D">
              <w:rPr>
                <w:rFonts w:ascii="Sylfaen" w:hAnsi="Sylfaen" w:cs="Arial"/>
                <w:b/>
              </w:rPr>
              <w:fldChar w:fldCharType="separate"/>
            </w:r>
            <w:r w:rsidR="00B560DF" w:rsidRPr="003B0823">
              <w:rPr>
                <w:rFonts w:ascii="Sylfaen" w:hAnsi="Sylfaen" w:cs="Arial"/>
                <w:b/>
              </w:rPr>
              <w:fldChar w:fldCharType="end"/>
            </w:r>
            <w:bookmarkEnd w:id="1"/>
          </w:p>
        </w:tc>
        <w:tc>
          <w:tcPr>
            <w:tcW w:w="4900" w:type="dxa"/>
            <w:shd w:val="clear" w:color="auto" w:fill="auto"/>
          </w:tcPr>
          <w:p w:rsidR="00D22636" w:rsidRPr="003B0823" w:rsidRDefault="00F865CB" w:rsidP="003B0823">
            <w:pPr>
              <w:tabs>
                <w:tab w:val="left" w:pos="2592"/>
              </w:tabs>
              <w:ind w:left="1512" w:hanging="1512"/>
              <w:rPr>
                <w:rFonts w:ascii="Sylfaen" w:hAnsi="Sylfaen" w:cs="Arial"/>
                <w:b/>
                <w:color w:val="000000"/>
              </w:rPr>
            </w:pPr>
            <w:r w:rsidRPr="003B0823">
              <w:rPr>
                <w:rFonts w:ascii="Sylfaen" w:hAnsi="Sylfaen" w:cs="Arial"/>
                <w:color w:val="000000"/>
              </w:rPr>
              <w:t xml:space="preserve">  </w:t>
            </w:r>
            <w:r w:rsidR="002C6354">
              <w:rPr>
                <w:rFonts w:ascii="Sylfaen" w:hAnsi="Sylfaen" w:cs="Arial"/>
                <w:color w:val="000000"/>
              </w:rPr>
              <w:t xml:space="preserve">   Decision &amp; Reasons Promulgated</w:t>
            </w:r>
          </w:p>
        </w:tc>
      </w:tr>
      <w:tr w:rsidR="00D22636" w:rsidRPr="003B0823" w:rsidTr="002C6354">
        <w:tc>
          <w:tcPr>
            <w:tcW w:w="4928" w:type="dxa"/>
            <w:shd w:val="clear" w:color="auto" w:fill="auto"/>
          </w:tcPr>
          <w:p w:rsidR="00D22636" w:rsidRPr="003B0823" w:rsidRDefault="00BD3A9C" w:rsidP="003B0823">
            <w:pPr>
              <w:jc w:val="both"/>
              <w:rPr>
                <w:rFonts w:ascii="Sylfaen" w:hAnsi="Sylfaen" w:cs="Arial"/>
                <w:b/>
              </w:rPr>
            </w:pPr>
            <w:r w:rsidRPr="003B0823">
              <w:rPr>
                <w:rFonts w:ascii="Sylfaen" w:hAnsi="Sylfaen" w:cs="Arial"/>
              </w:rPr>
              <w:t>on</w:t>
            </w:r>
            <w:r w:rsidR="002C6354">
              <w:rPr>
                <w:rFonts w:ascii="Sylfaen" w:hAnsi="Sylfaen" w:cs="Arial"/>
                <w:b/>
              </w:rPr>
              <w:t xml:space="preserve"> </w:t>
            </w:r>
            <w:r w:rsidR="00705BE5" w:rsidRPr="003B0823">
              <w:rPr>
                <w:rFonts w:ascii="Sylfaen" w:hAnsi="Sylfaen" w:cs="Arial"/>
                <w:b/>
              </w:rPr>
              <w:t>02.07</w:t>
            </w:r>
            <w:r w:rsidR="002C6354">
              <w:rPr>
                <w:rFonts w:ascii="Sylfaen" w:hAnsi="Sylfaen" w:cs="Arial"/>
                <w:b/>
              </w:rPr>
              <w:t>.2018</w:t>
            </w:r>
            <w:r w:rsidR="007B0432" w:rsidRPr="003B0823">
              <w:rPr>
                <w:rFonts w:ascii="Sylfaen" w:hAnsi="Sylfaen" w:cs="Arial"/>
                <w:b/>
              </w:rPr>
              <w:t xml:space="preserve"> and</w:t>
            </w:r>
            <w:r w:rsidR="002C6354">
              <w:rPr>
                <w:rFonts w:ascii="Sylfaen" w:hAnsi="Sylfaen" w:cs="Arial"/>
                <w:b/>
              </w:rPr>
              <w:t xml:space="preserve"> signed on</w:t>
            </w:r>
            <w:r w:rsidR="007B0432" w:rsidRPr="003B0823">
              <w:rPr>
                <w:rFonts w:ascii="Sylfaen" w:hAnsi="Sylfaen" w:cs="Arial"/>
                <w:b/>
              </w:rPr>
              <w:t xml:space="preserve"> 04.09</w:t>
            </w:r>
            <w:r w:rsidR="00705BE5" w:rsidRPr="003B0823">
              <w:rPr>
                <w:rFonts w:ascii="Sylfaen" w:hAnsi="Sylfaen" w:cs="Arial"/>
                <w:b/>
              </w:rPr>
              <w:t>.2018</w:t>
            </w:r>
          </w:p>
        </w:tc>
        <w:tc>
          <w:tcPr>
            <w:tcW w:w="4900" w:type="dxa"/>
            <w:shd w:val="clear" w:color="auto" w:fill="auto"/>
          </w:tcPr>
          <w:p w:rsidR="00D22636" w:rsidRPr="003B0823" w:rsidRDefault="002C6354" w:rsidP="003B0823">
            <w:pPr>
              <w:tabs>
                <w:tab w:val="left" w:pos="2592"/>
              </w:tabs>
              <w:ind w:left="1512" w:hanging="1872"/>
              <w:jc w:val="both"/>
              <w:rPr>
                <w:rFonts w:ascii="Sylfaen" w:hAnsi="Sylfaen" w:cs="Arial"/>
                <w:b/>
              </w:rPr>
            </w:pPr>
            <w:r>
              <w:rPr>
                <w:rFonts w:ascii="Sylfaen" w:hAnsi="Sylfaen" w:cs="Arial"/>
                <w:color w:val="000000"/>
              </w:rPr>
              <w:t xml:space="preserve">           on 11.09.2018</w:t>
            </w:r>
          </w:p>
        </w:tc>
      </w:tr>
    </w:tbl>
    <w:p w:rsidR="00F07170" w:rsidRDefault="00F07170" w:rsidP="00BD3A9C">
      <w:pPr>
        <w:rPr>
          <w:rFonts w:ascii="Sylfaen" w:hAnsi="Sylfaen" w:cs="Arial"/>
          <w:b/>
        </w:rPr>
      </w:pPr>
    </w:p>
    <w:p w:rsidR="008A1BDE" w:rsidRDefault="008A1BDE" w:rsidP="00BD3A9C">
      <w:pPr>
        <w:rPr>
          <w:rFonts w:ascii="Sylfaen" w:hAnsi="Sylfaen" w:cs="Arial"/>
        </w:rPr>
      </w:pPr>
    </w:p>
    <w:p w:rsidR="00A15234" w:rsidRPr="003860CF" w:rsidRDefault="00207617" w:rsidP="00BD3A9C">
      <w:pPr>
        <w:rPr>
          <w:rFonts w:ascii="Sylfaen" w:hAnsi="Sylfaen" w:cs="Arial"/>
        </w:rPr>
      </w:pPr>
      <w:r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rsidR="00D20757" w:rsidRPr="003860CF" w:rsidRDefault="00950491" w:rsidP="00A15234">
      <w:pPr>
        <w:jc w:val="center"/>
        <w:rPr>
          <w:rFonts w:ascii="Sylfaen" w:hAnsi="Sylfaen" w:cs="Arial"/>
          <w:color w:val="000000"/>
        </w:rPr>
      </w:pPr>
      <w:r>
        <w:rPr>
          <w:rFonts w:ascii="Sylfaen" w:hAnsi="Sylfaen" w:cs="Arial"/>
          <w:color w:val="000000"/>
        </w:rPr>
        <w:t>Upper Tribunal</w:t>
      </w:r>
      <w:r w:rsidR="00A544A8" w:rsidRPr="003860CF">
        <w:rPr>
          <w:rFonts w:ascii="Sylfaen" w:hAnsi="Sylfaen" w:cs="Arial"/>
          <w:color w:val="000000"/>
        </w:rPr>
        <w:t xml:space="preserve"> Judge </w:t>
      </w:r>
    </w:p>
    <w:p w:rsidR="00A544A8" w:rsidRPr="00A544A8" w:rsidRDefault="00A544A8" w:rsidP="00A544A8">
      <w:pPr>
        <w:jc w:val="center"/>
        <w:rPr>
          <w:rFonts w:ascii="Sylfaen" w:hAnsi="Sylfaen" w:cs="Arial"/>
          <w:b/>
          <w:color w:val="000000"/>
        </w:rPr>
      </w:pPr>
      <w:r w:rsidRPr="00A544A8">
        <w:rPr>
          <w:rFonts w:ascii="Sylfaen" w:hAnsi="Sylfaen" w:cs="Arial"/>
          <w:b/>
          <w:color w:val="000000"/>
        </w:rPr>
        <w:t>John FREEMAN</w:t>
      </w:r>
    </w:p>
    <w:p w:rsidR="008A1BDE" w:rsidRDefault="008A1BDE" w:rsidP="00BD3A9C">
      <w:pPr>
        <w:rPr>
          <w:rFonts w:ascii="Sylfaen" w:hAnsi="Sylfaen" w:cs="Arial"/>
        </w:rPr>
      </w:pPr>
    </w:p>
    <w:p w:rsidR="00A845DC" w:rsidRPr="003860CF" w:rsidRDefault="00A845DC" w:rsidP="00BD3A9C">
      <w:pPr>
        <w:rPr>
          <w:rFonts w:ascii="Sylfaen" w:hAnsi="Sylfaen" w:cs="Arial"/>
        </w:rPr>
      </w:pPr>
      <w:r w:rsidRPr="003860CF">
        <w:rPr>
          <w:rFonts w:ascii="Sylfaen" w:hAnsi="Sylfaen" w:cs="Arial"/>
        </w:rPr>
        <w:t>Between</w:t>
      </w:r>
      <w:r w:rsidR="00BD3A9C" w:rsidRPr="003860CF">
        <w:rPr>
          <w:rFonts w:ascii="Sylfaen" w:hAnsi="Sylfaen" w:cs="Arial"/>
        </w:rPr>
        <w:t>:</w:t>
      </w:r>
    </w:p>
    <w:p w:rsidR="00704B61" w:rsidRPr="00A544A8" w:rsidRDefault="00705BE5" w:rsidP="00A15234">
      <w:pPr>
        <w:jc w:val="center"/>
        <w:rPr>
          <w:rFonts w:ascii="Sylfaen" w:hAnsi="Sylfaen" w:cs="Arial"/>
          <w:b/>
        </w:rPr>
      </w:pPr>
      <w:r>
        <w:rPr>
          <w:rFonts w:ascii="Sylfaen" w:hAnsi="Sylfaen" w:cs="Arial"/>
          <w:b/>
        </w:rPr>
        <w:t>Khalid Samir al-ALI</w:t>
      </w:r>
    </w:p>
    <w:p w:rsidR="00704B61" w:rsidRPr="003860CF" w:rsidRDefault="00BD3A9C" w:rsidP="00704B61">
      <w:pPr>
        <w:jc w:val="right"/>
        <w:rPr>
          <w:rFonts w:ascii="Sylfaen" w:hAnsi="Sylfaen" w:cs="Arial"/>
        </w:rPr>
      </w:pPr>
      <w:r w:rsidRPr="003860CF">
        <w:rPr>
          <w:rFonts w:ascii="Sylfaen" w:hAnsi="Sylfaen" w:cs="Arial"/>
        </w:rPr>
        <w:t>appellant</w:t>
      </w:r>
    </w:p>
    <w:p w:rsidR="00704B61" w:rsidRPr="00A544A8" w:rsidRDefault="00DD5071" w:rsidP="00704B61">
      <w:pPr>
        <w:jc w:val="center"/>
        <w:rPr>
          <w:rFonts w:ascii="Sylfaen" w:hAnsi="Sylfaen" w:cs="Arial"/>
          <w:b/>
        </w:rPr>
      </w:pPr>
      <w:r w:rsidRPr="00A544A8">
        <w:rPr>
          <w:rFonts w:ascii="Sylfaen" w:hAnsi="Sylfaen" w:cs="Arial"/>
          <w:b/>
        </w:rPr>
        <w:t>and</w:t>
      </w:r>
    </w:p>
    <w:p w:rsidR="00DD5071" w:rsidRPr="00A544A8" w:rsidRDefault="00DD5071" w:rsidP="00704B61">
      <w:pPr>
        <w:jc w:val="center"/>
        <w:rPr>
          <w:rFonts w:ascii="Sylfaen" w:hAnsi="Sylfaen" w:cs="Arial"/>
          <w:b/>
        </w:rPr>
      </w:pPr>
    </w:p>
    <w:bookmarkStart w:id="2" w:name="Dropdown1"/>
    <w:p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E61B7D">
        <w:rPr>
          <w:rFonts w:ascii="Sylfaen" w:hAnsi="Sylfaen" w:cs="Arial"/>
          <w:b/>
        </w:rPr>
      </w:r>
      <w:r w:rsidR="00E61B7D">
        <w:rPr>
          <w:rFonts w:ascii="Sylfaen" w:hAnsi="Sylfaen" w:cs="Arial"/>
          <w:b/>
        </w:rPr>
        <w:fldChar w:fldCharType="separate"/>
      </w:r>
      <w:r w:rsidRPr="00A544A8">
        <w:rPr>
          <w:rFonts w:ascii="Sylfaen" w:hAnsi="Sylfaen" w:cs="Arial"/>
          <w:b/>
        </w:rPr>
        <w:fldChar w:fldCharType="end"/>
      </w:r>
      <w:bookmarkEnd w:id="2"/>
    </w:p>
    <w:p w:rsidR="00DD5071" w:rsidRPr="003860CF" w:rsidRDefault="00BD3A9C" w:rsidP="00DD5071">
      <w:pPr>
        <w:jc w:val="right"/>
        <w:rPr>
          <w:rFonts w:ascii="Sylfaen" w:hAnsi="Sylfaen" w:cs="Arial"/>
        </w:rPr>
      </w:pPr>
      <w:r w:rsidRPr="003860CF">
        <w:rPr>
          <w:rFonts w:ascii="Sylfaen" w:hAnsi="Sylfaen" w:cs="Arial"/>
        </w:rPr>
        <w:t>respondent</w:t>
      </w:r>
    </w:p>
    <w:p w:rsidR="008A1BDE" w:rsidRDefault="008A1BDE" w:rsidP="00DD5071">
      <w:pPr>
        <w:rPr>
          <w:rFonts w:ascii="Sylfaen" w:hAnsi="Sylfaen" w:cs="Arial"/>
          <w:u w:val="single"/>
        </w:rPr>
      </w:pPr>
    </w:p>
    <w:p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rsidR="00DE7DB7" w:rsidRPr="00A544A8" w:rsidRDefault="00705BE5" w:rsidP="00DE7DB7">
      <w:pPr>
        <w:tabs>
          <w:tab w:val="left" w:pos="2520"/>
        </w:tabs>
        <w:rPr>
          <w:rFonts w:ascii="Sylfaen" w:hAnsi="Sylfaen" w:cs="Arial"/>
        </w:rPr>
      </w:pPr>
      <w:r w:rsidRPr="00705BE5">
        <w:rPr>
          <w:rFonts w:ascii="Sylfaen" w:hAnsi="Sylfaen" w:cs="Arial"/>
        </w:rPr>
        <w:t>No appearance</w:t>
      </w:r>
      <w:r>
        <w:rPr>
          <w:rFonts w:ascii="Sylfaen" w:hAnsi="Sylfaen" w:cs="Arial"/>
        </w:rPr>
        <w:t xml:space="preserve"> </w:t>
      </w:r>
      <w:r w:rsidRPr="00A544A8">
        <w:rPr>
          <w:rFonts w:ascii="Sylfaen" w:hAnsi="Sylfaen" w:cs="Arial"/>
        </w:rPr>
        <w:t xml:space="preserve">for </w:t>
      </w:r>
      <w:r w:rsidR="00DE7DB7" w:rsidRPr="00A544A8">
        <w:rPr>
          <w:rFonts w:ascii="Sylfaen" w:hAnsi="Sylfaen" w:cs="Arial"/>
        </w:rPr>
        <w:t xml:space="preserve">the </w:t>
      </w:r>
      <w:r w:rsidR="00A544A8" w:rsidRPr="00A544A8">
        <w:rPr>
          <w:rFonts w:ascii="Sylfaen" w:hAnsi="Sylfaen" w:cs="Arial"/>
        </w:rPr>
        <w:t>appellant</w:t>
      </w:r>
    </w:p>
    <w:p w:rsidR="00DE7DB7" w:rsidRPr="00A544A8" w:rsidRDefault="00705BE5" w:rsidP="00DE7DB7">
      <w:pPr>
        <w:tabs>
          <w:tab w:val="left" w:pos="2520"/>
        </w:tabs>
        <w:rPr>
          <w:rFonts w:ascii="Sylfaen" w:hAnsi="Sylfaen" w:cs="Arial"/>
        </w:rPr>
      </w:pPr>
      <w:r>
        <w:rPr>
          <w:rFonts w:ascii="Sylfaen" w:hAnsi="Sylfaen" w:cs="Arial"/>
        </w:rPr>
        <w:t xml:space="preserve">Mr Stefan </w:t>
      </w:r>
      <w:proofErr w:type="spellStart"/>
      <w:r>
        <w:rPr>
          <w:rFonts w:ascii="Sylfaen" w:hAnsi="Sylfaen" w:cs="Arial"/>
        </w:rPr>
        <w:t>Kotas</w:t>
      </w:r>
      <w:proofErr w:type="spellEnd"/>
      <w:r w:rsidR="007B0432">
        <w:rPr>
          <w:rFonts w:ascii="Sylfaen" w:hAnsi="Sylfaen" w:cs="Arial"/>
        </w:rPr>
        <w:t xml:space="preserve"> (2 July) and Mr Paul Duffy (4 September)</w:t>
      </w:r>
      <w:r>
        <w:rPr>
          <w:rFonts w:ascii="Sylfaen" w:hAnsi="Sylfaen" w:cs="Arial"/>
        </w:rPr>
        <w:t xml:space="preserve"> </w:t>
      </w:r>
      <w:r w:rsidRPr="00A544A8">
        <w:rPr>
          <w:rFonts w:ascii="Sylfaen" w:hAnsi="Sylfaen" w:cs="Arial"/>
        </w:rPr>
        <w:t xml:space="preserve">for </w:t>
      </w:r>
      <w:r w:rsidR="00DE7DB7" w:rsidRPr="00A544A8">
        <w:rPr>
          <w:rFonts w:ascii="Sylfaen" w:hAnsi="Sylfaen" w:cs="Arial"/>
        </w:rPr>
        <w:t xml:space="preserve">the </w:t>
      </w:r>
      <w:r w:rsidR="00A544A8" w:rsidRPr="00A544A8">
        <w:rPr>
          <w:rFonts w:ascii="Sylfaen" w:hAnsi="Sylfaen" w:cs="Arial"/>
        </w:rPr>
        <w:t>respondent</w:t>
      </w:r>
    </w:p>
    <w:p w:rsidR="00DE7DB7" w:rsidRPr="00A544A8" w:rsidRDefault="00DE7DB7" w:rsidP="00402B9E">
      <w:pPr>
        <w:tabs>
          <w:tab w:val="left" w:pos="2520"/>
        </w:tabs>
        <w:jc w:val="center"/>
        <w:rPr>
          <w:rFonts w:ascii="Sylfaen" w:hAnsi="Sylfaen" w:cs="Arial"/>
        </w:rPr>
      </w:pPr>
    </w:p>
    <w:p w:rsidR="00DE7DB7" w:rsidRPr="00A544A8" w:rsidRDefault="00DF7DAD" w:rsidP="00BD3A9C">
      <w:pPr>
        <w:tabs>
          <w:tab w:val="left" w:pos="2520"/>
        </w:tabs>
        <w:spacing w:after="120"/>
        <w:jc w:val="center"/>
        <w:rPr>
          <w:rFonts w:ascii="Sylfaen" w:hAnsi="Sylfaen" w:cs="Arial"/>
        </w:rPr>
      </w:pPr>
      <w:r w:rsidRPr="00DF7DAD">
        <w:rPr>
          <w:rFonts w:ascii="Sylfaen" w:hAnsi="Sylfaen" w:cs="Arial"/>
          <w:b/>
          <w:u w:val="single"/>
        </w:rPr>
        <w:t>DETERMINATION &amp; REASONS</w:t>
      </w:r>
    </w:p>
    <w:p w:rsidR="00BF23BB" w:rsidRPr="00A544A8" w:rsidRDefault="00402B9E" w:rsidP="0006532F">
      <w:pPr>
        <w:tabs>
          <w:tab w:val="left" w:pos="567"/>
        </w:tabs>
        <w:spacing w:after="120"/>
        <w:ind w:left="567" w:hanging="567"/>
        <w:jc w:val="both"/>
        <w:rPr>
          <w:rFonts w:ascii="Sylfaen" w:hAnsi="Sylfaen" w:cs="Arial"/>
        </w:rPr>
      </w:pPr>
      <w:r w:rsidRPr="00A544A8">
        <w:rPr>
          <w:rFonts w:ascii="Sylfaen" w:hAnsi="Sylfaen" w:cs="Arial"/>
        </w:rPr>
        <w:tab/>
      </w:r>
      <w:r w:rsidR="00FE4D99">
        <w:rPr>
          <w:rFonts w:ascii="Sylfaen" w:hAnsi="Sylfaen" w:cs="Arial"/>
        </w:rPr>
        <w:t>This is an appeal</w:t>
      </w:r>
      <w:r w:rsidR="00DF392C">
        <w:rPr>
          <w:rFonts w:ascii="Sylfaen" w:hAnsi="Sylfaen" w:cs="Arial"/>
        </w:rPr>
        <w:t>,</w:t>
      </w:r>
      <w:r w:rsidR="00FE4D99">
        <w:rPr>
          <w:rFonts w:ascii="Sylfaen" w:hAnsi="Sylfaen" w:cs="Arial"/>
        </w:rPr>
        <w:t xml:space="preserve"> by</w:t>
      </w:r>
      <w:r w:rsidR="00DE20CE">
        <w:rPr>
          <w:rFonts w:ascii="Sylfaen" w:hAnsi="Sylfaen" w:cs="Arial"/>
        </w:rPr>
        <w:t xml:space="preserve"> the </w:t>
      </w:r>
      <w:bookmarkStart w:id="3" w:name="Dropdown4"/>
      <w:r w:rsidR="00705BE5">
        <w:rPr>
          <w:rFonts w:ascii="Sylfaen" w:hAnsi="Sylfaen" w:cs="Arial"/>
        </w:rPr>
        <w:fldChar w:fldCharType="begin">
          <w:ffData>
            <w:name w:val="Dropdown4"/>
            <w:enabled/>
            <w:calcOnExit w:val="0"/>
            <w:ddList>
              <w:listEntry w:val="respondent to the original appeal"/>
              <w:listEntry w:val="appellant"/>
              <w:listEntry w:val="appellants"/>
            </w:ddList>
          </w:ffData>
        </w:fldChar>
      </w:r>
      <w:r w:rsidR="00705BE5">
        <w:rPr>
          <w:rFonts w:ascii="Sylfaen" w:hAnsi="Sylfaen" w:cs="Arial"/>
        </w:rPr>
        <w:instrText xml:space="preserve"> FORMDROPDOWN </w:instrText>
      </w:r>
      <w:r w:rsidR="00E61B7D">
        <w:rPr>
          <w:rFonts w:ascii="Sylfaen" w:hAnsi="Sylfaen" w:cs="Arial"/>
        </w:rPr>
      </w:r>
      <w:r w:rsidR="00E61B7D">
        <w:rPr>
          <w:rFonts w:ascii="Sylfaen" w:hAnsi="Sylfaen" w:cs="Arial"/>
        </w:rPr>
        <w:fldChar w:fldCharType="separate"/>
      </w:r>
      <w:r w:rsidR="00705BE5">
        <w:rPr>
          <w:rFonts w:ascii="Sylfaen" w:hAnsi="Sylfaen" w:cs="Arial"/>
        </w:rPr>
        <w:fldChar w:fldCharType="end"/>
      </w:r>
      <w:bookmarkEnd w:id="3"/>
      <w:r w:rsidR="00DF392C">
        <w:rPr>
          <w:rFonts w:ascii="Sylfaen" w:hAnsi="Sylfaen" w:cs="Arial"/>
        </w:rPr>
        <w:t>,</w:t>
      </w:r>
      <w:r w:rsidR="00FE4D99">
        <w:rPr>
          <w:rFonts w:ascii="Sylfaen" w:hAnsi="Sylfaen" w:cs="Arial"/>
        </w:rPr>
        <w:t xml:space="preserve"> against the decision of </w:t>
      </w:r>
      <w:r w:rsidR="00C9293E">
        <w:rPr>
          <w:rFonts w:ascii="Sylfaen" w:hAnsi="Sylfaen" w:cs="Arial"/>
        </w:rPr>
        <w:t>the First-tier Tribunal (</w:t>
      </w:r>
      <w:r w:rsidR="00FE4D99">
        <w:rPr>
          <w:rFonts w:ascii="Sylfaen" w:hAnsi="Sylfaen" w:cs="Arial"/>
        </w:rPr>
        <w:t xml:space="preserve">Judge </w:t>
      </w:r>
      <w:r w:rsidR="00705BE5">
        <w:rPr>
          <w:rFonts w:ascii="Sylfaen" w:hAnsi="Sylfaen" w:cs="Arial"/>
        </w:rPr>
        <w:t>Peter Herbert OBE</w:t>
      </w:r>
      <w:r w:rsidR="00C9293E">
        <w:rPr>
          <w:rFonts w:ascii="Sylfaen" w:hAnsi="Sylfaen" w:cs="Arial"/>
        </w:rPr>
        <w:t>)</w:t>
      </w:r>
      <w:r w:rsidR="00FE4D99">
        <w:rPr>
          <w:rFonts w:ascii="Sylfaen" w:hAnsi="Sylfaen" w:cs="Arial"/>
        </w:rPr>
        <w:t xml:space="preserve">, sitting at </w:t>
      </w:r>
      <w:r w:rsidR="00705BE5">
        <w:rPr>
          <w:rFonts w:ascii="Sylfaen" w:hAnsi="Sylfaen" w:cs="Arial"/>
        </w:rPr>
        <w:t>Taylor House</w:t>
      </w:r>
      <w:r w:rsidR="00FE4D99">
        <w:rPr>
          <w:rFonts w:ascii="Sylfaen" w:hAnsi="Sylfaen" w:cs="Arial"/>
        </w:rPr>
        <w:t xml:space="preserve"> on </w:t>
      </w:r>
      <w:r w:rsidR="00705BE5">
        <w:rPr>
          <w:rFonts w:ascii="Sylfaen" w:hAnsi="Sylfaen" w:cs="Arial"/>
        </w:rPr>
        <w:t>22 January 2015</w:t>
      </w:r>
      <w:r w:rsidR="00FE4D99">
        <w:rPr>
          <w:rFonts w:ascii="Sylfaen" w:hAnsi="Sylfaen" w:cs="Arial"/>
        </w:rPr>
        <w:t xml:space="preserve">, to </w:t>
      </w:r>
      <w:bookmarkStart w:id="4" w:name="Dropdown2"/>
      <w:r w:rsidR="00705BE5">
        <w:rPr>
          <w:rFonts w:ascii="Sylfaen" w:hAnsi="Sylfaen" w:cs="Arial"/>
        </w:rPr>
        <w:fldChar w:fldCharType="begin">
          <w:ffData>
            <w:name w:val="Dropdown2"/>
            <w:enabled/>
            <w:calcOnExit w:val="0"/>
            <w:ddList>
              <w:listEntry w:val="allow"/>
              <w:listEntry w:val="dismiss"/>
            </w:ddList>
          </w:ffData>
        </w:fldChar>
      </w:r>
      <w:r w:rsidR="00705BE5">
        <w:rPr>
          <w:rFonts w:ascii="Sylfaen" w:hAnsi="Sylfaen" w:cs="Arial"/>
        </w:rPr>
        <w:instrText xml:space="preserve"> FORMDROPDOWN </w:instrText>
      </w:r>
      <w:r w:rsidR="00E61B7D">
        <w:rPr>
          <w:rFonts w:ascii="Sylfaen" w:hAnsi="Sylfaen" w:cs="Arial"/>
        </w:rPr>
      </w:r>
      <w:r w:rsidR="00E61B7D">
        <w:rPr>
          <w:rFonts w:ascii="Sylfaen" w:hAnsi="Sylfaen" w:cs="Arial"/>
        </w:rPr>
        <w:fldChar w:fldCharType="separate"/>
      </w:r>
      <w:r w:rsidR="00705BE5">
        <w:rPr>
          <w:rFonts w:ascii="Sylfaen" w:hAnsi="Sylfaen" w:cs="Arial"/>
        </w:rPr>
        <w:fldChar w:fldCharType="end"/>
      </w:r>
      <w:bookmarkEnd w:id="4"/>
      <w:r w:rsidR="00705BE5">
        <w:rPr>
          <w:rFonts w:ascii="Sylfaen" w:hAnsi="Sylfaen" w:cs="Arial"/>
        </w:rPr>
        <w:t>,</w:t>
      </w:r>
      <w:r w:rsidR="00FE4D99">
        <w:rPr>
          <w:rFonts w:ascii="Sylfaen" w:hAnsi="Sylfaen" w:cs="Arial"/>
        </w:rPr>
        <w:t xml:space="preserve"> </w:t>
      </w:r>
      <w:r w:rsidR="00705BE5">
        <w:rPr>
          <w:rFonts w:ascii="Sylfaen" w:hAnsi="Sylfaen" w:cs="Arial"/>
        </w:rPr>
        <w:t>on article 8 human rights grounds only,</w:t>
      </w:r>
      <w:r w:rsidR="00FE4D99">
        <w:rPr>
          <w:rFonts w:ascii="Sylfaen" w:hAnsi="Sylfaen" w:cs="Arial"/>
        </w:rPr>
        <w:t xml:space="preserve"> appeal by </w:t>
      </w:r>
      <w:r w:rsidR="00705BE5">
        <w:rPr>
          <w:rFonts w:ascii="Sylfaen" w:hAnsi="Sylfaen" w:cs="Arial"/>
        </w:rPr>
        <w:t xml:space="preserve">someone born in Malaysia in 1992, to parents originally from the British mandated </w:t>
      </w:r>
      <w:smartTag w:uri="urn:schemas-microsoft-com:office:smarttags" w:element="place">
        <w:smartTag w:uri="urn:schemas-microsoft-com:office:smarttags" w:element="PlaceType">
          <w:r w:rsidR="00705BE5">
            <w:rPr>
              <w:rFonts w:ascii="Sylfaen" w:hAnsi="Sylfaen" w:cs="Arial"/>
            </w:rPr>
            <w:t>territory</w:t>
          </w:r>
        </w:smartTag>
        <w:r w:rsidR="00705BE5">
          <w:rPr>
            <w:rFonts w:ascii="Sylfaen" w:hAnsi="Sylfaen" w:cs="Arial"/>
          </w:rPr>
          <w:t xml:space="preserve"> of </w:t>
        </w:r>
        <w:smartTag w:uri="urn:schemas-microsoft-com:office:smarttags" w:element="PlaceName">
          <w:r w:rsidR="00705BE5">
            <w:rPr>
              <w:rFonts w:ascii="Sylfaen" w:hAnsi="Sylfaen" w:cs="Arial"/>
            </w:rPr>
            <w:t>Palestine</w:t>
          </w:r>
        </w:smartTag>
      </w:smartTag>
      <w:r w:rsidR="00705BE5">
        <w:rPr>
          <w:rFonts w:ascii="Sylfaen" w:hAnsi="Sylfaen" w:cs="Arial"/>
        </w:rPr>
        <w:t xml:space="preserve">. </w:t>
      </w:r>
      <w:r w:rsidR="002B3D8F">
        <w:rPr>
          <w:rFonts w:ascii="Sylfaen" w:hAnsi="Sylfaen" w:cs="Arial"/>
        </w:rPr>
        <w:t xml:space="preserve">Notice of hearing was sent to the appellant at the address he had given on 1 June: while it </w:t>
      </w:r>
      <w:proofErr w:type="gramStart"/>
      <w:r w:rsidR="002B3D8F">
        <w:rPr>
          <w:rFonts w:ascii="Sylfaen" w:hAnsi="Sylfaen" w:cs="Arial"/>
        </w:rPr>
        <w:t>seems</w:t>
      </w:r>
      <w:proofErr w:type="gramEnd"/>
      <w:r w:rsidR="002B3D8F">
        <w:rPr>
          <w:rFonts w:ascii="Sylfaen" w:hAnsi="Sylfaen" w:cs="Arial"/>
        </w:rPr>
        <w:t xml:space="preserve"> he has served a further sentence of imprisonment since the judge’s decision, inquiries showed he is not detained at present, and there was no other explanation for his absence, so I went ahead with the hearing</w:t>
      </w:r>
      <w:r w:rsidR="004C5636">
        <w:rPr>
          <w:rFonts w:ascii="Sylfaen" w:hAnsi="Sylfaen" w:cs="Arial"/>
        </w:rPr>
        <w:t>, and, for the same reason, with the further hearing on 4 September</w:t>
      </w:r>
      <w:r w:rsidR="002B3D8F">
        <w:rPr>
          <w:rFonts w:ascii="Sylfaen" w:hAnsi="Sylfaen" w:cs="Arial"/>
        </w:rPr>
        <w:t>.</w:t>
      </w:r>
    </w:p>
    <w:p w:rsidR="004617F0" w:rsidRDefault="0006532F" w:rsidP="00BD3A9C">
      <w:pPr>
        <w:numPr>
          <w:ilvl w:val="0"/>
          <w:numId w:val="1"/>
        </w:numPr>
        <w:tabs>
          <w:tab w:val="clear" w:pos="757"/>
        </w:tabs>
        <w:spacing w:after="120"/>
        <w:ind w:left="540" w:hanging="540"/>
        <w:jc w:val="both"/>
        <w:rPr>
          <w:rFonts w:ascii="Sylfaen" w:hAnsi="Sylfaen" w:cs="Arial"/>
        </w:rPr>
      </w:pPr>
      <w:r>
        <w:rPr>
          <w:rFonts w:ascii="Sylfaen" w:hAnsi="Sylfaen" w:cs="Arial"/>
        </w:rPr>
        <w:lastRenderedPageBreak/>
        <w:t xml:space="preserve">Two points stand out already: first, permission to appeal was given by the </w:t>
      </w:r>
      <w:smartTag w:uri="urn:schemas-microsoft-com:office:smarttags" w:element="PersonName">
        <w:r>
          <w:rPr>
            <w:rFonts w:ascii="Sylfaen" w:hAnsi="Sylfaen" w:cs="Arial"/>
          </w:rPr>
          <w:t>Upper Tribunal</w:t>
        </w:r>
      </w:smartTag>
      <w:r w:rsidR="004C5636">
        <w:rPr>
          <w:rFonts w:ascii="Sylfaen" w:hAnsi="Sylfaen" w:cs="Arial"/>
        </w:rPr>
        <w:t xml:space="preserve"> in 2018; </w:t>
      </w:r>
      <w:r>
        <w:rPr>
          <w:rFonts w:ascii="Sylfaen" w:hAnsi="Sylfaen" w:cs="Arial"/>
        </w:rPr>
        <w:t xml:space="preserve">although it had been refused by the First-tier Tribunal as long ago as 2016, the </w:t>
      </w:r>
      <w:smartTag w:uri="urn:schemas-microsoft-com:office:smarttags" w:element="PersonName">
        <w:r>
          <w:rPr>
            <w:rFonts w:ascii="Sylfaen" w:hAnsi="Sylfaen" w:cs="Arial"/>
          </w:rPr>
          <w:t>Upper Tribunal</w:t>
        </w:r>
      </w:smartTag>
      <w:r>
        <w:rPr>
          <w:rFonts w:ascii="Sylfaen" w:hAnsi="Sylfaen" w:cs="Arial"/>
        </w:rPr>
        <w:t xml:space="preserve"> judge was satisfied that this decision had been challenged within the time required. As for the lack of progress on the respondent’s application between 2016 and 2018, or why the Home Office did not make any inquiries about it, those are serious administrative concerns, but not directly relevant to any issues on this appeal.</w:t>
      </w:r>
    </w:p>
    <w:p w:rsidR="00135B5B" w:rsidRDefault="0006532F"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second point is about what administrative arrangements could be made for this appellant’s removal, if his appeal were dismissed. </w:t>
      </w:r>
      <w:r w:rsidR="001732EC">
        <w:rPr>
          <w:rFonts w:ascii="Sylfaen" w:hAnsi="Sylfaen" w:cs="Arial"/>
        </w:rPr>
        <w:t xml:space="preserve">While the directions which followed the </w:t>
      </w:r>
      <w:proofErr w:type="gramStart"/>
      <w:r w:rsidR="001732EC">
        <w:rPr>
          <w:rFonts w:ascii="Sylfaen" w:hAnsi="Sylfaen" w:cs="Arial"/>
        </w:rPr>
        <w:t>deportation</w:t>
      </w:r>
      <w:proofErr w:type="gramEnd"/>
      <w:r w:rsidR="001732EC">
        <w:rPr>
          <w:rFonts w:ascii="Sylfaen" w:hAnsi="Sylfaen" w:cs="Arial"/>
        </w:rPr>
        <w:t xml:space="preserve"> order proposed the appellant’s removal to ‘the Palestinian Authority’, there is nothing to suggest that any arrangements exist for such a removal to any Palestinian territory occupied by </w:t>
      </w:r>
      <w:smartTag w:uri="urn:schemas-microsoft-com:office:smarttags" w:element="country-region">
        <w:smartTag w:uri="urn:schemas-microsoft-com:office:smarttags" w:element="place">
          <w:r w:rsidR="001732EC">
            <w:rPr>
              <w:rFonts w:ascii="Sylfaen" w:hAnsi="Sylfaen" w:cs="Arial"/>
            </w:rPr>
            <w:t>Israel</w:t>
          </w:r>
        </w:smartTag>
      </w:smartTag>
      <w:r w:rsidR="001732EC">
        <w:rPr>
          <w:rFonts w:ascii="Sylfaen" w:hAnsi="Sylfaen" w:cs="Arial"/>
        </w:rPr>
        <w:t xml:space="preserve">. The question is whether the </w:t>
      </w:r>
      <w:r w:rsidR="001732EC" w:rsidRPr="001732EC">
        <w:rPr>
          <w:rFonts w:ascii="Sylfaen" w:hAnsi="Sylfaen" w:cs="Arial"/>
        </w:rPr>
        <w:t>hypothetical</w:t>
      </w:r>
      <w:r w:rsidR="001732EC">
        <w:rPr>
          <w:rFonts w:ascii="Sylfaen" w:hAnsi="Sylfaen" w:cs="Arial"/>
        </w:rPr>
        <w:t xml:space="preserve"> consequences of any such removal, referred to by the judge,</w:t>
      </w:r>
      <w:r w:rsidR="002E1738">
        <w:rPr>
          <w:rFonts w:ascii="Sylfaen" w:hAnsi="Sylfaen" w:cs="Arial"/>
        </w:rPr>
        <w:t xml:space="preserve"> could </w:t>
      </w:r>
      <w:r w:rsidR="00135B5B">
        <w:rPr>
          <w:rFonts w:ascii="Sylfaen" w:hAnsi="Sylfaen" w:cs="Arial"/>
        </w:rPr>
        <w:t xml:space="preserve">amount, on an article 8 appeal, to the </w:t>
      </w:r>
      <w:r w:rsidR="00135B5B" w:rsidRPr="00135B5B">
        <w:rPr>
          <w:rFonts w:ascii="Sylfaen" w:hAnsi="Sylfaen" w:cs="Arial"/>
        </w:rPr>
        <w:t>‘very compelling circumstances over and above those described in Exceptions 1 and 2’</w:t>
      </w:r>
      <w:r w:rsidR="00135B5B">
        <w:rPr>
          <w:rFonts w:ascii="Sylfaen" w:hAnsi="Sylfaen" w:cs="Arial"/>
        </w:rPr>
        <w:t xml:space="preserve"> required, either under s. 117C (6), or the corresponding provisions in paragraph 398 of the Rules, required to outweigh the public interest involved in removing someone, who like this appellant, had been sentenced to imprisonment for four years.</w:t>
      </w:r>
    </w:p>
    <w:p w:rsidR="007B0432" w:rsidRDefault="00135B5B" w:rsidP="007B0432">
      <w:pPr>
        <w:numPr>
          <w:ilvl w:val="0"/>
          <w:numId w:val="1"/>
        </w:numPr>
        <w:tabs>
          <w:tab w:val="clear" w:pos="757"/>
        </w:tabs>
        <w:spacing w:after="120"/>
        <w:ind w:left="540" w:hanging="540"/>
        <w:jc w:val="both"/>
        <w:rPr>
          <w:rStyle w:val="Hyperlink"/>
          <w:rFonts w:ascii="Sylfaen" w:hAnsi="Sylfaen" w:cs="Arial"/>
          <w:color w:val="000000"/>
          <w:u w:val="none"/>
        </w:rPr>
      </w:pPr>
      <w:r>
        <w:rPr>
          <w:rFonts w:ascii="Sylfaen" w:hAnsi="Sylfaen" w:cs="Arial"/>
        </w:rPr>
        <w:t xml:space="preserve">The judge had to deal with an appellant who was not represented, but who gave </w:t>
      </w:r>
      <w:r w:rsidRPr="00135B5B">
        <w:rPr>
          <w:rFonts w:ascii="Sylfaen" w:hAnsi="Sylfaen" w:cs="Arial"/>
        </w:rPr>
        <w:t>oral evidence</w:t>
      </w:r>
      <w:r>
        <w:rPr>
          <w:rFonts w:ascii="Sylfaen" w:hAnsi="Sylfaen" w:cs="Arial"/>
        </w:rPr>
        <w:t xml:space="preserve"> before him. Quite rightly, he took great care to make sure that the appellant’s interests did not suffer from that; but the question is whether he </w:t>
      </w:r>
      <w:r w:rsidR="00C81EBB">
        <w:rPr>
          <w:rFonts w:ascii="Sylfaen" w:hAnsi="Sylfaen" w:cs="Arial"/>
        </w:rPr>
        <w:t xml:space="preserve">properly </w:t>
      </w:r>
      <w:r>
        <w:rPr>
          <w:rFonts w:ascii="Sylfaen" w:hAnsi="Sylfaen" w:cs="Arial"/>
        </w:rPr>
        <w:t xml:space="preserve">carried out the exercise required by Parliament where there had been a sentence of this length. </w:t>
      </w:r>
      <w:r w:rsidR="00DF7DAD">
        <w:rPr>
          <w:rStyle w:val="Hyperlink"/>
          <w:rFonts w:ascii="Sylfaen" w:hAnsi="Sylfaen" w:cs="Arial"/>
          <w:color w:val="000000"/>
          <w:u w:val="none"/>
        </w:rPr>
        <w:t xml:space="preserve">Since </w:t>
      </w:r>
      <w:r w:rsidR="002B3D8F" w:rsidRPr="002B3D8F">
        <w:rPr>
          <w:rStyle w:val="Hyperlink"/>
          <w:rFonts w:ascii="Sylfaen" w:hAnsi="Sylfaen" w:cs="Arial"/>
          <w:color w:val="000000"/>
          <w:u w:val="none"/>
        </w:rPr>
        <w:t xml:space="preserve">Mr </w:t>
      </w:r>
      <w:proofErr w:type="spellStart"/>
      <w:r w:rsidR="002B3D8F" w:rsidRPr="002B3D8F">
        <w:rPr>
          <w:rStyle w:val="Hyperlink"/>
          <w:rFonts w:ascii="Sylfaen" w:hAnsi="Sylfaen" w:cs="Arial"/>
          <w:color w:val="000000"/>
          <w:u w:val="none"/>
        </w:rPr>
        <w:t>Kotas</w:t>
      </w:r>
      <w:proofErr w:type="spellEnd"/>
      <w:r w:rsidR="002B3D8F">
        <w:rPr>
          <w:rStyle w:val="Hyperlink"/>
          <w:rFonts w:ascii="Sylfaen" w:hAnsi="Sylfaen" w:cs="Arial"/>
          <w:color w:val="000000"/>
          <w:u w:val="none"/>
        </w:rPr>
        <w:t xml:space="preserve"> wished to rely on fresh grounds </w:t>
      </w:r>
      <w:r w:rsidR="004C5636">
        <w:rPr>
          <w:rStyle w:val="Hyperlink"/>
          <w:rFonts w:ascii="Sylfaen" w:hAnsi="Sylfaen" w:cs="Arial"/>
          <w:color w:val="000000"/>
          <w:u w:val="none"/>
        </w:rPr>
        <w:t>and further evidence, which it wa</w:t>
      </w:r>
      <w:r w:rsidR="002B3D8F">
        <w:rPr>
          <w:rStyle w:val="Hyperlink"/>
          <w:rFonts w:ascii="Sylfaen" w:hAnsi="Sylfaen" w:cs="Arial"/>
          <w:color w:val="000000"/>
          <w:u w:val="none"/>
        </w:rPr>
        <w:t>s not clear that the appellant</w:t>
      </w:r>
      <w:r w:rsidR="007B0432">
        <w:rPr>
          <w:rStyle w:val="Hyperlink"/>
          <w:rFonts w:ascii="Sylfaen" w:hAnsi="Sylfaen" w:cs="Arial"/>
          <w:color w:val="000000"/>
          <w:u w:val="none"/>
        </w:rPr>
        <w:t xml:space="preserve"> would have had in time for the 2 July hearing, he wa</w:t>
      </w:r>
      <w:r w:rsidR="002B3D8F">
        <w:rPr>
          <w:rStyle w:val="Hyperlink"/>
          <w:rFonts w:ascii="Sylfaen" w:hAnsi="Sylfaen" w:cs="Arial"/>
          <w:color w:val="000000"/>
          <w:u w:val="none"/>
        </w:rPr>
        <w:t xml:space="preserve">s entitled to an opportunity to deal with those, and a further hearing </w:t>
      </w:r>
      <w:r w:rsidR="007B0432">
        <w:rPr>
          <w:rStyle w:val="Hyperlink"/>
          <w:rFonts w:ascii="Sylfaen" w:hAnsi="Sylfaen" w:cs="Arial"/>
          <w:color w:val="000000"/>
          <w:u w:val="none"/>
        </w:rPr>
        <w:t>was fixed for 4 September.</w:t>
      </w:r>
    </w:p>
    <w:p w:rsidR="00066E4A" w:rsidRDefault="007B0432" w:rsidP="007B0432">
      <w:pPr>
        <w:numPr>
          <w:ilvl w:val="0"/>
          <w:numId w:val="1"/>
        </w:numPr>
        <w:tabs>
          <w:tab w:val="clear" w:pos="757"/>
        </w:tabs>
        <w:spacing w:after="120"/>
        <w:ind w:left="540" w:hanging="540"/>
        <w:jc w:val="both"/>
        <w:rPr>
          <w:rStyle w:val="Hyperlink"/>
          <w:rFonts w:ascii="Sylfaen" w:hAnsi="Sylfaen" w:cs="Arial"/>
          <w:color w:val="000000"/>
          <w:u w:val="none"/>
        </w:rPr>
      </w:pPr>
      <w:r>
        <w:rPr>
          <w:rStyle w:val="Hyperlink"/>
          <w:rFonts w:ascii="Sylfaen" w:hAnsi="Sylfaen" w:cs="Arial"/>
          <w:color w:val="000000"/>
          <w:u w:val="none"/>
        </w:rPr>
        <w:t xml:space="preserve">On 4 September, </w:t>
      </w:r>
      <w:r w:rsidRPr="007B0432">
        <w:rPr>
          <w:rStyle w:val="Hyperlink"/>
          <w:rFonts w:ascii="Sylfaen" w:hAnsi="Sylfaen" w:cs="Arial"/>
          <w:color w:val="000000"/>
          <w:u w:val="none"/>
        </w:rPr>
        <w:t>Mr Duffy</w:t>
      </w:r>
      <w:r>
        <w:rPr>
          <w:rStyle w:val="Hyperlink"/>
          <w:rFonts w:ascii="Sylfaen" w:hAnsi="Sylfaen" w:cs="Arial"/>
          <w:color w:val="000000"/>
          <w:u w:val="none"/>
        </w:rPr>
        <w:t xml:space="preserve"> told me that further inquiries showed that the appellant had</w:t>
      </w:r>
      <w:r w:rsidR="00C76CA3">
        <w:rPr>
          <w:rStyle w:val="Hyperlink"/>
          <w:rFonts w:ascii="Sylfaen" w:hAnsi="Sylfaen" w:cs="Arial"/>
          <w:color w:val="000000"/>
          <w:u w:val="none"/>
        </w:rPr>
        <w:t xml:space="preserve"> </w:t>
      </w:r>
      <w:r>
        <w:rPr>
          <w:rStyle w:val="Hyperlink"/>
          <w:rFonts w:ascii="Sylfaen" w:hAnsi="Sylfaen" w:cs="Arial"/>
          <w:color w:val="000000"/>
          <w:u w:val="none"/>
        </w:rPr>
        <w:t>never reported since he was released on 13 April. Having been</w:t>
      </w:r>
      <w:r w:rsidR="00FE0E51">
        <w:rPr>
          <w:rStyle w:val="Hyperlink"/>
          <w:rFonts w:ascii="Sylfaen" w:hAnsi="Sylfaen" w:cs="Arial"/>
          <w:color w:val="000000"/>
          <w:u w:val="none"/>
        </w:rPr>
        <w:t xml:space="preserve"> convicted and sentenced to four</w:t>
      </w:r>
      <w:r>
        <w:rPr>
          <w:rStyle w:val="Hyperlink"/>
          <w:rFonts w:ascii="Sylfaen" w:hAnsi="Sylfaen" w:cs="Arial"/>
          <w:color w:val="000000"/>
          <w:u w:val="none"/>
        </w:rPr>
        <w:t xml:space="preserve"> years’ imprisonment for </w:t>
      </w:r>
      <w:r w:rsidR="00FE0E51">
        <w:rPr>
          <w:rStyle w:val="Hyperlink"/>
          <w:rFonts w:ascii="Sylfaen" w:hAnsi="Sylfaen" w:cs="Arial"/>
          <w:color w:val="000000"/>
          <w:u w:val="none"/>
        </w:rPr>
        <w:t>his part in a two-handed night-time knife-point robbery of a pizza delivery driver, he needed</w:t>
      </w:r>
      <w:r w:rsidR="00DF7DAD">
        <w:rPr>
          <w:rStyle w:val="Hyperlink"/>
          <w:rFonts w:ascii="Sylfaen" w:hAnsi="Sylfaen" w:cs="Arial"/>
          <w:color w:val="000000"/>
          <w:u w:val="none"/>
        </w:rPr>
        <w:t xml:space="preserve">, as the judge </w:t>
      </w:r>
      <w:r w:rsidR="00DF7DAD" w:rsidRPr="00DF7DAD">
        <w:rPr>
          <w:rStyle w:val="Hyperlink"/>
          <w:rFonts w:ascii="Sylfaen" w:hAnsi="Sylfaen" w:cs="Arial"/>
          <w:color w:val="000000"/>
          <w:u w:val="none"/>
        </w:rPr>
        <w:t>recognized</w:t>
      </w:r>
      <w:r w:rsidR="00DF7DAD">
        <w:rPr>
          <w:rStyle w:val="Hyperlink"/>
          <w:rFonts w:ascii="Sylfaen" w:hAnsi="Sylfaen" w:cs="Arial"/>
          <w:color w:val="000000"/>
          <w:u w:val="none"/>
        </w:rPr>
        <w:t xml:space="preserve"> at paragraph 108,</w:t>
      </w:r>
      <w:r w:rsidR="00FE0E51">
        <w:rPr>
          <w:rStyle w:val="Hyperlink"/>
          <w:rFonts w:ascii="Sylfaen" w:hAnsi="Sylfaen" w:cs="Arial"/>
          <w:color w:val="000000"/>
          <w:u w:val="none"/>
        </w:rPr>
        <w:t xml:space="preserve"> to show the required ‘very compelling circumstances’ </w:t>
      </w:r>
      <w:r w:rsidR="000156B3">
        <w:rPr>
          <w:rStyle w:val="Hyperlink"/>
          <w:rFonts w:ascii="Sylfaen" w:hAnsi="Sylfaen" w:cs="Arial"/>
          <w:color w:val="000000"/>
          <w:u w:val="none"/>
        </w:rPr>
        <w:t xml:space="preserve">to avoid removal. Since he has chosen not to take any further part in these proceedings, the </w:t>
      </w:r>
      <w:r w:rsidR="00DF7DAD">
        <w:rPr>
          <w:rStyle w:val="Hyperlink"/>
          <w:rFonts w:ascii="Sylfaen" w:hAnsi="Sylfaen" w:cs="Arial"/>
          <w:color w:val="000000"/>
          <w:u w:val="none"/>
        </w:rPr>
        <w:t xml:space="preserve">only </w:t>
      </w:r>
      <w:r w:rsidR="000156B3">
        <w:rPr>
          <w:rStyle w:val="Hyperlink"/>
          <w:rFonts w:ascii="Sylfaen" w:hAnsi="Sylfaen" w:cs="Arial"/>
          <w:color w:val="000000"/>
          <w:u w:val="none"/>
        </w:rPr>
        <w:t xml:space="preserve">question is whether the factors identified by the judge at </w:t>
      </w:r>
      <w:r w:rsidR="00DF7DAD">
        <w:rPr>
          <w:rStyle w:val="Hyperlink"/>
          <w:rFonts w:ascii="Sylfaen" w:hAnsi="Sylfaen" w:cs="Arial"/>
          <w:color w:val="000000"/>
          <w:u w:val="none"/>
        </w:rPr>
        <w:t>paragraphs 99 – 107, and 119 - 124 justified such a finding or not, bearing in mind the judge’s dismissal of his appeal on asylum, humanitarian protection and article 3 human rights grounds.</w:t>
      </w:r>
    </w:p>
    <w:p w:rsidR="000156B3" w:rsidRDefault="00DF7DAD" w:rsidP="007B0432">
      <w:pPr>
        <w:numPr>
          <w:ilvl w:val="0"/>
          <w:numId w:val="1"/>
        </w:numPr>
        <w:tabs>
          <w:tab w:val="clear" w:pos="757"/>
        </w:tabs>
        <w:spacing w:after="120"/>
        <w:ind w:left="540" w:hanging="540"/>
        <w:jc w:val="both"/>
        <w:rPr>
          <w:rFonts w:ascii="Sylfaen" w:hAnsi="Sylfaen" w:cs="Arial"/>
          <w:color w:val="000000"/>
        </w:rPr>
      </w:pPr>
      <w:r>
        <w:rPr>
          <w:rFonts w:ascii="Sylfaen" w:hAnsi="Sylfaen" w:cs="Arial"/>
          <w:color w:val="000000"/>
        </w:rPr>
        <w:t>What the appellant had to show was first, that he was entitled to benefit from Exception 1, on the basis that</w:t>
      </w:r>
    </w:p>
    <w:p w:rsidR="00DF7DAD" w:rsidRDefault="00DF7DAD" w:rsidP="00DF7DAD">
      <w:pPr>
        <w:numPr>
          <w:ilvl w:val="4"/>
          <w:numId w:val="1"/>
        </w:numPr>
        <w:tabs>
          <w:tab w:val="clear" w:pos="3600"/>
          <w:tab w:val="num" w:pos="1080"/>
        </w:tabs>
        <w:ind w:left="1078" w:hanging="539"/>
        <w:jc w:val="both"/>
        <w:rPr>
          <w:rFonts w:ascii="Sylfaen" w:hAnsi="Sylfaen" w:cs="Arial"/>
          <w:color w:val="000000"/>
        </w:rPr>
      </w:pPr>
      <w:r>
        <w:rPr>
          <w:rFonts w:ascii="Sylfaen" w:hAnsi="Sylfaen" w:cs="Arial"/>
          <w:color w:val="000000"/>
        </w:rPr>
        <w:t>he had been lawfully resident here for most of his life; and</w:t>
      </w:r>
    </w:p>
    <w:p w:rsidR="00DF7DAD" w:rsidRDefault="00DF7DAD" w:rsidP="00DF7DAD">
      <w:pPr>
        <w:numPr>
          <w:ilvl w:val="4"/>
          <w:numId w:val="1"/>
        </w:numPr>
        <w:tabs>
          <w:tab w:val="clear" w:pos="3600"/>
          <w:tab w:val="num" w:pos="1080"/>
        </w:tabs>
        <w:ind w:left="1078" w:hanging="539"/>
        <w:jc w:val="both"/>
        <w:rPr>
          <w:rFonts w:ascii="Sylfaen" w:hAnsi="Sylfaen" w:cs="Arial"/>
          <w:color w:val="000000"/>
        </w:rPr>
      </w:pPr>
      <w:r>
        <w:rPr>
          <w:rFonts w:ascii="Sylfaen" w:hAnsi="Sylfaen" w:cs="Arial"/>
          <w:color w:val="000000"/>
        </w:rPr>
        <w:t xml:space="preserve">was socially and culturally integrated in this country; and </w:t>
      </w:r>
    </w:p>
    <w:p w:rsidR="00DF7DAD" w:rsidRDefault="00DF7DAD" w:rsidP="00DF7DAD">
      <w:pPr>
        <w:numPr>
          <w:ilvl w:val="4"/>
          <w:numId w:val="1"/>
        </w:numPr>
        <w:tabs>
          <w:tab w:val="clear" w:pos="3600"/>
          <w:tab w:val="num" w:pos="1080"/>
        </w:tabs>
        <w:spacing w:after="120"/>
        <w:ind w:left="1080" w:hanging="540"/>
        <w:jc w:val="both"/>
        <w:rPr>
          <w:rFonts w:ascii="Sylfaen" w:hAnsi="Sylfaen" w:cs="Arial"/>
          <w:color w:val="000000"/>
        </w:rPr>
      </w:pPr>
      <w:r>
        <w:rPr>
          <w:rFonts w:ascii="Sylfaen" w:hAnsi="Sylfaen" w:cs="Arial"/>
          <w:color w:val="000000"/>
        </w:rPr>
        <w:t>there would be very significant obstacles to his integration in the territory controlled by the Palestinian Authority [‘</w:t>
      </w:r>
      <w:smartTag w:uri="urn:schemas-microsoft-com:office:smarttags" w:element="City">
        <w:smartTag w:uri="urn:schemas-microsoft-com:office:smarttags" w:element="place">
          <w:r>
            <w:rPr>
              <w:rFonts w:ascii="Sylfaen" w:hAnsi="Sylfaen" w:cs="Arial"/>
              <w:color w:val="000000"/>
            </w:rPr>
            <w:t>Palestine</w:t>
          </w:r>
        </w:smartTag>
      </w:smartTag>
      <w:r>
        <w:rPr>
          <w:rFonts w:ascii="Sylfaen" w:hAnsi="Sylfaen" w:cs="Arial"/>
          <w:color w:val="000000"/>
        </w:rPr>
        <w:t>’ for short], supposing that to be possible.</w:t>
      </w:r>
    </w:p>
    <w:p w:rsidR="00DF7DAD" w:rsidRDefault="00DF7DAD" w:rsidP="007B0432">
      <w:pPr>
        <w:numPr>
          <w:ilvl w:val="0"/>
          <w:numId w:val="1"/>
        </w:numPr>
        <w:tabs>
          <w:tab w:val="clear" w:pos="757"/>
        </w:tabs>
        <w:spacing w:after="120"/>
        <w:ind w:left="540" w:hanging="540"/>
        <w:jc w:val="both"/>
        <w:rPr>
          <w:rFonts w:ascii="Sylfaen" w:hAnsi="Sylfaen" w:cs="Arial"/>
          <w:color w:val="000000"/>
        </w:rPr>
      </w:pPr>
      <w:r>
        <w:rPr>
          <w:rFonts w:ascii="Sylfaen" w:hAnsi="Sylfaen" w:cs="Arial"/>
          <w:color w:val="000000"/>
        </w:rPr>
        <w:t xml:space="preserve">At the time of the appellant’s </w:t>
      </w:r>
      <w:r w:rsidRPr="00DF7DAD">
        <w:rPr>
          <w:rFonts w:ascii="Sylfaen" w:hAnsi="Sylfaen" w:cs="Arial"/>
          <w:color w:val="000000"/>
        </w:rPr>
        <w:t>conviction</w:t>
      </w:r>
      <w:r>
        <w:rPr>
          <w:rFonts w:ascii="Sylfaen" w:hAnsi="Sylfaen" w:cs="Arial"/>
          <w:color w:val="000000"/>
        </w:rPr>
        <w:t xml:space="preserve"> (3 February 2012), he had been unlawfully resident here from 11 May 2003, when his mother claimed asylum with him as a dependant, remaining as an unsuccessful appellant against refusal until he was granted indefinite leave </w:t>
      </w:r>
      <w:r>
        <w:rPr>
          <w:rFonts w:ascii="Sylfaen" w:hAnsi="Sylfaen" w:cs="Arial"/>
          <w:color w:val="000000"/>
        </w:rPr>
        <w:lastRenderedPageBreak/>
        <w:t>to remain on 30 December 2009, under the ‘legacy’ policy. That period of lawful residence continued till a deportation order was made on 14 July 2014, since when he has not been lawfully resident here.</w:t>
      </w:r>
    </w:p>
    <w:p w:rsidR="00DF7DAD" w:rsidRDefault="00DF7DAD" w:rsidP="007B0432">
      <w:pPr>
        <w:numPr>
          <w:ilvl w:val="0"/>
          <w:numId w:val="1"/>
        </w:numPr>
        <w:tabs>
          <w:tab w:val="clear" w:pos="757"/>
        </w:tabs>
        <w:spacing w:after="120"/>
        <w:ind w:left="540" w:hanging="540"/>
        <w:jc w:val="both"/>
        <w:rPr>
          <w:rFonts w:ascii="Sylfaen" w:hAnsi="Sylfaen" w:cs="Arial"/>
          <w:color w:val="000000"/>
        </w:rPr>
      </w:pPr>
      <w:r>
        <w:rPr>
          <w:rFonts w:ascii="Sylfaen" w:hAnsi="Sylfaen" w:cs="Arial"/>
          <w:color w:val="000000"/>
        </w:rPr>
        <w:t xml:space="preserve">While the judge was not required to take the view that the appellant’s previous history of minor offences (see the judge’s 20 -27) interrupted his lawful residence, he did need to take the whole of his criminal record, including the period spent in custody following his </w:t>
      </w:r>
      <w:r w:rsidRPr="00DF7DAD">
        <w:rPr>
          <w:rFonts w:ascii="Sylfaen" w:hAnsi="Sylfaen" w:cs="Arial"/>
          <w:color w:val="000000"/>
        </w:rPr>
        <w:t>conviction</w:t>
      </w:r>
      <w:r>
        <w:rPr>
          <w:rFonts w:ascii="Sylfaen" w:hAnsi="Sylfaen" w:cs="Arial"/>
          <w:color w:val="000000"/>
        </w:rPr>
        <w:t xml:space="preserve"> into account in deciding whether he could properly be described as  ‘socially and culturally integrated in this country’: see</w:t>
      </w:r>
      <w:r w:rsidRPr="00DF7DAD">
        <w:rPr>
          <w:rFonts w:ascii="Sylfaen" w:hAnsi="Sylfaen" w:cs="Arial"/>
          <w:color w:val="000000"/>
        </w:rPr>
        <w:t xml:space="preserve"> </w:t>
      </w:r>
      <w:hyperlink r:id="rId8" w:history="1">
        <w:proofErr w:type="spellStart"/>
        <w:r w:rsidRPr="00DF7DAD">
          <w:rPr>
            <w:rStyle w:val="Hyperlink"/>
            <w:rFonts w:ascii="Sylfaen" w:hAnsi="Sylfaen" w:cs="Arial"/>
            <w:i/>
            <w:color w:val="000000"/>
            <w:u w:val="none"/>
          </w:rPr>
          <w:t>Onuekwere</w:t>
        </w:r>
        <w:proofErr w:type="spellEnd"/>
        <w:r w:rsidRPr="00DF7DAD">
          <w:rPr>
            <w:rStyle w:val="Hyperlink"/>
            <w:rFonts w:ascii="Sylfaen" w:hAnsi="Sylfaen" w:cs="Arial"/>
            <w:color w:val="000000"/>
            <w:u w:val="none"/>
          </w:rPr>
          <w:t xml:space="preserve"> [2014] EUECJ C-378/12</w:t>
        </w:r>
      </w:hyperlink>
      <w:r>
        <w:rPr>
          <w:rFonts w:ascii="Sylfaen" w:hAnsi="Sylfaen" w:cs="Arial"/>
          <w:color w:val="000000"/>
        </w:rPr>
        <w:t>. There is nothing to show that the judge did this; and, bearing in mind the appellant’s imprisonment, and failure to report since his release, it is not an assumption I am prepared to make in his favour.</w:t>
      </w:r>
    </w:p>
    <w:p w:rsidR="00DF7DAD" w:rsidRDefault="00DF7DAD" w:rsidP="007B0432">
      <w:pPr>
        <w:numPr>
          <w:ilvl w:val="0"/>
          <w:numId w:val="1"/>
        </w:numPr>
        <w:tabs>
          <w:tab w:val="clear" w:pos="757"/>
        </w:tabs>
        <w:spacing w:after="120"/>
        <w:ind w:left="540" w:hanging="540"/>
        <w:jc w:val="both"/>
        <w:rPr>
          <w:rFonts w:ascii="Sylfaen" w:hAnsi="Sylfaen" w:cs="Arial"/>
          <w:color w:val="000000"/>
        </w:rPr>
      </w:pPr>
      <w:r>
        <w:rPr>
          <w:rFonts w:ascii="Sylfaen" w:hAnsi="Sylfaen" w:cs="Arial"/>
          <w:color w:val="000000"/>
        </w:rPr>
        <w:t xml:space="preserve">The next question is whether the judge was justified in finding ‘very significant obstacles’ to the appellant’s integration in </w:t>
      </w:r>
      <w:smartTag w:uri="urn:schemas-microsoft-com:office:smarttags" w:element="place">
        <w:smartTag w:uri="urn:schemas-microsoft-com:office:smarttags" w:element="City">
          <w:r>
            <w:rPr>
              <w:rFonts w:ascii="Sylfaen" w:hAnsi="Sylfaen" w:cs="Arial"/>
              <w:color w:val="000000"/>
            </w:rPr>
            <w:t>Palestine</w:t>
          </w:r>
        </w:smartTag>
      </w:smartTag>
      <w:r>
        <w:rPr>
          <w:rFonts w:ascii="Sylfaen" w:hAnsi="Sylfaen" w:cs="Arial"/>
          <w:color w:val="000000"/>
        </w:rPr>
        <w:t>. As the judge pointed out at 102, he speaks, but cannot write Arabic. There is the general economic climate to contend with (see 106 – 107); but the judge gave no details at 121 of why the ‘</w:t>
      </w:r>
      <w:r w:rsidRPr="00DF7DAD">
        <w:rPr>
          <w:rFonts w:ascii="Sylfaen" w:hAnsi="Sylfaen" w:cs="Arial"/>
          <w:color w:val="000000"/>
        </w:rPr>
        <w:t>significant</w:t>
      </w:r>
      <w:r>
        <w:rPr>
          <w:rFonts w:ascii="Sylfaen" w:hAnsi="Sylfaen" w:cs="Arial"/>
          <w:color w:val="000000"/>
        </w:rPr>
        <w:t xml:space="preserve"> human rights violations’ occurring in Palestine made for ‘very significant obstacles’ in this appellant’s case. The main factor is clearly the appellant’s family history. Neither of his parents, on the judge’s findings, had lived in </w:t>
      </w:r>
      <w:smartTag w:uri="urn:schemas-microsoft-com:office:smarttags" w:element="City">
        <w:smartTag w:uri="urn:schemas-microsoft-com:office:smarttags" w:element="place">
          <w:r>
            <w:rPr>
              <w:rFonts w:ascii="Sylfaen" w:hAnsi="Sylfaen" w:cs="Arial"/>
              <w:color w:val="000000"/>
            </w:rPr>
            <w:t>Palestine</w:t>
          </w:r>
        </w:smartTag>
      </w:smartTag>
      <w:r>
        <w:rPr>
          <w:rFonts w:ascii="Sylfaen" w:hAnsi="Sylfaen" w:cs="Arial"/>
          <w:color w:val="000000"/>
        </w:rPr>
        <w:t xml:space="preserve"> since 1955, and they have no family connexions there. They met, married and had their three children in </w:t>
      </w:r>
      <w:smartTag w:uri="urn:schemas-microsoft-com:office:smarttags" w:element="country-region">
        <w:r>
          <w:rPr>
            <w:rFonts w:ascii="Sylfaen" w:hAnsi="Sylfaen" w:cs="Arial"/>
            <w:color w:val="000000"/>
          </w:rPr>
          <w:t>Egypt</w:t>
        </w:r>
      </w:smartTag>
      <w:r>
        <w:rPr>
          <w:rFonts w:ascii="Sylfaen" w:hAnsi="Sylfaen" w:cs="Arial"/>
          <w:color w:val="000000"/>
        </w:rPr>
        <w:t xml:space="preserve">, till they moved to </w:t>
      </w:r>
      <w:smartTag w:uri="urn:schemas-microsoft-com:office:smarttags" w:element="country-region">
        <w:smartTag w:uri="urn:schemas-microsoft-com:office:smarttags" w:element="place">
          <w:r>
            <w:rPr>
              <w:rFonts w:ascii="Sylfaen" w:hAnsi="Sylfaen" w:cs="Arial"/>
              <w:color w:val="000000"/>
            </w:rPr>
            <w:t>Malaysia</w:t>
          </w:r>
        </w:smartTag>
      </w:smartTag>
      <w:r>
        <w:rPr>
          <w:rFonts w:ascii="Sylfaen" w:hAnsi="Sylfaen" w:cs="Arial"/>
          <w:color w:val="000000"/>
        </w:rPr>
        <w:t xml:space="preserve"> in 1990, without acquiring any right to live there either. </w:t>
      </w:r>
    </w:p>
    <w:p w:rsidR="00DF7DAD" w:rsidRDefault="00DF7DAD" w:rsidP="007B0432">
      <w:pPr>
        <w:numPr>
          <w:ilvl w:val="0"/>
          <w:numId w:val="1"/>
        </w:numPr>
        <w:tabs>
          <w:tab w:val="clear" w:pos="757"/>
        </w:tabs>
        <w:spacing w:after="120"/>
        <w:ind w:left="540" w:hanging="540"/>
        <w:jc w:val="both"/>
        <w:rPr>
          <w:rFonts w:ascii="Sylfaen" w:hAnsi="Sylfaen" w:cs="Arial"/>
          <w:color w:val="000000"/>
        </w:rPr>
      </w:pPr>
      <w:r>
        <w:rPr>
          <w:rFonts w:ascii="Sylfaen" w:hAnsi="Sylfaen" w:cs="Arial"/>
          <w:color w:val="000000"/>
        </w:rPr>
        <w:t xml:space="preserve">While there are arguments to the contrary, I will assume for the moment that the judge was entitled to find ‘very significant obstacles’ in these considerations. That still leaves the appellant without a valid finding in his favour on requirements (a) and (b) of Exception 1. Was the judge entitled to go further, and find that the same considerations nevertheless made for ‘very compelling circumstances’ over and above those set out in the Exceptions? If he was not, then it is hard to see how the appellant could succeed in showing </w:t>
      </w:r>
      <w:r w:rsidRPr="00DF7DAD">
        <w:rPr>
          <w:rFonts w:ascii="Sylfaen" w:hAnsi="Sylfaen" w:cs="Arial"/>
          <w:color w:val="000000"/>
        </w:rPr>
        <w:t xml:space="preserve">the </w:t>
      </w:r>
      <w:r w:rsidRPr="00DF7DAD">
        <w:rPr>
          <w:rFonts w:ascii="Sylfaen" w:hAnsi="Sylfaen" w:cs="Arial"/>
          <w:color w:val="000000"/>
          <w:lang w:val="en"/>
        </w:rPr>
        <w:t xml:space="preserve">‘exceptional and compelling circumstances’  required for a claim under article 8 to succeed outside the Rules, under </w:t>
      </w:r>
      <w:hyperlink r:id="rId9" w:history="1">
        <w:r w:rsidRPr="00DF7DAD">
          <w:rPr>
            <w:rStyle w:val="Hyperlink"/>
            <w:rFonts w:ascii="Sylfaen" w:hAnsi="Sylfaen" w:cs="Arial"/>
            <w:i/>
            <w:color w:val="000000"/>
            <w:u w:val="none"/>
            <w:lang w:val="en"/>
          </w:rPr>
          <w:t>MF (Nigeria)</w:t>
        </w:r>
        <w:r w:rsidRPr="00DF7DAD">
          <w:rPr>
            <w:rStyle w:val="Hyperlink"/>
            <w:rFonts w:ascii="Sylfaen" w:hAnsi="Sylfaen" w:cs="Arial"/>
            <w:color w:val="000000"/>
            <w:u w:val="none"/>
            <w:lang w:val="en"/>
          </w:rPr>
          <w:t xml:space="preserve"> [2013] EWCA </w:t>
        </w:r>
        <w:proofErr w:type="spellStart"/>
        <w:r w:rsidRPr="00DF7DAD">
          <w:rPr>
            <w:rStyle w:val="Hyperlink"/>
            <w:rFonts w:ascii="Sylfaen" w:hAnsi="Sylfaen" w:cs="Arial"/>
            <w:color w:val="000000"/>
            <w:u w:val="none"/>
            <w:lang w:val="en"/>
          </w:rPr>
          <w:t>Civ</w:t>
        </w:r>
        <w:proofErr w:type="spellEnd"/>
        <w:r w:rsidRPr="00DF7DAD">
          <w:rPr>
            <w:rStyle w:val="Hyperlink"/>
            <w:rFonts w:ascii="Sylfaen" w:hAnsi="Sylfaen" w:cs="Arial"/>
            <w:color w:val="000000"/>
            <w:u w:val="none"/>
            <w:lang w:val="en"/>
          </w:rPr>
          <w:t xml:space="preserve"> 1192</w:t>
        </w:r>
      </w:hyperlink>
      <w:r w:rsidRPr="00DF7DAD">
        <w:rPr>
          <w:rFonts w:ascii="Sylfaen" w:hAnsi="Sylfaen" w:cs="Arial"/>
          <w:color w:val="000000"/>
          <w:lang w:val="en"/>
        </w:rPr>
        <w:t xml:space="preserve"> and authorities </w:t>
      </w:r>
      <w:r>
        <w:rPr>
          <w:rFonts w:ascii="Sylfaen" w:hAnsi="Sylfaen" w:cs="Arial"/>
          <w:color w:val="000000"/>
          <w:lang w:val="en"/>
        </w:rPr>
        <w:t>since then.</w:t>
      </w:r>
    </w:p>
    <w:p w:rsidR="00DF7DAD" w:rsidRDefault="00DF7DAD" w:rsidP="007B0432">
      <w:pPr>
        <w:numPr>
          <w:ilvl w:val="0"/>
          <w:numId w:val="1"/>
        </w:numPr>
        <w:tabs>
          <w:tab w:val="clear" w:pos="757"/>
        </w:tabs>
        <w:spacing w:after="120"/>
        <w:ind w:left="540" w:hanging="540"/>
        <w:jc w:val="both"/>
        <w:rPr>
          <w:rFonts w:ascii="Sylfaen" w:hAnsi="Sylfaen" w:cs="Arial"/>
          <w:color w:val="000000"/>
        </w:rPr>
      </w:pPr>
      <w:r>
        <w:rPr>
          <w:rFonts w:ascii="Sylfaen" w:hAnsi="Sylfaen" w:cs="Arial"/>
          <w:color w:val="000000"/>
        </w:rPr>
        <w:t xml:space="preserve">Most, if not all second-generation expatriate Palestinians are likely to have a similar lack of present-day connexion with </w:t>
      </w:r>
      <w:smartTag w:uri="urn:schemas-microsoft-com:office:smarttags" w:element="City">
        <w:smartTag w:uri="urn:schemas-microsoft-com:office:smarttags" w:element="place">
          <w:r>
            <w:rPr>
              <w:rFonts w:ascii="Sylfaen" w:hAnsi="Sylfaen" w:cs="Arial"/>
              <w:color w:val="000000"/>
            </w:rPr>
            <w:t>Palestine</w:t>
          </w:r>
        </w:smartTag>
      </w:smartTag>
      <w:r>
        <w:rPr>
          <w:rFonts w:ascii="Sylfaen" w:hAnsi="Sylfaen" w:cs="Arial"/>
          <w:color w:val="000000"/>
        </w:rPr>
        <w:t xml:space="preserve">. Together with the economic difficulties referred to by the judge, that might be taken to satisfy requirement (c) of Exception 1, and so not to require the deportation of someone sentenced to less than 4 years’ imprisonment, who could also satisfy (a) and (b). </w:t>
      </w:r>
    </w:p>
    <w:p w:rsidR="00DF7DAD" w:rsidRDefault="00DF7DAD" w:rsidP="007B0432">
      <w:pPr>
        <w:numPr>
          <w:ilvl w:val="0"/>
          <w:numId w:val="1"/>
        </w:numPr>
        <w:tabs>
          <w:tab w:val="clear" w:pos="757"/>
        </w:tabs>
        <w:spacing w:after="120"/>
        <w:ind w:left="540" w:hanging="540"/>
        <w:jc w:val="both"/>
        <w:rPr>
          <w:rFonts w:ascii="Sylfaen" w:hAnsi="Sylfaen" w:cs="Arial"/>
          <w:color w:val="000000"/>
        </w:rPr>
      </w:pPr>
      <w:r>
        <w:rPr>
          <w:rFonts w:ascii="Sylfaen" w:hAnsi="Sylfaen" w:cs="Arial"/>
          <w:color w:val="000000"/>
        </w:rPr>
        <w:t xml:space="preserve">However, this appellant had to show ‘very compelling circumstances’ over and above those requirements: he is an apparently fit young man who speaks Arabic, and, even by the date of the judge’s decision was already 23 (now 26). I do not see anything in the judge’s findings on the present state of </w:t>
      </w:r>
      <w:smartTag w:uri="urn:schemas-microsoft-com:office:smarttags" w:element="City">
        <w:smartTag w:uri="urn:schemas-microsoft-com:office:smarttags" w:element="place">
          <w:r>
            <w:rPr>
              <w:rFonts w:ascii="Sylfaen" w:hAnsi="Sylfaen" w:cs="Arial"/>
              <w:color w:val="000000"/>
            </w:rPr>
            <w:t>Palestine</w:t>
          </w:r>
        </w:smartTag>
      </w:smartTag>
      <w:r>
        <w:rPr>
          <w:rFonts w:ascii="Sylfaen" w:hAnsi="Sylfaen" w:cs="Arial"/>
          <w:color w:val="000000"/>
        </w:rPr>
        <w:t xml:space="preserve"> which could justify such a finding. So far as the appellant’s family relationships are concerned, he and his mother and sister would all clearly miss each other very much, if he were deported; but that does not come within the terms of Exception 2. From a practical point of view, his sister, and not he is registered as his mother’s official carer.</w:t>
      </w:r>
    </w:p>
    <w:p w:rsidR="00DF7DAD" w:rsidRDefault="00DF7DAD" w:rsidP="007B0432">
      <w:pPr>
        <w:numPr>
          <w:ilvl w:val="0"/>
          <w:numId w:val="1"/>
        </w:numPr>
        <w:tabs>
          <w:tab w:val="clear" w:pos="757"/>
        </w:tabs>
        <w:spacing w:after="120"/>
        <w:ind w:left="540" w:hanging="540"/>
        <w:jc w:val="both"/>
        <w:rPr>
          <w:rFonts w:ascii="Sylfaen" w:hAnsi="Sylfaen" w:cs="Arial"/>
          <w:color w:val="000000"/>
        </w:rPr>
      </w:pPr>
      <w:r>
        <w:rPr>
          <w:rFonts w:ascii="Sylfaen" w:hAnsi="Sylfaen" w:cs="Arial"/>
          <w:color w:val="000000"/>
        </w:rPr>
        <w:lastRenderedPageBreak/>
        <w:t>It seems to me that, in terms of the legislation now in force, the view could not reasonably be taken that there were ‘very compelling circumstances’ over and above the requirements of Exception 1 to prevent this appellant’s removal to Palestine, entirely hypothetical as that possibility seems to be. No doubt he will have to be given some form of short-term leave, but that is a question for the respondent.</w:t>
      </w:r>
    </w:p>
    <w:p w:rsidR="008A1BDE" w:rsidRDefault="008A1BDE">
      <w:pPr>
        <w:ind w:left="540" w:hanging="540"/>
        <w:jc w:val="both"/>
        <w:rPr>
          <w:rFonts w:ascii="Sylfaen" w:hAnsi="Sylfaen" w:cs="Arial"/>
          <w:b/>
        </w:rPr>
      </w:pPr>
    </w:p>
    <w:p w:rsidR="00DF7DAD" w:rsidRPr="008F23F4" w:rsidRDefault="00DF7DAD">
      <w:pPr>
        <w:ind w:left="540" w:hanging="540"/>
        <w:jc w:val="both"/>
        <w:rPr>
          <w:rFonts w:ascii="Sylfaen" w:hAnsi="Sylfaen" w:cs="Arial"/>
          <w:b/>
        </w:rPr>
      </w:pPr>
      <w:r>
        <w:rPr>
          <w:rFonts w:ascii="Sylfaen" w:hAnsi="Sylfaen" w:cs="Arial"/>
          <w:b/>
        </w:rPr>
        <w:t xml:space="preserve">Respondent’s appeal </w:t>
      </w:r>
      <w:bookmarkStart w:id="5" w:name="Dropdown3"/>
      <w:r>
        <w:rPr>
          <w:rFonts w:ascii="Sylfaen" w:hAnsi="Sylfaen" w:cs="Arial"/>
          <w:b/>
        </w:rPr>
        <w:fldChar w:fldCharType="begin">
          <w:ffData>
            <w:name w:val="Dropdown3"/>
            <w:enabled/>
            <w:calcOnExit w:val="0"/>
            <w:ddList>
              <w:listEntry w:val="allowed"/>
              <w:listEntry w:val="dismissed"/>
            </w:ddList>
          </w:ffData>
        </w:fldChar>
      </w:r>
      <w:r>
        <w:rPr>
          <w:rFonts w:ascii="Sylfaen" w:hAnsi="Sylfaen" w:cs="Arial"/>
          <w:b/>
        </w:rPr>
        <w:instrText xml:space="preserve"> FORMDROPDOWN </w:instrText>
      </w:r>
      <w:r w:rsidR="00E61B7D">
        <w:rPr>
          <w:rFonts w:ascii="Sylfaen" w:hAnsi="Sylfaen" w:cs="Arial"/>
          <w:b/>
        </w:rPr>
      </w:r>
      <w:r w:rsidR="00E61B7D">
        <w:rPr>
          <w:rFonts w:ascii="Sylfaen" w:hAnsi="Sylfaen" w:cs="Arial"/>
          <w:b/>
        </w:rPr>
        <w:fldChar w:fldCharType="separate"/>
      </w:r>
      <w:r>
        <w:rPr>
          <w:rFonts w:ascii="Sylfaen" w:hAnsi="Sylfaen" w:cs="Arial"/>
          <w:b/>
        </w:rPr>
        <w:fldChar w:fldCharType="end"/>
      </w:r>
      <w:bookmarkEnd w:id="5"/>
      <w:r>
        <w:rPr>
          <w:rFonts w:ascii="Sylfaen" w:hAnsi="Sylfaen" w:cs="Arial"/>
          <w:b/>
        </w:rPr>
        <w:t>: first-tier decision reversed</w:t>
      </w:r>
    </w:p>
    <w:p w:rsidR="00A509FA" w:rsidRPr="00A544A8" w:rsidRDefault="00DF7DAD" w:rsidP="00DF7DAD">
      <w:pPr>
        <w:ind w:left="4508" w:hanging="539"/>
        <w:rPr>
          <w:rFonts w:ascii="Sylfaen" w:hAnsi="Sylfaen" w:cs="Arial"/>
        </w:rPr>
      </w:pPr>
      <w:r w:rsidRPr="00A544A8">
        <w:rPr>
          <w:rFonts w:ascii="Sylfaen" w:hAnsi="Sylfaen" w:cs="Arial"/>
        </w:rPr>
        <w:tab/>
      </w:r>
      <w:r w:rsidRPr="00A544A8">
        <w:rPr>
          <w:rFonts w:ascii="Sylfaen" w:hAnsi="Sylfaen" w:cs="Arial"/>
        </w:rPr>
        <w:tab/>
      </w:r>
      <w:r w:rsidRPr="00A544A8">
        <w:rPr>
          <w:rFonts w:ascii="Sylfaen" w:hAnsi="Sylfaen" w:cs="Arial"/>
        </w:rPr>
        <w:tab/>
      </w:r>
      <w:r w:rsidRPr="00A544A8">
        <w:rPr>
          <w:rFonts w:ascii="Sylfaen" w:hAnsi="Sylfaen" w:cs="Arial"/>
        </w:rPr>
        <w:tab/>
      </w:r>
      <w:r w:rsidRPr="00A544A8">
        <w:rPr>
          <w:rFonts w:ascii="Sylfaen" w:hAnsi="Sylfaen" w:cs="Arial"/>
        </w:rPr>
        <w:tab/>
      </w:r>
    </w:p>
    <w:p w:rsidR="00DB1EA9" w:rsidRDefault="002C6354" w:rsidP="00F07170">
      <w:pPr>
        <w:ind w:left="4508" w:hanging="539"/>
        <w:rPr>
          <w:rFonts w:ascii="Sylfaen" w:hAnsi="Sylfaen" w:cs="Arial"/>
          <w:color w:val="000000"/>
        </w:rPr>
      </w:pPr>
      <w:r w:rsidRPr="00A544A8">
        <w:rPr>
          <w:rFonts w:ascii="Sylfaen" w:hAnsi="Sylfaen" w:cs="Arial"/>
          <w:b/>
          <w:noProof/>
        </w:rPr>
        <w:drawing>
          <wp:inline distT="0" distB="0" distL="0" distR="0">
            <wp:extent cx="2141220" cy="103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1036320"/>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of the Upper Tribunal)</w:t>
      </w:r>
    </w:p>
    <w:p w:rsidR="00DB1EA9" w:rsidRPr="00DD4871" w:rsidRDefault="00DF392C" w:rsidP="00DF392C">
      <w:r w:rsidRPr="00DD4871">
        <w:t xml:space="preserve"> </w:t>
      </w:r>
    </w:p>
    <w:p w:rsidR="00B95326" w:rsidRPr="00A544A8" w:rsidRDefault="00B95326" w:rsidP="00F07170">
      <w:pPr>
        <w:ind w:left="4508" w:hanging="539"/>
        <w:rPr>
          <w:rFonts w:ascii="Sylfaen" w:hAnsi="Sylfaen" w:cs="Arial"/>
          <w:color w:val="000000"/>
        </w:rPr>
      </w:pPr>
    </w:p>
    <w:sectPr w:rsidR="00B95326" w:rsidRPr="00A544A8" w:rsidSect="00A75676">
      <w:headerReference w:type="default" r:id="rId11"/>
      <w:footerReference w:type="default" r:id="rId12"/>
      <w:footerReference w:type="first" r:id="rId13"/>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E8F" w:rsidRDefault="00AB6E8F">
      <w:r>
        <w:separator/>
      </w:r>
    </w:p>
  </w:endnote>
  <w:endnote w:type="continuationSeparator" w:id="0">
    <w:p w:rsidR="00AB6E8F" w:rsidRDefault="00AB6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6B058B" w:rsidRDefault="00B83391" w:rsidP="00593795">
    <w:pPr>
      <w:pStyle w:val="Footer"/>
      <w:jc w:val="center"/>
      <w:rPr>
        <w:rFonts w:ascii="Sylfaen" w:hAnsi="Sylfaen" w:cs="Arial"/>
        <w:sz w:val="22"/>
        <w:szCs w:val="22"/>
      </w:rPr>
    </w:pPr>
    <w:r w:rsidRPr="006B058B">
      <w:rPr>
        <w:rStyle w:val="PageNumber"/>
        <w:rFonts w:ascii="Sylfaen" w:hAnsi="Sylfaen" w:cs="Arial"/>
        <w:sz w:val="22"/>
        <w:szCs w:val="22"/>
      </w:rPr>
      <w:fldChar w:fldCharType="begin"/>
    </w:r>
    <w:r w:rsidRPr="006B058B">
      <w:rPr>
        <w:rStyle w:val="PageNumber"/>
        <w:rFonts w:ascii="Sylfaen" w:hAnsi="Sylfaen" w:cs="Arial"/>
        <w:sz w:val="22"/>
        <w:szCs w:val="22"/>
      </w:rPr>
      <w:instrText xml:space="preserve"> PAGE </w:instrText>
    </w:r>
    <w:r w:rsidRPr="006B058B">
      <w:rPr>
        <w:rStyle w:val="PageNumber"/>
        <w:rFonts w:ascii="Sylfaen" w:hAnsi="Sylfaen" w:cs="Arial"/>
        <w:sz w:val="22"/>
        <w:szCs w:val="22"/>
      </w:rPr>
      <w:fldChar w:fldCharType="separate"/>
    </w:r>
    <w:r w:rsidR="00E61B7D">
      <w:rPr>
        <w:rStyle w:val="PageNumber"/>
        <w:rFonts w:ascii="Sylfaen" w:hAnsi="Sylfaen" w:cs="Arial"/>
        <w:noProof/>
        <w:sz w:val="22"/>
        <w:szCs w:val="22"/>
      </w:rPr>
      <w:t>4</w:t>
    </w:r>
    <w:r w:rsidRPr="006B058B">
      <w:rPr>
        <w:rStyle w:val="PageNumber"/>
        <w:rFonts w:ascii="Sylfaen" w:hAnsi="Sylfaen" w:cs="Arial"/>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A75676" w:rsidRDefault="00A75676" w:rsidP="00A75676">
    <w:pPr>
      <w:pStyle w:val="Footer"/>
      <w:jc w:val="center"/>
      <w:rPr>
        <w:b/>
      </w:rPr>
    </w:pPr>
    <w:r w:rsidRPr="00A75676">
      <w:rPr>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E8F" w:rsidRDefault="00AB6E8F">
      <w:r>
        <w:separator/>
      </w:r>
    </w:p>
  </w:footnote>
  <w:footnote w:type="continuationSeparator" w:id="0">
    <w:p w:rsidR="00AB6E8F" w:rsidRDefault="00AB6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235E" w:rsidRPr="00FD235E" w:rsidRDefault="00FD235E" w:rsidP="00FD235E">
    <w:pPr>
      <w:pStyle w:val="Header"/>
      <w:jc w:val="right"/>
      <w:rPr>
        <w:sz w:val="20"/>
        <w:szCs w:val="20"/>
      </w:rPr>
    </w:pPr>
    <w:r w:rsidRPr="00FD235E">
      <w:rPr>
        <w:sz w:val="20"/>
        <w:szCs w:val="20"/>
      </w:rPr>
      <w:t>DA/01569/2014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23B"/>
    <w:multiLevelType w:val="hybridMultilevel"/>
    <w:tmpl w:val="00002213"/>
    <w:lvl w:ilvl="0" w:tplc="0000260D">
      <w:start w:val="1"/>
      <w:numFmt w:val="lowerLetter"/>
      <w:lvlText w:val="(%1)"/>
      <w:lvlJc w:val="left"/>
      <w:pPr>
        <w:tabs>
          <w:tab w:val="num" w:pos="720"/>
        </w:tabs>
        <w:ind w:left="720" w:hanging="360"/>
      </w:pPr>
    </w:lvl>
    <w:lvl w:ilvl="1" w:tplc="00006B89">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996636"/>
    <w:multiLevelType w:val="hybridMultilevel"/>
    <w:tmpl w:val="BEF094E0"/>
    <w:lvl w:ilvl="0" w:tplc="8F28588A">
      <w:start w:val="2"/>
      <w:numFmt w:val="decimal"/>
      <w:lvlText w:val="%1."/>
      <w:lvlJc w:val="left"/>
      <w:pPr>
        <w:tabs>
          <w:tab w:val="num" w:pos="624"/>
        </w:tabs>
        <w:ind w:left="624" w:hanging="510"/>
      </w:pPr>
      <w:rPr>
        <w:rFonts w:ascii="Sylfaen" w:hAnsi="Sylfaen" w:hint="default"/>
        <w:b/>
        <w:i w:val="0"/>
        <w:sz w:val="24"/>
        <w:szCs w:val="24"/>
      </w:rPr>
    </w:lvl>
    <w:lvl w:ilvl="1" w:tplc="08090019" w:tentative="1">
      <w:start w:val="1"/>
      <w:numFmt w:val="lowerLetter"/>
      <w:lvlText w:val="%2."/>
      <w:lvlJc w:val="left"/>
      <w:pPr>
        <w:tabs>
          <w:tab w:val="num" w:pos="1497"/>
        </w:tabs>
        <w:ind w:left="1497" w:hanging="360"/>
      </w:pPr>
    </w:lvl>
    <w:lvl w:ilvl="2" w:tplc="0809001B" w:tentative="1">
      <w:start w:val="1"/>
      <w:numFmt w:val="lowerRoman"/>
      <w:lvlText w:val="%3."/>
      <w:lvlJc w:val="right"/>
      <w:pPr>
        <w:tabs>
          <w:tab w:val="num" w:pos="2217"/>
        </w:tabs>
        <w:ind w:left="2217" w:hanging="180"/>
      </w:pPr>
    </w:lvl>
    <w:lvl w:ilvl="3" w:tplc="0809000F" w:tentative="1">
      <w:start w:val="1"/>
      <w:numFmt w:val="decimal"/>
      <w:lvlText w:val="%4."/>
      <w:lvlJc w:val="left"/>
      <w:pPr>
        <w:tabs>
          <w:tab w:val="num" w:pos="2937"/>
        </w:tabs>
        <w:ind w:left="2937" w:hanging="360"/>
      </w:pPr>
    </w:lvl>
    <w:lvl w:ilvl="4" w:tplc="08090019" w:tentative="1">
      <w:start w:val="1"/>
      <w:numFmt w:val="lowerLetter"/>
      <w:lvlText w:val="%5."/>
      <w:lvlJc w:val="left"/>
      <w:pPr>
        <w:tabs>
          <w:tab w:val="num" w:pos="3657"/>
        </w:tabs>
        <w:ind w:left="3657" w:hanging="360"/>
      </w:pPr>
    </w:lvl>
    <w:lvl w:ilvl="5" w:tplc="0809001B" w:tentative="1">
      <w:start w:val="1"/>
      <w:numFmt w:val="lowerRoman"/>
      <w:lvlText w:val="%6."/>
      <w:lvlJc w:val="right"/>
      <w:pPr>
        <w:tabs>
          <w:tab w:val="num" w:pos="4377"/>
        </w:tabs>
        <w:ind w:left="4377" w:hanging="180"/>
      </w:pPr>
    </w:lvl>
    <w:lvl w:ilvl="6" w:tplc="0809000F" w:tentative="1">
      <w:start w:val="1"/>
      <w:numFmt w:val="decimal"/>
      <w:lvlText w:val="%7."/>
      <w:lvlJc w:val="left"/>
      <w:pPr>
        <w:tabs>
          <w:tab w:val="num" w:pos="5097"/>
        </w:tabs>
        <w:ind w:left="5097" w:hanging="360"/>
      </w:pPr>
    </w:lvl>
    <w:lvl w:ilvl="7" w:tplc="08090019" w:tentative="1">
      <w:start w:val="1"/>
      <w:numFmt w:val="lowerLetter"/>
      <w:lvlText w:val="%8."/>
      <w:lvlJc w:val="left"/>
      <w:pPr>
        <w:tabs>
          <w:tab w:val="num" w:pos="5817"/>
        </w:tabs>
        <w:ind w:left="5817" w:hanging="360"/>
      </w:pPr>
    </w:lvl>
    <w:lvl w:ilvl="8" w:tplc="0809001B" w:tentative="1">
      <w:start w:val="1"/>
      <w:numFmt w:val="lowerRoman"/>
      <w:lvlText w:val="%9."/>
      <w:lvlJc w:val="right"/>
      <w:pPr>
        <w:tabs>
          <w:tab w:val="num" w:pos="6537"/>
        </w:tabs>
        <w:ind w:left="6537" w:hanging="180"/>
      </w:pPr>
    </w:lvl>
  </w:abstractNum>
  <w:abstractNum w:abstractNumId="2" w15:restartNumberingAfterBreak="0">
    <w:nsid w:val="0D034BA2"/>
    <w:multiLevelType w:val="multilevel"/>
    <w:tmpl w:val="250CC5A4"/>
    <w:lvl w:ilvl="0">
      <w:start w:val="2"/>
      <w:numFmt w:val="decimal"/>
      <w:lvlText w:val="%1."/>
      <w:lvlJc w:val="left"/>
      <w:pPr>
        <w:tabs>
          <w:tab w:val="num" w:pos="757"/>
        </w:tabs>
        <w:ind w:left="757" w:hanging="397"/>
      </w:pPr>
      <w:rPr>
        <w:rFonts w:ascii="Sylfaen" w:hAnsi="Sylfaen" w:hint="default"/>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9E47A66"/>
    <w:multiLevelType w:val="multilevel"/>
    <w:tmpl w:val="11180816"/>
    <w:lvl w:ilvl="0">
      <w:start w:val="2"/>
      <w:numFmt w:val="decimal"/>
      <w:lvlText w:val="%1."/>
      <w:lvlJc w:val="left"/>
      <w:pPr>
        <w:tabs>
          <w:tab w:val="num" w:pos="757"/>
        </w:tabs>
        <w:ind w:left="757" w:hanging="397"/>
      </w:pPr>
      <w:rPr>
        <w:rFonts w:ascii="Sylfaen" w:hAnsi="Sylfaen" w:hint="default"/>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b/>
        <w:i w:val="0"/>
        <w:sz w:val="24"/>
        <w:szCs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12647F0"/>
    <w:multiLevelType w:val="multilevel"/>
    <w:tmpl w:val="11180816"/>
    <w:lvl w:ilvl="0">
      <w:start w:val="2"/>
      <w:numFmt w:val="decimal"/>
      <w:lvlText w:val="%1."/>
      <w:lvlJc w:val="left"/>
      <w:pPr>
        <w:tabs>
          <w:tab w:val="num" w:pos="757"/>
        </w:tabs>
        <w:ind w:left="757" w:hanging="397"/>
      </w:pPr>
      <w:rPr>
        <w:rFonts w:ascii="Sylfaen" w:hAnsi="Sylfaen" w:hint="default"/>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b/>
        <w:i w:val="0"/>
        <w:sz w:val="24"/>
        <w:szCs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8E406B4"/>
    <w:multiLevelType w:val="hybridMultilevel"/>
    <w:tmpl w:val="9924832C"/>
    <w:lvl w:ilvl="0" w:tplc="8F28588A">
      <w:start w:val="2"/>
      <w:numFmt w:val="decimal"/>
      <w:lvlText w:val="%1."/>
      <w:lvlJc w:val="left"/>
      <w:pPr>
        <w:tabs>
          <w:tab w:val="num" w:pos="624"/>
        </w:tabs>
        <w:ind w:left="624" w:hanging="510"/>
      </w:pPr>
      <w:rPr>
        <w:rFonts w:ascii="Sylfaen" w:hAnsi="Sylfaen" w:hint="default"/>
        <w:b/>
        <w:i w:val="0"/>
        <w:sz w:val="24"/>
        <w:szCs w:val="24"/>
      </w:rPr>
    </w:lvl>
    <w:lvl w:ilvl="1" w:tplc="08090019" w:tentative="1">
      <w:start w:val="1"/>
      <w:numFmt w:val="lowerLetter"/>
      <w:lvlText w:val="%2."/>
      <w:lvlJc w:val="left"/>
      <w:pPr>
        <w:tabs>
          <w:tab w:val="num" w:pos="1497"/>
        </w:tabs>
        <w:ind w:left="1497" w:hanging="360"/>
      </w:pPr>
    </w:lvl>
    <w:lvl w:ilvl="2" w:tplc="0809001B" w:tentative="1">
      <w:start w:val="1"/>
      <w:numFmt w:val="lowerRoman"/>
      <w:lvlText w:val="%3."/>
      <w:lvlJc w:val="right"/>
      <w:pPr>
        <w:tabs>
          <w:tab w:val="num" w:pos="2217"/>
        </w:tabs>
        <w:ind w:left="2217" w:hanging="180"/>
      </w:pPr>
    </w:lvl>
    <w:lvl w:ilvl="3" w:tplc="0809000F" w:tentative="1">
      <w:start w:val="1"/>
      <w:numFmt w:val="decimal"/>
      <w:lvlText w:val="%4."/>
      <w:lvlJc w:val="left"/>
      <w:pPr>
        <w:tabs>
          <w:tab w:val="num" w:pos="2937"/>
        </w:tabs>
        <w:ind w:left="2937" w:hanging="360"/>
      </w:pPr>
    </w:lvl>
    <w:lvl w:ilvl="4" w:tplc="08090019" w:tentative="1">
      <w:start w:val="1"/>
      <w:numFmt w:val="lowerLetter"/>
      <w:lvlText w:val="%5."/>
      <w:lvlJc w:val="left"/>
      <w:pPr>
        <w:tabs>
          <w:tab w:val="num" w:pos="3657"/>
        </w:tabs>
        <w:ind w:left="3657" w:hanging="360"/>
      </w:pPr>
    </w:lvl>
    <w:lvl w:ilvl="5" w:tplc="0809001B" w:tentative="1">
      <w:start w:val="1"/>
      <w:numFmt w:val="lowerRoman"/>
      <w:lvlText w:val="%6."/>
      <w:lvlJc w:val="right"/>
      <w:pPr>
        <w:tabs>
          <w:tab w:val="num" w:pos="4377"/>
        </w:tabs>
        <w:ind w:left="4377" w:hanging="180"/>
      </w:pPr>
    </w:lvl>
    <w:lvl w:ilvl="6" w:tplc="0809000F" w:tentative="1">
      <w:start w:val="1"/>
      <w:numFmt w:val="decimal"/>
      <w:lvlText w:val="%7."/>
      <w:lvlJc w:val="left"/>
      <w:pPr>
        <w:tabs>
          <w:tab w:val="num" w:pos="5097"/>
        </w:tabs>
        <w:ind w:left="5097" w:hanging="360"/>
      </w:pPr>
    </w:lvl>
    <w:lvl w:ilvl="7" w:tplc="08090019" w:tentative="1">
      <w:start w:val="1"/>
      <w:numFmt w:val="lowerLetter"/>
      <w:lvlText w:val="%8."/>
      <w:lvlJc w:val="left"/>
      <w:pPr>
        <w:tabs>
          <w:tab w:val="num" w:pos="5817"/>
        </w:tabs>
        <w:ind w:left="5817" w:hanging="360"/>
      </w:pPr>
    </w:lvl>
    <w:lvl w:ilvl="8" w:tplc="0809001B" w:tentative="1">
      <w:start w:val="1"/>
      <w:numFmt w:val="lowerRoman"/>
      <w:lvlText w:val="%9."/>
      <w:lvlJc w:val="right"/>
      <w:pPr>
        <w:tabs>
          <w:tab w:val="num" w:pos="6537"/>
        </w:tabs>
        <w:ind w:left="6537" w:hanging="180"/>
      </w:pPr>
    </w:lvl>
  </w:abstractNum>
  <w:abstractNum w:abstractNumId="6" w15:restartNumberingAfterBreak="0">
    <w:nsid w:val="51600DEC"/>
    <w:multiLevelType w:val="hybridMultilevel"/>
    <w:tmpl w:val="9662CF4E"/>
    <w:lvl w:ilvl="0" w:tplc="8F28588A">
      <w:start w:val="2"/>
      <w:numFmt w:val="decimal"/>
      <w:lvlText w:val="%1."/>
      <w:lvlJc w:val="left"/>
      <w:pPr>
        <w:tabs>
          <w:tab w:val="num" w:pos="567"/>
        </w:tabs>
        <w:ind w:left="567" w:hanging="510"/>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567C2D46"/>
    <w:multiLevelType w:val="hybridMultilevel"/>
    <w:tmpl w:val="FF74C664"/>
    <w:lvl w:ilvl="0" w:tplc="0542F5A8">
      <w:start w:val="2"/>
      <w:numFmt w:val="decimal"/>
      <w:pStyle w:val="List1"/>
      <w:lvlText w:val="%1."/>
      <w:lvlJc w:val="left"/>
      <w:pPr>
        <w:tabs>
          <w:tab w:val="num" w:pos="757"/>
        </w:tabs>
        <w:ind w:left="757" w:hanging="397"/>
      </w:pPr>
      <w:rPr>
        <w:rFonts w:ascii="Sylfaen" w:hAnsi="Sylfaen" w:hint="default"/>
        <w:b/>
        <w:i w:val="0"/>
        <w:sz w:val="24"/>
        <w:szCs w:val="24"/>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rPr>
        <w:rFonts w:hint="default"/>
        <w:b/>
        <w:i w:val="0"/>
        <w:sz w:val="24"/>
        <w:szCs w:val="24"/>
      </w:rPr>
    </w:lvl>
    <w:lvl w:ilvl="4" w:tplc="08090019">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5F127EC4"/>
    <w:multiLevelType w:val="hybridMultilevel"/>
    <w:tmpl w:val="D5F4AEF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61961222"/>
    <w:multiLevelType w:val="hybridMultilevel"/>
    <w:tmpl w:val="8CC29B30"/>
    <w:lvl w:ilvl="0" w:tplc="0D8ACC9C">
      <w:start w:val="1"/>
      <w:numFmt w:val="decimal"/>
      <w:lvlText w:val="%1)"/>
      <w:lvlJc w:val="left"/>
      <w:pPr>
        <w:tabs>
          <w:tab w:val="num" w:pos="1275"/>
        </w:tabs>
        <w:ind w:left="1275" w:hanging="375"/>
      </w:pPr>
      <w:rPr>
        <w:rFonts w:hint="default"/>
      </w:rPr>
    </w:lvl>
    <w:lvl w:ilvl="1" w:tplc="08090019">
      <w:start w:val="1"/>
      <w:numFmt w:val="lowerLetter"/>
      <w:lvlText w:val="%2."/>
      <w:lvlJc w:val="left"/>
      <w:pPr>
        <w:tabs>
          <w:tab w:val="num" w:pos="1440"/>
        </w:tabs>
        <w:ind w:left="1440" w:hanging="360"/>
      </w:pPr>
    </w:lvl>
    <w:lvl w:ilvl="2" w:tplc="073AA11A">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78C27C7D"/>
    <w:multiLevelType w:val="hybridMultilevel"/>
    <w:tmpl w:val="250CC5A4"/>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7BCD343B"/>
    <w:multiLevelType w:val="hybridMultilevel"/>
    <w:tmpl w:val="06986932"/>
    <w:lvl w:ilvl="0" w:tplc="32622066">
      <w:start w:val="1"/>
      <w:numFmt w:val="decimal"/>
      <w:lvlText w:val="%1."/>
      <w:lvlJc w:val="left"/>
      <w:pPr>
        <w:tabs>
          <w:tab w:val="num" w:pos="567"/>
        </w:tabs>
        <w:ind w:left="567" w:hanging="56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7"/>
  </w:num>
  <w:num w:numId="2">
    <w:abstractNumId w:val="8"/>
  </w:num>
  <w:num w:numId="3">
    <w:abstractNumId w:val="4"/>
  </w:num>
  <w:num w:numId="4">
    <w:abstractNumId w:val="11"/>
  </w:num>
  <w:num w:numId="5">
    <w:abstractNumId w:val="2"/>
  </w:num>
  <w:num w:numId="6">
    <w:abstractNumId w:val="6"/>
  </w:num>
  <w:num w:numId="7">
    <w:abstractNumId w:val="5"/>
  </w:num>
  <w:num w:numId="8">
    <w:abstractNumId w:val="1"/>
  </w:num>
  <w:num w:numId="9">
    <w:abstractNumId w:val="3"/>
  </w:num>
  <w:num w:numId="10">
    <w:abstractNumId w:val="12"/>
  </w:num>
  <w:num w:numId="11">
    <w:abstractNumId w:val="9"/>
  </w:num>
  <w:num w:numId="12">
    <w:abstractNumId w:val="10"/>
  </w:num>
  <w:num w:numId="13">
    <w:abstractNumId w:val="7"/>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E5"/>
    <w:rsid w:val="00000621"/>
    <w:rsid w:val="0000081F"/>
    <w:rsid w:val="000036C2"/>
    <w:rsid w:val="000156B3"/>
    <w:rsid w:val="00033D3D"/>
    <w:rsid w:val="00057601"/>
    <w:rsid w:val="00062F02"/>
    <w:rsid w:val="0006532F"/>
    <w:rsid w:val="000666B2"/>
    <w:rsid w:val="00066E4A"/>
    <w:rsid w:val="00071A7E"/>
    <w:rsid w:val="000746C0"/>
    <w:rsid w:val="00074D1D"/>
    <w:rsid w:val="000857AF"/>
    <w:rsid w:val="00090CF9"/>
    <w:rsid w:val="00092580"/>
    <w:rsid w:val="00093D4D"/>
    <w:rsid w:val="000A092B"/>
    <w:rsid w:val="000A1210"/>
    <w:rsid w:val="000B2183"/>
    <w:rsid w:val="000D5D94"/>
    <w:rsid w:val="000F1A0E"/>
    <w:rsid w:val="00115EB1"/>
    <w:rsid w:val="001165A7"/>
    <w:rsid w:val="00135B5B"/>
    <w:rsid w:val="001435AF"/>
    <w:rsid w:val="0014666D"/>
    <w:rsid w:val="00167D3A"/>
    <w:rsid w:val="001732EC"/>
    <w:rsid w:val="001A3082"/>
    <w:rsid w:val="001A5D86"/>
    <w:rsid w:val="001B186A"/>
    <w:rsid w:val="001B2F75"/>
    <w:rsid w:val="001D1C33"/>
    <w:rsid w:val="001F114E"/>
    <w:rsid w:val="001F2716"/>
    <w:rsid w:val="00207617"/>
    <w:rsid w:val="0023134B"/>
    <w:rsid w:val="0026015E"/>
    <w:rsid w:val="002667BE"/>
    <w:rsid w:val="00270E13"/>
    <w:rsid w:val="00283659"/>
    <w:rsid w:val="002B29D2"/>
    <w:rsid w:val="002B3D8F"/>
    <w:rsid w:val="002B5149"/>
    <w:rsid w:val="002C6354"/>
    <w:rsid w:val="002C6BD4"/>
    <w:rsid w:val="002D2F07"/>
    <w:rsid w:val="002D68BF"/>
    <w:rsid w:val="002E1738"/>
    <w:rsid w:val="002F6B98"/>
    <w:rsid w:val="00336CBF"/>
    <w:rsid w:val="00343FE3"/>
    <w:rsid w:val="003546C8"/>
    <w:rsid w:val="003860CF"/>
    <w:rsid w:val="003A7CF2"/>
    <w:rsid w:val="003B0823"/>
    <w:rsid w:val="003C5CE5"/>
    <w:rsid w:val="003E267B"/>
    <w:rsid w:val="003E5773"/>
    <w:rsid w:val="003E7CD1"/>
    <w:rsid w:val="00402B9E"/>
    <w:rsid w:val="00420643"/>
    <w:rsid w:val="004249CB"/>
    <w:rsid w:val="0044127D"/>
    <w:rsid w:val="004448DB"/>
    <w:rsid w:val="00446C9A"/>
    <w:rsid w:val="00452F2B"/>
    <w:rsid w:val="004617F0"/>
    <w:rsid w:val="00473EEA"/>
    <w:rsid w:val="00477193"/>
    <w:rsid w:val="00480D87"/>
    <w:rsid w:val="004A1848"/>
    <w:rsid w:val="004A6F4A"/>
    <w:rsid w:val="004C5636"/>
    <w:rsid w:val="004C6FDE"/>
    <w:rsid w:val="004E4717"/>
    <w:rsid w:val="005035E7"/>
    <w:rsid w:val="00507FEC"/>
    <w:rsid w:val="00510F0E"/>
    <w:rsid w:val="00531929"/>
    <w:rsid w:val="005479E1"/>
    <w:rsid w:val="00553E0A"/>
    <w:rsid w:val="005570FD"/>
    <w:rsid w:val="005575EA"/>
    <w:rsid w:val="0057790C"/>
    <w:rsid w:val="00593795"/>
    <w:rsid w:val="00593821"/>
    <w:rsid w:val="005A549B"/>
    <w:rsid w:val="005A75FF"/>
    <w:rsid w:val="005D10AB"/>
    <w:rsid w:val="005F1F19"/>
    <w:rsid w:val="00601D8F"/>
    <w:rsid w:val="00611011"/>
    <w:rsid w:val="006147D6"/>
    <w:rsid w:val="006161C9"/>
    <w:rsid w:val="00650088"/>
    <w:rsid w:val="006503FF"/>
    <w:rsid w:val="00653E97"/>
    <w:rsid w:val="00676204"/>
    <w:rsid w:val="00684A74"/>
    <w:rsid w:val="00690B8A"/>
    <w:rsid w:val="006B058B"/>
    <w:rsid w:val="006B1A99"/>
    <w:rsid w:val="006F2CF1"/>
    <w:rsid w:val="007038ED"/>
    <w:rsid w:val="00703BC3"/>
    <w:rsid w:val="00704B61"/>
    <w:rsid w:val="00705BE5"/>
    <w:rsid w:val="007334B3"/>
    <w:rsid w:val="007420F1"/>
    <w:rsid w:val="00750745"/>
    <w:rsid w:val="007552A9"/>
    <w:rsid w:val="00761858"/>
    <w:rsid w:val="00767D59"/>
    <w:rsid w:val="00776E97"/>
    <w:rsid w:val="00780F86"/>
    <w:rsid w:val="007912AD"/>
    <w:rsid w:val="007A37E8"/>
    <w:rsid w:val="007B0432"/>
    <w:rsid w:val="007B0824"/>
    <w:rsid w:val="007B5D3C"/>
    <w:rsid w:val="007D255C"/>
    <w:rsid w:val="00821B72"/>
    <w:rsid w:val="00823EF2"/>
    <w:rsid w:val="008303B8"/>
    <w:rsid w:val="00833DCE"/>
    <w:rsid w:val="00847C25"/>
    <w:rsid w:val="00871D34"/>
    <w:rsid w:val="008A1BDE"/>
    <w:rsid w:val="008B270C"/>
    <w:rsid w:val="008B382D"/>
    <w:rsid w:val="008B5078"/>
    <w:rsid w:val="008C1BBB"/>
    <w:rsid w:val="008C3D3D"/>
    <w:rsid w:val="008D4131"/>
    <w:rsid w:val="008F0697"/>
    <w:rsid w:val="008F1932"/>
    <w:rsid w:val="008F23F4"/>
    <w:rsid w:val="008F720D"/>
    <w:rsid w:val="009061B6"/>
    <w:rsid w:val="00921062"/>
    <w:rsid w:val="00925AB2"/>
    <w:rsid w:val="00933F32"/>
    <w:rsid w:val="00950491"/>
    <w:rsid w:val="009722BC"/>
    <w:rsid w:val="009727A3"/>
    <w:rsid w:val="00977EB3"/>
    <w:rsid w:val="00987774"/>
    <w:rsid w:val="00996FBB"/>
    <w:rsid w:val="009A11E8"/>
    <w:rsid w:val="009E30EE"/>
    <w:rsid w:val="009F5220"/>
    <w:rsid w:val="00A15234"/>
    <w:rsid w:val="00A201AB"/>
    <w:rsid w:val="00A230C4"/>
    <w:rsid w:val="00A240AA"/>
    <w:rsid w:val="00A253BF"/>
    <w:rsid w:val="00A31C8B"/>
    <w:rsid w:val="00A509FA"/>
    <w:rsid w:val="00A544A8"/>
    <w:rsid w:val="00A75676"/>
    <w:rsid w:val="00A845DC"/>
    <w:rsid w:val="00A8721C"/>
    <w:rsid w:val="00A96284"/>
    <w:rsid w:val="00AB6E8F"/>
    <w:rsid w:val="00AE226C"/>
    <w:rsid w:val="00B26AA2"/>
    <w:rsid w:val="00B3524D"/>
    <w:rsid w:val="00B40F69"/>
    <w:rsid w:val="00B46616"/>
    <w:rsid w:val="00B560DF"/>
    <w:rsid w:val="00B7040A"/>
    <w:rsid w:val="00B83391"/>
    <w:rsid w:val="00B95326"/>
    <w:rsid w:val="00BB3FC4"/>
    <w:rsid w:val="00BB7997"/>
    <w:rsid w:val="00BC481C"/>
    <w:rsid w:val="00BD2083"/>
    <w:rsid w:val="00BD3A9C"/>
    <w:rsid w:val="00BD4196"/>
    <w:rsid w:val="00BF22CA"/>
    <w:rsid w:val="00BF23BB"/>
    <w:rsid w:val="00C12F97"/>
    <w:rsid w:val="00C26032"/>
    <w:rsid w:val="00C345E1"/>
    <w:rsid w:val="00C43BFD"/>
    <w:rsid w:val="00C743B2"/>
    <w:rsid w:val="00C76CA3"/>
    <w:rsid w:val="00C81EBB"/>
    <w:rsid w:val="00C9293E"/>
    <w:rsid w:val="00CA3E71"/>
    <w:rsid w:val="00CB6E35"/>
    <w:rsid w:val="00CC0CC9"/>
    <w:rsid w:val="00CE1A46"/>
    <w:rsid w:val="00D20757"/>
    <w:rsid w:val="00D22636"/>
    <w:rsid w:val="00D40FD9"/>
    <w:rsid w:val="00D53769"/>
    <w:rsid w:val="00D85C13"/>
    <w:rsid w:val="00D9111A"/>
    <w:rsid w:val="00D91BE3"/>
    <w:rsid w:val="00D94AFC"/>
    <w:rsid w:val="00DB1EA9"/>
    <w:rsid w:val="00DB70AE"/>
    <w:rsid w:val="00DD5071"/>
    <w:rsid w:val="00DD5C39"/>
    <w:rsid w:val="00DD6918"/>
    <w:rsid w:val="00DE20CE"/>
    <w:rsid w:val="00DE65C8"/>
    <w:rsid w:val="00DE7DB7"/>
    <w:rsid w:val="00DF392C"/>
    <w:rsid w:val="00DF79D8"/>
    <w:rsid w:val="00DF7DAD"/>
    <w:rsid w:val="00E00A0A"/>
    <w:rsid w:val="00E066DE"/>
    <w:rsid w:val="00E07F57"/>
    <w:rsid w:val="00E30683"/>
    <w:rsid w:val="00E453D8"/>
    <w:rsid w:val="00E50BCE"/>
    <w:rsid w:val="00E573C9"/>
    <w:rsid w:val="00E574BF"/>
    <w:rsid w:val="00E61292"/>
    <w:rsid w:val="00E61B7D"/>
    <w:rsid w:val="00E77C4D"/>
    <w:rsid w:val="00E80AD9"/>
    <w:rsid w:val="00E81D01"/>
    <w:rsid w:val="00E862ED"/>
    <w:rsid w:val="00EB152F"/>
    <w:rsid w:val="00EE19EF"/>
    <w:rsid w:val="00EE1E25"/>
    <w:rsid w:val="00EE43F3"/>
    <w:rsid w:val="00EE45D8"/>
    <w:rsid w:val="00F07170"/>
    <w:rsid w:val="00F118C6"/>
    <w:rsid w:val="00F22EDA"/>
    <w:rsid w:val="00F658B8"/>
    <w:rsid w:val="00F865CB"/>
    <w:rsid w:val="00F97703"/>
    <w:rsid w:val="00FA48DC"/>
    <w:rsid w:val="00FD235E"/>
    <w:rsid w:val="00FE0E51"/>
    <w:rsid w:val="00FE4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16430A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ie">
    <w:name w:val="footie"/>
    <w:basedOn w:val="pedal2"/>
    <w:autoRedefine/>
    <w:rsid w:val="002D2F07"/>
  </w:style>
  <w:style w:type="paragraph" w:customStyle="1" w:styleId="List1">
    <w:name w:val="List1"/>
    <w:basedOn w:val="Normal"/>
    <w:rsid w:val="00EB152F"/>
    <w:pPr>
      <w:numPr>
        <w:numId w:val="14"/>
      </w:numPr>
      <w:spacing w:after="120"/>
      <w:jc w:val="both"/>
    </w:pPr>
    <w:rPr>
      <w:rFonts w:ascii="Sylfaen" w:hAnsi="Sylfaen" w:cs="Arial"/>
    </w:rPr>
  </w:style>
  <w:style w:type="character" w:styleId="FollowedHyperlink">
    <w:name w:val="FollowedHyperlink"/>
    <w:rsid w:val="00DF7DA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markup.cgi?doc=/eu/cases/EUECJ/2014/C37812.html&amp;query=title+(+onuekwere+)&amp;method=boolea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bailii.org/cgi-bin/markup.cgi?doc=/ew/cases/EWCA/Civ/2013/1192.html&amp;query=title+(+mf+)&amp;method=boole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1410</Words>
  <Characters>7402</Characters>
  <Application>Microsoft Office Word</Application>
  <DocSecurity>0</DocSecurity>
  <Lines>61</Lines>
  <Paragraphs>17</Paragraphs>
  <ScaleCrop>false</ScaleCrop>
  <Company/>
  <LinksUpToDate>false</LinksUpToDate>
  <CharactersWithSpaces>8795</CharactersWithSpaces>
  <SharedDoc>false</SharedDoc>
  <HLinks>
    <vt:vector size="12" baseType="variant">
      <vt:variant>
        <vt:i4>458819</vt:i4>
      </vt:variant>
      <vt:variant>
        <vt:i4>14</vt:i4>
      </vt:variant>
      <vt:variant>
        <vt:i4>0</vt:i4>
      </vt:variant>
      <vt:variant>
        <vt:i4>5</vt:i4>
      </vt:variant>
      <vt:variant>
        <vt:lpwstr>http://www.bailii.org/cgi-bin/markup.cgi?doc=/ew/cases/EWCA/Civ/2013/1192.html&amp;query=title+(+mf+)&amp;method=boolean</vt:lpwstr>
      </vt:variant>
      <vt:variant>
        <vt:lpwstr/>
      </vt:variant>
      <vt:variant>
        <vt:i4>7798826</vt:i4>
      </vt:variant>
      <vt:variant>
        <vt:i4>11</vt:i4>
      </vt:variant>
      <vt:variant>
        <vt:i4>0</vt:i4>
      </vt:variant>
      <vt:variant>
        <vt:i4>5</vt:i4>
      </vt:variant>
      <vt:variant>
        <vt:lpwstr>http://www.bailii.org/cgi-bin/markup.cgi?doc=/eu/cases/EUECJ/2014/C37812.html&amp;query=title+(+onuekwere+)&amp;method=boolean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2018-09-26T09:50:00Z</dcterms:created>
  <dcterms:modified xsi:type="dcterms:W3CDTF">2018-09-26T09:51:00Z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