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01D5" w14:textId="77777777" w:rsidR="00B83754" w:rsidRPr="00C4371F" w:rsidRDefault="001227DE" w:rsidP="00B83754">
      <w:pPr>
        <w:jc w:val="center"/>
        <w:rPr>
          <w:rFonts w:ascii="Book Antiqua" w:hAnsi="Book Antiqua" w:cs="Arial"/>
          <w:color w:val="000000"/>
          <w:sz w:val="16"/>
          <w:szCs w:val="16"/>
        </w:rPr>
      </w:pPr>
      <w:r>
        <w:rPr>
          <w:noProof/>
        </w:rPr>
        <w:drawing>
          <wp:inline distT="0" distB="0" distL="0" distR="0" wp14:anchorId="03318E10" wp14:editId="1F23A699">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32D9580A" w14:textId="77777777" w:rsidR="00B83754" w:rsidRPr="00C4371F" w:rsidRDefault="00B86965" w:rsidP="00780F86">
      <w:pPr>
        <w:tabs>
          <w:tab w:val="right" w:pos="9720"/>
        </w:tabs>
        <w:ind w:right="-82"/>
        <w:rPr>
          <w:rFonts w:ascii="Book Antiqua" w:hAnsi="Book Antiqua" w:cs="Arial"/>
          <w:b/>
          <w:color w:val="000000"/>
        </w:rPr>
      </w:pPr>
      <w:r>
        <w:rPr>
          <w:rFonts w:ascii="Book Antiqua" w:hAnsi="Book Antiqua" w:cs="Arial"/>
          <w:b/>
          <w:color w:val="000000"/>
        </w:rPr>
        <w:t>Upper</w:t>
      </w:r>
      <w:r w:rsidR="00B83754" w:rsidRPr="00C4371F">
        <w:rPr>
          <w:rFonts w:ascii="Book Antiqua" w:hAnsi="Book Antiqua" w:cs="Arial"/>
          <w:b/>
          <w:color w:val="000000"/>
        </w:rPr>
        <w:t xml:space="preserve"> Tribunal</w:t>
      </w:r>
    </w:p>
    <w:p w14:paraId="571352E5" w14:textId="6EC2149F" w:rsidR="007B0824" w:rsidRPr="00C4371F" w:rsidRDefault="00B83754" w:rsidP="00780F86">
      <w:pPr>
        <w:tabs>
          <w:tab w:val="right" w:pos="9720"/>
        </w:tabs>
        <w:ind w:right="-82"/>
        <w:rPr>
          <w:rFonts w:ascii="Book Antiqua" w:hAnsi="Book Antiqua" w:cs="Arial"/>
          <w:color w:val="000000"/>
        </w:rPr>
      </w:pPr>
      <w:r w:rsidRPr="00C4371F">
        <w:rPr>
          <w:rFonts w:ascii="Book Antiqua" w:hAnsi="Book Antiqua" w:cs="Arial"/>
          <w:b/>
          <w:color w:val="000000"/>
        </w:rPr>
        <w:t xml:space="preserve">(Immigration and Asylum </w:t>
      </w:r>
      <w:proofErr w:type="gramStart"/>
      <w:r w:rsidRPr="00C4371F">
        <w:rPr>
          <w:rFonts w:ascii="Book Antiqua" w:hAnsi="Book Antiqua" w:cs="Arial"/>
          <w:b/>
          <w:color w:val="000000"/>
        </w:rPr>
        <w:t>Chamber)</w:t>
      </w:r>
      <w:r w:rsidR="00A94EBA">
        <w:rPr>
          <w:rFonts w:ascii="Book Antiqua" w:hAnsi="Book Antiqua" w:cs="Arial"/>
          <w:b/>
          <w:color w:val="000000"/>
        </w:rPr>
        <w:t xml:space="preserve">   </w:t>
      </w:r>
      <w:proofErr w:type="gramEnd"/>
      <w:r w:rsidR="00A94EBA">
        <w:rPr>
          <w:rFonts w:ascii="Book Antiqua" w:hAnsi="Book Antiqua" w:cs="Arial"/>
          <w:b/>
          <w:color w:val="000000"/>
        </w:rPr>
        <w:t xml:space="preserve">                     </w:t>
      </w:r>
      <w:r w:rsidR="00B3524D" w:rsidRPr="00A94EBA">
        <w:rPr>
          <w:rFonts w:ascii="Book Antiqua" w:hAnsi="Book Antiqua" w:cs="Arial"/>
          <w:b/>
          <w:color w:val="000000"/>
        </w:rPr>
        <w:t>Appeal Number</w:t>
      </w:r>
      <w:r w:rsidR="00D53769" w:rsidRPr="00A94EBA">
        <w:rPr>
          <w:rFonts w:ascii="Book Antiqua" w:hAnsi="Book Antiqua" w:cs="Arial"/>
          <w:b/>
          <w:color w:val="000000"/>
        </w:rPr>
        <w:t>:</w:t>
      </w:r>
      <w:r w:rsidR="00B3524D" w:rsidRPr="00A94EBA">
        <w:rPr>
          <w:rFonts w:ascii="Book Antiqua" w:hAnsi="Book Antiqua" w:cs="Arial"/>
          <w:b/>
          <w:color w:val="000000"/>
        </w:rPr>
        <w:t xml:space="preserve"> </w:t>
      </w:r>
      <w:r w:rsidR="00F60B5C" w:rsidRPr="00A94EBA">
        <w:rPr>
          <w:rFonts w:ascii="Book Antiqua" w:hAnsi="Book Antiqua" w:cs="Arial"/>
          <w:b/>
          <w:caps/>
          <w:color w:val="000000"/>
        </w:rPr>
        <w:t>dc/00008/2019</w:t>
      </w:r>
    </w:p>
    <w:p w14:paraId="1B5FFE2D" w14:textId="77777777" w:rsidR="00C345E1" w:rsidRPr="00C4371F" w:rsidRDefault="00C345E1" w:rsidP="00C345E1">
      <w:pPr>
        <w:jc w:val="center"/>
        <w:rPr>
          <w:rFonts w:ascii="Book Antiqua" w:hAnsi="Book Antiqua" w:cs="Arial"/>
          <w:color w:val="000000"/>
        </w:rPr>
      </w:pPr>
    </w:p>
    <w:p w14:paraId="32994ED1" w14:textId="77777777" w:rsidR="00C345E1" w:rsidRPr="00C4371F" w:rsidRDefault="00C345E1" w:rsidP="00C345E1">
      <w:pPr>
        <w:jc w:val="center"/>
        <w:rPr>
          <w:rFonts w:ascii="Book Antiqua" w:hAnsi="Book Antiqua" w:cs="Arial"/>
          <w:b/>
          <w:color w:val="000000"/>
          <w:u w:val="single"/>
        </w:rPr>
      </w:pPr>
      <w:r w:rsidRPr="00C4371F">
        <w:rPr>
          <w:rFonts w:ascii="Book Antiqua" w:hAnsi="Book Antiqua" w:cs="Arial"/>
          <w:b/>
          <w:color w:val="000000"/>
          <w:u w:val="single"/>
        </w:rPr>
        <w:t>THE IMMIGRATION ACTS</w:t>
      </w:r>
    </w:p>
    <w:p w14:paraId="22E83540" w14:textId="77777777" w:rsidR="00C345E1" w:rsidRPr="00C4371F"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237B91" w14:paraId="46E527AE" w14:textId="77777777" w:rsidTr="00A94EBA">
        <w:tc>
          <w:tcPr>
            <w:tcW w:w="5387" w:type="dxa"/>
            <w:shd w:val="clear" w:color="auto" w:fill="auto"/>
          </w:tcPr>
          <w:p w14:paraId="414F8FFF" w14:textId="77777777" w:rsidR="00D22636" w:rsidRPr="00237B91" w:rsidRDefault="00D22636" w:rsidP="00237B91">
            <w:pPr>
              <w:jc w:val="both"/>
              <w:rPr>
                <w:rFonts w:ascii="Book Antiqua" w:hAnsi="Book Antiqua" w:cs="Arial"/>
                <w:b/>
              </w:rPr>
            </w:pPr>
            <w:r w:rsidRPr="00237B91">
              <w:rPr>
                <w:rFonts w:ascii="Book Antiqua" w:hAnsi="Book Antiqua" w:cs="Arial"/>
                <w:b/>
              </w:rPr>
              <w:t xml:space="preserve">Heard at </w:t>
            </w:r>
            <w:r w:rsidR="00B86965" w:rsidRPr="00237B91">
              <w:rPr>
                <w:rFonts w:ascii="Book Antiqua" w:hAnsi="Book Antiqua" w:cs="Arial"/>
                <w:b/>
              </w:rPr>
              <w:t>Field House</w:t>
            </w:r>
            <w:r w:rsidR="00F60B5C">
              <w:rPr>
                <w:rFonts w:ascii="Book Antiqua" w:hAnsi="Book Antiqua" w:cs="Arial"/>
                <w:b/>
              </w:rPr>
              <w:t xml:space="preserve"> Remotely by Skype</w:t>
            </w:r>
          </w:p>
        </w:tc>
        <w:tc>
          <w:tcPr>
            <w:tcW w:w="4621" w:type="dxa"/>
            <w:shd w:val="clear" w:color="auto" w:fill="auto"/>
          </w:tcPr>
          <w:p w14:paraId="245408DF" w14:textId="77777777" w:rsidR="00D22636" w:rsidRPr="00237B91" w:rsidRDefault="00DA1C64" w:rsidP="00237B91">
            <w:pPr>
              <w:jc w:val="both"/>
              <w:rPr>
                <w:rFonts w:ascii="Book Antiqua" w:hAnsi="Book Antiqua" w:cs="Arial"/>
                <w:b/>
                <w:color w:val="000000"/>
              </w:rPr>
            </w:pPr>
            <w:r w:rsidRPr="00237B91">
              <w:rPr>
                <w:rFonts w:ascii="Book Antiqua" w:hAnsi="Book Antiqua" w:cs="Arial"/>
                <w:b/>
                <w:color w:val="000000"/>
              </w:rPr>
              <w:t>Decision &amp; Reasons</w:t>
            </w:r>
            <w:r w:rsidR="00283659" w:rsidRPr="00237B91">
              <w:rPr>
                <w:rFonts w:ascii="Book Antiqua" w:hAnsi="Book Antiqua" w:cs="Arial"/>
                <w:b/>
                <w:color w:val="000000"/>
              </w:rPr>
              <w:t xml:space="preserve"> Promulgated</w:t>
            </w:r>
          </w:p>
        </w:tc>
      </w:tr>
      <w:tr w:rsidR="00D22636" w:rsidRPr="00237B91" w14:paraId="0FCDCDDF" w14:textId="77777777" w:rsidTr="00A94EBA">
        <w:tc>
          <w:tcPr>
            <w:tcW w:w="5387" w:type="dxa"/>
            <w:shd w:val="clear" w:color="auto" w:fill="auto"/>
          </w:tcPr>
          <w:p w14:paraId="603021CA" w14:textId="77777777" w:rsidR="00D22636" w:rsidRPr="00237B91" w:rsidRDefault="00D22636" w:rsidP="00237B91">
            <w:pPr>
              <w:jc w:val="both"/>
              <w:rPr>
                <w:rFonts w:ascii="Book Antiqua" w:hAnsi="Book Antiqua" w:cs="Arial"/>
                <w:b/>
              </w:rPr>
            </w:pPr>
            <w:r w:rsidRPr="00237B91">
              <w:rPr>
                <w:rFonts w:ascii="Book Antiqua" w:hAnsi="Book Antiqua" w:cs="Arial"/>
                <w:b/>
              </w:rPr>
              <w:t xml:space="preserve">On </w:t>
            </w:r>
            <w:r w:rsidR="00F60B5C">
              <w:rPr>
                <w:rFonts w:ascii="Book Antiqua" w:hAnsi="Book Antiqua" w:cs="Arial"/>
                <w:b/>
              </w:rPr>
              <w:t>23</w:t>
            </w:r>
            <w:r w:rsidR="00F60B5C" w:rsidRPr="00F60B5C">
              <w:rPr>
                <w:rFonts w:ascii="Book Antiqua" w:hAnsi="Book Antiqua" w:cs="Arial"/>
                <w:b/>
                <w:vertAlign w:val="superscript"/>
              </w:rPr>
              <w:t>rd</w:t>
            </w:r>
            <w:r w:rsidR="00F60B5C">
              <w:rPr>
                <w:rFonts w:ascii="Book Antiqua" w:hAnsi="Book Antiqua" w:cs="Arial"/>
                <w:b/>
              </w:rPr>
              <w:t xml:space="preserve"> October 2020</w:t>
            </w:r>
          </w:p>
        </w:tc>
        <w:tc>
          <w:tcPr>
            <w:tcW w:w="4621" w:type="dxa"/>
            <w:shd w:val="clear" w:color="auto" w:fill="auto"/>
          </w:tcPr>
          <w:p w14:paraId="318D2B95" w14:textId="5005EE59" w:rsidR="00D22636" w:rsidRPr="00237B91" w:rsidRDefault="00A14D67" w:rsidP="00237B91">
            <w:pPr>
              <w:jc w:val="both"/>
              <w:rPr>
                <w:rFonts w:ascii="Book Antiqua" w:hAnsi="Book Antiqua" w:cs="Arial"/>
                <w:b/>
              </w:rPr>
            </w:pPr>
            <w:r>
              <w:rPr>
                <w:rFonts w:ascii="Book Antiqua" w:hAnsi="Book Antiqua" w:cs="Arial"/>
                <w:b/>
              </w:rPr>
              <w:t>On 24</w:t>
            </w:r>
            <w:r w:rsidRPr="00A14D67">
              <w:rPr>
                <w:rFonts w:ascii="Book Antiqua" w:hAnsi="Book Antiqua" w:cs="Arial"/>
                <w:b/>
                <w:vertAlign w:val="superscript"/>
              </w:rPr>
              <w:t>th</w:t>
            </w:r>
            <w:r>
              <w:rPr>
                <w:rFonts w:ascii="Book Antiqua" w:hAnsi="Book Antiqua" w:cs="Arial"/>
                <w:b/>
              </w:rPr>
              <w:t xml:space="preserve"> November 2020</w:t>
            </w:r>
          </w:p>
        </w:tc>
      </w:tr>
      <w:tr w:rsidR="00D22636" w:rsidRPr="00237B91" w14:paraId="254FBEE1" w14:textId="77777777" w:rsidTr="00A94EBA">
        <w:tc>
          <w:tcPr>
            <w:tcW w:w="5387" w:type="dxa"/>
            <w:shd w:val="clear" w:color="auto" w:fill="auto"/>
          </w:tcPr>
          <w:p w14:paraId="655F9636" w14:textId="77777777" w:rsidR="00D22636" w:rsidRPr="00237B91" w:rsidRDefault="00D22636" w:rsidP="00237B91">
            <w:pPr>
              <w:jc w:val="both"/>
              <w:rPr>
                <w:rFonts w:ascii="Book Antiqua" w:hAnsi="Book Antiqua" w:cs="Arial"/>
                <w:b/>
              </w:rPr>
            </w:pPr>
          </w:p>
        </w:tc>
        <w:tc>
          <w:tcPr>
            <w:tcW w:w="4621" w:type="dxa"/>
            <w:shd w:val="clear" w:color="auto" w:fill="auto"/>
          </w:tcPr>
          <w:p w14:paraId="1F128A48" w14:textId="423182E6" w:rsidR="00D22636" w:rsidRPr="00237B91" w:rsidRDefault="00D22636" w:rsidP="00237B91">
            <w:pPr>
              <w:jc w:val="both"/>
              <w:rPr>
                <w:rFonts w:ascii="Book Antiqua" w:hAnsi="Book Antiqua" w:cs="Arial"/>
                <w:b/>
              </w:rPr>
            </w:pPr>
          </w:p>
        </w:tc>
      </w:tr>
    </w:tbl>
    <w:p w14:paraId="7F5A8597" w14:textId="77777777" w:rsidR="00A15234" w:rsidRPr="00C4371F" w:rsidRDefault="00A15234" w:rsidP="00A15234">
      <w:pPr>
        <w:jc w:val="center"/>
        <w:rPr>
          <w:rFonts w:ascii="Book Antiqua" w:hAnsi="Book Antiqua" w:cs="Arial"/>
        </w:rPr>
      </w:pPr>
    </w:p>
    <w:p w14:paraId="4EC3F97A" w14:textId="77777777" w:rsidR="00A15234" w:rsidRPr="00C4371F" w:rsidRDefault="00A15234" w:rsidP="00A15234">
      <w:pPr>
        <w:jc w:val="center"/>
        <w:rPr>
          <w:rFonts w:ascii="Book Antiqua" w:hAnsi="Book Antiqua" w:cs="Arial"/>
        </w:rPr>
      </w:pPr>
    </w:p>
    <w:p w14:paraId="4F468E78" w14:textId="77777777" w:rsidR="00A15234" w:rsidRPr="00C4371F" w:rsidRDefault="00207617" w:rsidP="00A15234">
      <w:pPr>
        <w:jc w:val="center"/>
        <w:rPr>
          <w:rFonts w:ascii="Book Antiqua" w:hAnsi="Book Antiqua" w:cs="Arial"/>
          <w:b/>
        </w:rPr>
      </w:pPr>
      <w:r w:rsidRPr="00C4371F">
        <w:rPr>
          <w:rFonts w:ascii="Book Antiqua" w:hAnsi="Book Antiqua" w:cs="Arial"/>
          <w:b/>
        </w:rPr>
        <w:t>Befo</w:t>
      </w:r>
      <w:r w:rsidR="00A15234" w:rsidRPr="00C4371F">
        <w:rPr>
          <w:rFonts w:ascii="Book Antiqua" w:hAnsi="Book Antiqua" w:cs="Arial"/>
          <w:b/>
        </w:rPr>
        <w:t>re</w:t>
      </w:r>
    </w:p>
    <w:p w14:paraId="60D46091" w14:textId="77777777" w:rsidR="00A15234" w:rsidRDefault="00A15234" w:rsidP="00A15234">
      <w:pPr>
        <w:jc w:val="center"/>
        <w:rPr>
          <w:rFonts w:ascii="Book Antiqua" w:hAnsi="Book Antiqua" w:cs="Arial"/>
          <w:b/>
        </w:rPr>
      </w:pPr>
    </w:p>
    <w:p w14:paraId="4E8985BF" w14:textId="77777777" w:rsidR="00A845DC" w:rsidRDefault="00F275BD" w:rsidP="00A15234">
      <w:pPr>
        <w:jc w:val="center"/>
        <w:rPr>
          <w:rFonts w:ascii="Book Antiqua" w:hAnsi="Book Antiqua" w:cs="Arial"/>
          <w:b/>
        </w:rPr>
      </w:pPr>
      <w:r>
        <w:rPr>
          <w:rFonts w:ascii="Book Antiqua" w:hAnsi="Book Antiqua" w:cs="Arial"/>
          <w:b/>
        </w:rPr>
        <w:t xml:space="preserve">UPPER TRIBUNAL JUDGE </w:t>
      </w:r>
      <w:r w:rsidR="00F22153" w:rsidRPr="00C4371F">
        <w:rPr>
          <w:rFonts w:ascii="Book Antiqua" w:hAnsi="Book Antiqua" w:cs="Arial"/>
          <w:b/>
        </w:rPr>
        <w:t>RIMINGTON</w:t>
      </w:r>
    </w:p>
    <w:p w14:paraId="0CDCDFE2" w14:textId="77777777" w:rsidR="00485E21" w:rsidRPr="00C4371F" w:rsidRDefault="00485E21" w:rsidP="00A15234">
      <w:pPr>
        <w:jc w:val="center"/>
        <w:rPr>
          <w:rFonts w:ascii="Book Antiqua" w:hAnsi="Book Antiqua" w:cs="Arial"/>
          <w:b/>
        </w:rPr>
      </w:pPr>
    </w:p>
    <w:p w14:paraId="10859F5F" w14:textId="77777777" w:rsidR="00A845DC" w:rsidRPr="00C4371F" w:rsidRDefault="00A845DC" w:rsidP="00A15234">
      <w:pPr>
        <w:jc w:val="center"/>
        <w:rPr>
          <w:rFonts w:ascii="Book Antiqua" w:hAnsi="Book Antiqua" w:cs="Arial"/>
          <w:b/>
        </w:rPr>
      </w:pPr>
      <w:r w:rsidRPr="00C4371F">
        <w:rPr>
          <w:rFonts w:ascii="Book Antiqua" w:hAnsi="Book Antiqua" w:cs="Arial"/>
          <w:b/>
        </w:rPr>
        <w:t>Between</w:t>
      </w:r>
    </w:p>
    <w:p w14:paraId="713FB0D0" w14:textId="77777777" w:rsidR="00A845DC" w:rsidRPr="00C4371F" w:rsidRDefault="00A845DC" w:rsidP="00A15234">
      <w:pPr>
        <w:jc w:val="center"/>
        <w:rPr>
          <w:rFonts w:ascii="Book Antiqua" w:hAnsi="Book Antiqua" w:cs="Arial"/>
          <w:b/>
        </w:rPr>
      </w:pPr>
    </w:p>
    <w:p w14:paraId="336F0955" w14:textId="77777777" w:rsidR="00704B61" w:rsidRPr="00F60B5C" w:rsidRDefault="00F60B5C" w:rsidP="00F60B5C">
      <w:pPr>
        <w:jc w:val="center"/>
        <w:rPr>
          <w:rFonts w:ascii="Book Antiqua" w:hAnsi="Book Antiqua" w:cs="Arial"/>
          <w:b/>
          <w:caps/>
        </w:rPr>
      </w:pPr>
      <w:r>
        <w:rPr>
          <w:rFonts w:ascii="Book Antiqua" w:hAnsi="Book Antiqua" w:cs="Arial"/>
          <w:b/>
          <w:caps/>
        </w:rPr>
        <w:t xml:space="preserve">THE Secretary of State FOR THE Home Department </w:t>
      </w:r>
    </w:p>
    <w:p w14:paraId="45C5DFC4" w14:textId="77777777" w:rsidR="00704B61" w:rsidRPr="00C4371F" w:rsidRDefault="00704B61" w:rsidP="00704B61">
      <w:pPr>
        <w:jc w:val="right"/>
        <w:rPr>
          <w:rFonts w:ascii="Book Antiqua" w:hAnsi="Book Antiqua" w:cs="Arial"/>
          <w:u w:val="single"/>
        </w:rPr>
      </w:pPr>
      <w:r w:rsidRPr="00C4371F">
        <w:rPr>
          <w:rFonts w:ascii="Book Antiqua" w:hAnsi="Book Antiqua" w:cs="Arial"/>
          <w:u w:val="single"/>
        </w:rPr>
        <w:t>Appellant</w:t>
      </w:r>
    </w:p>
    <w:p w14:paraId="53262C88" w14:textId="77777777" w:rsidR="00704B61" w:rsidRPr="00C4371F" w:rsidRDefault="00DD5071" w:rsidP="00704B61">
      <w:pPr>
        <w:jc w:val="center"/>
        <w:rPr>
          <w:rFonts w:ascii="Book Antiqua" w:hAnsi="Book Antiqua" w:cs="Arial"/>
          <w:b/>
        </w:rPr>
      </w:pPr>
      <w:r w:rsidRPr="00C4371F">
        <w:rPr>
          <w:rFonts w:ascii="Book Antiqua" w:hAnsi="Book Antiqua" w:cs="Arial"/>
          <w:b/>
        </w:rPr>
        <w:t>and</w:t>
      </w:r>
    </w:p>
    <w:p w14:paraId="7A873E6F" w14:textId="77777777" w:rsidR="00DD5071" w:rsidRPr="00C4371F" w:rsidRDefault="00DD5071" w:rsidP="00704B61">
      <w:pPr>
        <w:jc w:val="center"/>
        <w:rPr>
          <w:rFonts w:ascii="Book Antiqua" w:hAnsi="Book Antiqua" w:cs="Arial"/>
          <w:b/>
        </w:rPr>
      </w:pPr>
    </w:p>
    <w:p w14:paraId="31733125" w14:textId="77777777" w:rsidR="00DD5071" w:rsidRPr="00C4371F" w:rsidRDefault="00F60B5C" w:rsidP="00704B61">
      <w:pPr>
        <w:jc w:val="center"/>
        <w:rPr>
          <w:rFonts w:ascii="Book Antiqua" w:hAnsi="Book Antiqua" w:cs="Arial"/>
          <w:b/>
        </w:rPr>
      </w:pPr>
      <w:r>
        <w:rPr>
          <w:rFonts w:ascii="Book Antiqua" w:hAnsi="Book Antiqua" w:cs="Arial"/>
          <w:b/>
        </w:rPr>
        <w:t>Mr CEN BAJRAMAJ</w:t>
      </w:r>
    </w:p>
    <w:p w14:paraId="2B3125FE" w14:textId="74E4D7D4" w:rsidR="00DD5071" w:rsidRPr="00A94EBA" w:rsidRDefault="00F60B5C" w:rsidP="00F60B5C">
      <w:pPr>
        <w:jc w:val="center"/>
        <w:rPr>
          <w:rFonts w:ascii="Book Antiqua" w:hAnsi="Book Antiqua" w:cs="Arial"/>
          <w:caps/>
        </w:rPr>
      </w:pPr>
      <w:r w:rsidRPr="00A94EBA">
        <w:rPr>
          <w:rFonts w:ascii="Book Antiqua" w:hAnsi="Book Antiqua" w:cs="Arial"/>
          <w:caps/>
        </w:rPr>
        <w:t>(aNONYMITY DIRECTION</w:t>
      </w:r>
      <w:r w:rsidR="00CE4C85" w:rsidRPr="00A94EBA">
        <w:rPr>
          <w:rFonts w:ascii="Book Antiqua" w:hAnsi="Book Antiqua" w:cs="Arial"/>
          <w:caps/>
        </w:rPr>
        <w:t xml:space="preserve"> NOT MADE</w:t>
      </w:r>
      <w:r w:rsidRPr="00A94EBA">
        <w:rPr>
          <w:rFonts w:ascii="Book Antiqua" w:hAnsi="Book Antiqua" w:cs="Arial"/>
          <w:caps/>
        </w:rPr>
        <w:t>)</w:t>
      </w:r>
    </w:p>
    <w:p w14:paraId="178B5B0A" w14:textId="77777777" w:rsidR="00DD5071" w:rsidRPr="00C4371F" w:rsidRDefault="00DD5071" w:rsidP="00DD5071">
      <w:pPr>
        <w:jc w:val="right"/>
        <w:rPr>
          <w:rFonts w:ascii="Book Antiqua" w:hAnsi="Book Antiqua" w:cs="Arial"/>
          <w:u w:val="single"/>
        </w:rPr>
      </w:pPr>
      <w:r w:rsidRPr="00C4371F">
        <w:rPr>
          <w:rFonts w:ascii="Book Antiqua" w:hAnsi="Book Antiqua" w:cs="Arial"/>
          <w:u w:val="single"/>
        </w:rPr>
        <w:t>Respondent</w:t>
      </w:r>
    </w:p>
    <w:p w14:paraId="58305956" w14:textId="77777777" w:rsidR="00DD5071" w:rsidRPr="00C4371F" w:rsidRDefault="00DD5071" w:rsidP="00DD5071">
      <w:pPr>
        <w:rPr>
          <w:rFonts w:ascii="Book Antiqua" w:hAnsi="Book Antiqua" w:cs="Arial"/>
          <w:u w:val="single"/>
        </w:rPr>
      </w:pPr>
    </w:p>
    <w:p w14:paraId="51E015C0" w14:textId="77777777" w:rsidR="00DD5071" w:rsidRPr="00C4371F" w:rsidRDefault="00DD5071" w:rsidP="00DD5071">
      <w:pPr>
        <w:rPr>
          <w:rFonts w:ascii="Book Antiqua" w:hAnsi="Book Antiqua" w:cs="Arial"/>
          <w:u w:val="single"/>
        </w:rPr>
      </w:pPr>
    </w:p>
    <w:p w14:paraId="1CAF5AF7" w14:textId="77777777" w:rsidR="00DD5071" w:rsidRPr="00C4371F" w:rsidRDefault="00DE7DB7" w:rsidP="00DD5071">
      <w:pPr>
        <w:rPr>
          <w:rFonts w:ascii="Book Antiqua" w:hAnsi="Book Antiqua" w:cs="Arial"/>
        </w:rPr>
      </w:pPr>
      <w:r w:rsidRPr="00C4371F">
        <w:rPr>
          <w:rFonts w:ascii="Book Antiqua" w:hAnsi="Book Antiqua" w:cs="Arial"/>
          <w:b/>
          <w:u w:val="single"/>
        </w:rPr>
        <w:t>Representation</w:t>
      </w:r>
      <w:r w:rsidRPr="00C4371F">
        <w:rPr>
          <w:rFonts w:ascii="Book Antiqua" w:hAnsi="Book Antiqua" w:cs="Arial"/>
          <w:b/>
        </w:rPr>
        <w:t>:</w:t>
      </w:r>
    </w:p>
    <w:p w14:paraId="0E418502" w14:textId="77777777" w:rsidR="00DE7DB7" w:rsidRPr="00C4371F" w:rsidRDefault="00DE7DB7" w:rsidP="00DD5071">
      <w:pPr>
        <w:rPr>
          <w:rFonts w:ascii="Book Antiqua" w:hAnsi="Book Antiqua" w:cs="Arial"/>
        </w:rPr>
      </w:pPr>
    </w:p>
    <w:p w14:paraId="029857F3" w14:textId="77777777" w:rsidR="00DE7DB7" w:rsidRPr="00C4371F" w:rsidRDefault="00DE7DB7" w:rsidP="00DE7DB7">
      <w:pPr>
        <w:tabs>
          <w:tab w:val="left" w:pos="2520"/>
        </w:tabs>
        <w:rPr>
          <w:rFonts w:ascii="Book Antiqua" w:hAnsi="Book Antiqua" w:cs="Arial"/>
        </w:rPr>
      </w:pPr>
      <w:r w:rsidRPr="00C4371F">
        <w:rPr>
          <w:rFonts w:ascii="Book Antiqua" w:hAnsi="Book Antiqua" w:cs="Arial"/>
        </w:rPr>
        <w:t>For the Appellant:</w:t>
      </w:r>
      <w:r w:rsidRPr="00C4371F">
        <w:rPr>
          <w:rFonts w:ascii="Book Antiqua" w:hAnsi="Book Antiqua" w:cs="Arial"/>
        </w:rPr>
        <w:tab/>
      </w:r>
      <w:r w:rsidR="00F60B5C">
        <w:rPr>
          <w:rFonts w:ascii="Book Antiqua" w:hAnsi="Book Antiqua" w:cs="Arial"/>
        </w:rPr>
        <w:t xml:space="preserve">Ms S Cunha, Home Office Presenting Officer </w:t>
      </w:r>
    </w:p>
    <w:p w14:paraId="2972BDED" w14:textId="77777777" w:rsidR="00DE7DB7" w:rsidRPr="00C4371F" w:rsidRDefault="00DE7DB7" w:rsidP="00DE7DB7">
      <w:pPr>
        <w:tabs>
          <w:tab w:val="left" w:pos="2520"/>
        </w:tabs>
        <w:rPr>
          <w:rFonts w:ascii="Book Antiqua" w:hAnsi="Book Antiqua" w:cs="Arial"/>
        </w:rPr>
      </w:pPr>
      <w:r w:rsidRPr="00C4371F">
        <w:rPr>
          <w:rFonts w:ascii="Book Antiqua" w:hAnsi="Book Antiqua" w:cs="Arial"/>
        </w:rPr>
        <w:t>For the Respondent:</w:t>
      </w:r>
      <w:r w:rsidRPr="00C4371F">
        <w:rPr>
          <w:rFonts w:ascii="Book Antiqua" w:hAnsi="Book Antiqua" w:cs="Arial"/>
        </w:rPr>
        <w:tab/>
      </w:r>
      <w:r w:rsidR="00F60B5C">
        <w:rPr>
          <w:rFonts w:ascii="Book Antiqua" w:hAnsi="Book Antiqua" w:cs="Arial"/>
        </w:rPr>
        <w:t xml:space="preserve">Ms H Foot instructed by Oliver &amp; </w:t>
      </w:r>
      <w:proofErr w:type="spellStart"/>
      <w:r w:rsidR="00F60B5C">
        <w:rPr>
          <w:rFonts w:ascii="Book Antiqua" w:hAnsi="Book Antiqua" w:cs="Arial"/>
        </w:rPr>
        <w:t>Hasani</w:t>
      </w:r>
      <w:proofErr w:type="spellEnd"/>
      <w:r w:rsidR="00F60B5C">
        <w:rPr>
          <w:rFonts w:ascii="Book Antiqua" w:hAnsi="Book Antiqua" w:cs="Arial"/>
        </w:rPr>
        <w:t xml:space="preserve"> Solicitors (Queensbury)</w:t>
      </w:r>
    </w:p>
    <w:p w14:paraId="31ECECDD" w14:textId="77777777" w:rsidR="00DE7DB7" w:rsidRPr="00C4371F" w:rsidRDefault="00DE7DB7" w:rsidP="00402B9E">
      <w:pPr>
        <w:tabs>
          <w:tab w:val="left" w:pos="2520"/>
        </w:tabs>
        <w:jc w:val="center"/>
        <w:rPr>
          <w:rFonts w:ascii="Book Antiqua" w:hAnsi="Book Antiqua" w:cs="Arial"/>
        </w:rPr>
      </w:pPr>
    </w:p>
    <w:p w14:paraId="6947BADE" w14:textId="77777777" w:rsidR="00DE7DB7" w:rsidRPr="00C4371F" w:rsidRDefault="00DE7DB7" w:rsidP="00402B9E">
      <w:pPr>
        <w:tabs>
          <w:tab w:val="left" w:pos="2520"/>
        </w:tabs>
        <w:jc w:val="center"/>
        <w:rPr>
          <w:rFonts w:ascii="Book Antiqua" w:hAnsi="Book Antiqua" w:cs="Arial"/>
        </w:rPr>
      </w:pPr>
    </w:p>
    <w:p w14:paraId="7FD8B5A7" w14:textId="77777777" w:rsidR="00DE7DB7" w:rsidRPr="00C4371F" w:rsidRDefault="00DA1C64"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4371F">
        <w:rPr>
          <w:rFonts w:ascii="Book Antiqua" w:hAnsi="Book Antiqua" w:cs="Arial"/>
          <w:b/>
          <w:u w:val="single"/>
        </w:rPr>
        <w:t>AND REASONS</w:t>
      </w:r>
    </w:p>
    <w:p w14:paraId="37BDD429" w14:textId="77777777" w:rsidR="00402B9E" w:rsidRPr="00C4371F" w:rsidRDefault="00402B9E" w:rsidP="00402B9E">
      <w:pPr>
        <w:tabs>
          <w:tab w:val="left" w:pos="2520"/>
        </w:tabs>
        <w:jc w:val="both"/>
        <w:rPr>
          <w:rFonts w:ascii="Book Antiqua" w:hAnsi="Book Antiqua" w:cs="Arial"/>
        </w:rPr>
      </w:pPr>
    </w:p>
    <w:p w14:paraId="4D71E9E6" w14:textId="77777777" w:rsidR="00857D7C" w:rsidRDefault="00F60B5C" w:rsidP="00857D7C">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application for permission to appeal was made by the Secretary of State but nonetheless I shall refer to the parties as they were described before the First-tier Tribunal, that is Mr </w:t>
      </w:r>
      <w:proofErr w:type="spellStart"/>
      <w:r>
        <w:rPr>
          <w:rFonts w:ascii="Book Antiqua" w:hAnsi="Book Antiqua" w:cs="Arial"/>
        </w:rPr>
        <w:t>Bajramaj</w:t>
      </w:r>
      <w:proofErr w:type="spellEnd"/>
      <w:r>
        <w:rPr>
          <w:rFonts w:ascii="Book Antiqua" w:hAnsi="Book Antiqua" w:cs="Arial"/>
        </w:rPr>
        <w:t xml:space="preserve"> as the appellant and the Secretary of State as the respondent. </w:t>
      </w:r>
    </w:p>
    <w:p w14:paraId="5784DB78" w14:textId="77777777" w:rsidR="00E404D0" w:rsidRDefault="00F60B5C" w:rsidP="00857D7C">
      <w:pPr>
        <w:numPr>
          <w:ilvl w:val="0"/>
          <w:numId w:val="1"/>
        </w:numPr>
        <w:tabs>
          <w:tab w:val="clear" w:pos="720"/>
        </w:tabs>
        <w:spacing w:before="240"/>
        <w:ind w:left="567" w:hanging="567"/>
        <w:jc w:val="both"/>
        <w:rPr>
          <w:rFonts w:ascii="Book Antiqua" w:hAnsi="Book Antiqua" w:cs="Arial"/>
        </w:rPr>
      </w:pPr>
      <w:r w:rsidRPr="00857D7C">
        <w:rPr>
          <w:rFonts w:ascii="Book Antiqua" w:hAnsi="Book Antiqua" w:cs="Arial"/>
        </w:rPr>
        <w:t xml:space="preserve">The Secretary of State appeals with permission against the decision of First-tier Tribunal Judge </w:t>
      </w:r>
      <w:proofErr w:type="spellStart"/>
      <w:r w:rsidRPr="00857D7C">
        <w:rPr>
          <w:rFonts w:ascii="Book Antiqua" w:hAnsi="Book Antiqua" w:cs="Arial"/>
        </w:rPr>
        <w:t>Swaney</w:t>
      </w:r>
      <w:proofErr w:type="spellEnd"/>
      <w:r w:rsidRPr="00857D7C">
        <w:rPr>
          <w:rFonts w:ascii="Book Antiqua" w:hAnsi="Book Antiqua" w:cs="Arial"/>
        </w:rPr>
        <w:t xml:space="preserve"> who allowed the appeal of the appellant against the decision </w:t>
      </w:r>
      <w:r w:rsidRPr="00857D7C">
        <w:rPr>
          <w:rFonts w:ascii="Book Antiqua" w:hAnsi="Book Antiqua" w:cs="Arial"/>
        </w:rPr>
        <w:lastRenderedPageBreak/>
        <w:t xml:space="preserve">to deprive his British citizenship under Section 40(3) of the British Nationality Act 1981.  </w:t>
      </w:r>
    </w:p>
    <w:p w14:paraId="60161ED6" w14:textId="684B23B5" w:rsidR="00E404D0" w:rsidRPr="00E404D0" w:rsidRDefault="00E404D0" w:rsidP="00E404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appellant had before the First-tier Tribunal accepted that he had committed fraud, namely claiming asylum on 8</w:t>
      </w:r>
      <w:r w:rsidRPr="00C66096">
        <w:rPr>
          <w:rFonts w:ascii="Book Antiqua" w:hAnsi="Book Antiqua" w:cs="Arial"/>
          <w:vertAlign w:val="superscript"/>
        </w:rPr>
        <w:t>th</w:t>
      </w:r>
      <w:r>
        <w:rPr>
          <w:rFonts w:ascii="Book Antiqua" w:hAnsi="Book Antiqua" w:cs="Arial"/>
        </w:rPr>
        <w:t xml:space="preserve"> January 1999 on the basis of being born in Kosovo on 6</w:t>
      </w:r>
      <w:r w:rsidRPr="00C66096">
        <w:rPr>
          <w:rFonts w:ascii="Book Antiqua" w:hAnsi="Book Antiqua" w:cs="Arial"/>
          <w:vertAlign w:val="superscript"/>
        </w:rPr>
        <w:t>th</w:t>
      </w:r>
      <w:r>
        <w:rPr>
          <w:rFonts w:ascii="Book Antiqua" w:hAnsi="Book Antiqua" w:cs="Arial"/>
        </w:rPr>
        <w:t xml:space="preserve"> June 1955 whereas in fact he was born in Albania on 3</w:t>
      </w:r>
      <w:r w:rsidRPr="00C66096">
        <w:rPr>
          <w:rFonts w:ascii="Book Antiqua" w:hAnsi="Book Antiqua" w:cs="Arial"/>
          <w:vertAlign w:val="superscript"/>
        </w:rPr>
        <w:t>rd</w:t>
      </w:r>
      <w:r>
        <w:rPr>
          <w:rFonts w:ascii="Book Antiqua" w:hAnsi="Book Antiqua" w:cs="Arial"/>
        </w:rPr>
        <w:t xml:space="preserve"> June 1955.  The appellant presented these false details </w:t>
      </w:r>
      <w:r w:rsidR="009B0B56">
        <w:rPr>
          <w:rFonts w:ascii="Book Antiqua" w:hAnsi="Book Antiqua" w:cs="Arial"/>
        </w:rPr>
        <w:t>in</w:t>
      </w:r>
      <w:r>
        <w:rPr>
          <w:rFonts w:ascii="Book Antiqua" w:hAnsi="Book Antiqua" w:cs="Arial"/>
        </w:rPr>
        <w:t xml:space="preserve"> subsequent applications for indefinite leave to remain (IRL) and citizenship in 2002 and 2005 respectively.  He was granted British citizenship in 2005.  </w:t>
      </w:r>
      <w:r w:rsidRPr="00E404D0">
        <w:rPr>
          <w:rFonts w:ascii="Book Antiqua" w:hAnsi="Book Antiqua" w:cs="Arial"/>
        </w:rPr>
        <w:t>On 27</w:t>
      </w:r>
      <w:r w:rsidRPr="00E404D0">
        <w:rPr>
          <w:rFonts w:ascii="Book Antiqua" w:hAnsi="Book Antiqua" w:cs="Arial"/>
          <w:vertAlign w:val="superscript"/>
        </w:rPr>
        <w:t>th</w:t>
      </w:r>
      <w:r w:rsidRPr="00E404D0">
        <w:rPr>
          <w:rFonts w:ascii="Book Antiqua" w:hAnsi="Book Antiqua" w:cs="Arial"/>
        </w:rPr>
        <w:t xml:space="preserve"> June 2018 the respondent wrote to the appellant stating that the action to deprive him that citizenship was being considered and invited him to make representations as to why he should not deprive the appellant of his citizenship.  Following representations his claim was refused and the appellant </w:t>
      </w:r>
      <w:r w:rsidR="00C746A6" w:rsidRPr="00E404D0">
        <w:rPr>
          <w:rFonts w:ascii="Book Antiqua" w:hAnsi="Book Antiqua" w:cs="Arial"/>
        </w:rPr>
        <w:t>appealed,</w:t>
      </w:r>
      <w:r>
        <w:rPr>
          <w:rFonts w:ascii="Book Antiqua" w:hAnsi="Book Antiqua" w:cs="Arial"/>
        </w:rPr>
        <w:t xml:space="preserve"> and First-tier Tribunal Judge </w:t>
      </w:r>
      <w:proofErr w:type="spellStart"/>
      <w:r>
        <w:rPr>
          <w:rFonts w:ascii="Book Antiqua" w:hAnsi="Book Antiqua" w:cs="Arial"/>
        </w:rPr>
        <w:t>Swaney</w:t>
      </w:r>
      <w:proofErr w:type="spellEnd"/>
      <w:r>
        <w:rPr>
          <w:rFonts w:ascii="Book Antiqua" w:hAnsi="Book Antiqua" w:cs="Arial"/>
        </w:rPr>
        <w:t xml:space="preserve"> allowed his appeal. </w:t>
      </w:r>
    </w:p>
    <w:p w14:paraId="0880F28E" w14:textId="548398AC" w:rsidR="00F60B5C" w:rsidRPr="00857D7C" w:rsidRDefault="00F60B5C" w:rsidP="00857D7C">
      <w:pPr>
        <w:numPr>
          <w:ilvl w:val="0"/>
          <w:numId w:val="1"/>
        </w:numPr>
        <w:tabs>
          <w:tab w:val="clear" w:pos="720"/>
        </w:tabs>
        <w:spacing w:before="240"/>
        <w:ind w:left="567" w:hanging="567"/>
        <w:jc w:val="both"/>
        <w:rPr>
          <w:rFonts w:ascii="Book Antiqua" w:hAnsi="Book Antiqua" w:cs="Arial"/>
        </w:rPr>
      </w:pPr>
      <w:r w:rsidRPr="00857D7C">
        <w:rPr>
          <w:rFonts w:ascii="Book Antiqua" w:hAnsi="Book Antiqua" w:cs="Arial"/>
        </w:rPr>
        <w:t xml:space="preserve">It is was submitted that </w:t>
      </w:r>
      <w:r w:rsidR="00857D7C">
        <w:rPr>
          <w:rFonts w:ascii="Book Antiqua" w:hAnsi="Book Antiqua" w:cs="Arial"/>
        </w:rPr>
        <w:t xml:space="preserve">the appeal involved the application of </w:t>
      </w:r>
      <w:proofErr w:type="spellStart"/>
      <w:r w:rsidR="00857D7C" w:rsidRPr="00857D7C">
        <w:rPr>
          <w:rFonts w:ascii="Book Antiqua" w:hAnsi="Book Antiqua"/>
          <w:b/>
          <w:color w:val="000000"/>
          <w:u w:val="single"/>
        </w:rPr>
        <w:t>Hysaj</w:t>
      </w:r>
      <w:proofErr w:type="spellEnd"/>
      <w:r w:rsidR="00857D7C" w:rsidRPr="00857D7C">
        <w:rPr>
          <w:rFonts w:ascii="Book Antiqua" w:hAnsi="Book Antiqua"/>
          <w:b/>
          <w:color w:val="000000"/>
          <w:u w:val="single"/>
        </w:rPr>
        <w:t xml:space="preserve"> (Deprivation of Citizenship: Delay)</w:t>
      </w:r>
      <w:r w:rsidR="00857D7C" w:rsidRPr="00857D7C">
        <w:rPr>
          <w:rFonts w:ascii="Book Antiqua" w:hAnsi="Book Antiqua"/>
          <w:bCs/>
          <w:color w:val="000000"/>
        </w:rPr>
        <w:t xml:space="preserve"> [2020] UKUT 00128 (IAC)</w:t>
      </w:r>
      <w:r w:rsidR="00857D7C">
        <w:rPr>
          <w:rFonts w:ascii="Book Antiqua" w:hAnsi="Book Antiqua"/>
          <w:bCs/>
          <w:color w:val="000000"/>
        </w:rPr>
        <w:t xml:space="preserve"> and  the judge erred</w:t>
      </w:r>
      <w:r w:rsidRPr="00857D7C">
        <w:rPr>
          <w:rFonts w:ascii="Book Antiqua" w:hAnsi="Book Antiqua" w:cs="Arial"/>
        </w:rPr>
        <w:t xml:space="preserve"> on the following grounds:</w:t>
      </w:r>
    </w:p>
    <w:p w14:paraId="55E5D3E7" w14:textId="77777777" w:rsidR="00AF2DEB" w:rsidRDefault="00F60B5C" w:rsidP="00AF2DEB">
      <w:pPr>
        <w:spacing w:before="240"/>
        <w:ind w:left="1701" w:hanging="567"/>
        <w:jc w:val="both"/>
        <w:rPr>
          <w:rFonts w:ascii="Book Antiqua" w:hAnsi="Book Antiqua" w:cs="Arial"/>
        </w:rPr>
      </w:pPr>
      <w:r>
        <w:rPr>
          <w:rFonts w:ascii="Book Antiqua" w:hAnsi="Book Antiqua" w:cs="Arial"/>
        </w:rPr>
        <w:t>“(1)</w:t>
      </w:r>
      <w:r>
        <w:rPr>
          <w:rFonts w:ascii="Book Antiqua" w:hAnsi="Book Antiqua" w:cs="Arial"/>
        </w:rPr>
        <w:tab/>
        <w:t>It appears from the flow of the determination that the appeal was allowed under Article 8 ECHR only.  The judge clearly stated at paragraph 33 that there was a material misrepresentation and that the respondent was entitled to exercise power to deprive the appellant on his British citizenship but the judge did not materially or specifically engage with this issue.</w:t>
      </w:r>
    </w:p>
    <w:p w14:paraId="6CFF2619" w14:textId="77777777" w:rsidR="00AF2DEB" w:rsidRDefault="00AF2DEB" w:rsidP="00AF2DEB">
      <w:pPr>
        <w:spacing w:before="240"/>
        <w:ind w:left="1701" w:hanging="567"/>
        <w:jc w:val="both"/>
        <w:rPr>
          <w:rFonts w:ascii="Book Antiqua" w:hAnsi="Book Antiqua" w:cs="Arial"/>
        </w:rPr>
      </w:pPr>
      <w:r>
        <w:rPr>
          <w:rFonts w:ascii="Book Antiqua" w:hAnsi="Book Antiqua" w:cs="Arial"/>
        </w:rPr>
        <w:t>(2)</w:t>
      </w:r>
      <w:r>
        <w:rPr>
          <w:rFonts w:ascii="Book Antiqua" w:hAnsi="Book Antiqua" w:cs="Arial"/>
        </w:rPr>
        <w:tab/>
      </w:r>
      <w:r w:rsidR="002D006F">
        <w:rPr>
          <w:rFonts w:ascii="Book Antiqua" w:hAnsi="Book Antiqua" w:cs="Arial"/>
        </w:rPr>
        <w:t>Although it appears the Presenting Officer consented to the procedure there was clear</w:t>
      </w:r>
      <w:r w:rsidR="00457FBB">
        <w:rPr>
          <w:rFonts w:ascii="Book Antiqua" w:hAnsi="Book Antiqua" w:cs="Arial"/>
        </w:rPr>
        <w:t xml:space="preserve"> procedural impropriety at the hearing in that the appellant’s daughter </w:t>
      </w:r>
      <w:r>
        <w:rPr>
          <w:rFonts w:ascii="Book Antiqua" w:hAnsi="Book Antiqua" w:cs="Arial"/>
        </w:rPr>
        <w:t>interpreted and acted as the court interpreter which was procedurally wrong.  The judge made findings with respect to the appellant’s wife’s mental health issues but there was no evidence whatsoever in the form of medical reports of any type and the judge relied on oral evidence interpreted by the appellant’s daughter and evidence given by his daughter and the appellant.  It was trite law that where documents could be reasonably produced they should be.</w:t>
      </w:r>
    </w:p>
    <w:p w14:paraId="13657D7A" w14:textId="77777777" w:rsidR="00AF2DEB" w:rsidRDefault="00AF2DEB" w:rsidP="00AF2DEB">
      <w:pPr>
        <w:spacing w:before="240"/>
        <w:ind w:left="1701" w:hanging="567"/>
        <w:jc w:val="both"/>
        <w:rPr>
          <w:rFonts w:ascii="Book Antiqua" w:hAnsi="Book Antiqua" w:cs="Arial"/>
        </w:rPr>
      </w:pPr>
      <w:r>
        <w:rPr>
          <w:rFonts w:ascii="Book Antiqua" w:hAnsi="Book Antiqua" w:cs="Arial"/>
        </w:rPr>
        <w:t>(3)</w:t>
      </w:r>
      <w:r>
        <w:rPr>
          <w:rFonts w:ascii="Book Antiqua" w:hAnsi="Book Antiqua" w:cs="Arial"/>
        </w:rPr>
        <w:tab/>
      </w:r>
      <w:r w:rsidRPr="00AF2DEB">
        <w:rPr>
          <w:rFonts w:ascii="Book Antiqua" w:hAnsi="Book Antiqua" w:cs="Arial"/>
        </w:rPr>
        <w:t xml:space="preserve">There was no consideration or application of </w:t>
      </w:r>
      <w:proofErr w:type="spellStart"/>
      <w:r w:rsidRPr="00AF2DEB">
        <w:rPr>
          <w:rFonts w:ascii="Book Antiqua" w:hAnsi="Book Antiqua" w:cs="Arial"/>
          <w:b/>
          <w:u w:val="single"/>
        </w:rPr>
        <w:t>Hysaj</w:t>
      </w:r>
      <w:proofErr w:type="spellEnd"/>
      <w:r w:rsidRPr="00AF2DEB">
        <w:rPr>
          <w:rFonts w:ascii="Book Antiqua" w:hAnsi="Book Antiqua" w:cs="Arial"/>
        </w:rPr>
        <w:t xml:space="preserve"> anywhere in the determination and that guidance had clearly been ignored which was a clear error of law.</w:t>
      </w:r>
    </w:p>
    <w:p w14:paraId="378B767B" w14:textId="1D6D3188" w:rsidR="00AF2DEB" w:rsidRDefault="00AF2DEB" w:rsidP="00AF2DEB">
      <w:pPr>
        <w:spacing w:before="240"/>
        <w:ind w:left="1701" w:hanging="567"/>
        <w:jc w:val="both"/>
        <w:rPr>
          <w:rFonts w:ascii="Book Antiqua" w:hAnsi="Book Antiqua" w:cs="Arial"/>
        </w:rPr>
      </w:pPr>
      <w:r>
        <w:rPr>
          <w:rFonts w:ascii="Book Antiqua" w:hAnsi="Book Antiqua" w:cs="Arial"/>
        </w:rPr>
        <w:t>(4)</w:t>
      </w:r>
      <w:r>
        <w:rPr>
          <w:rFonts w:ascii="Book Antiqua" w:hAnsi="Book Antiqua" w:cs="Arial"/>
        </w:rPr>
        <w:tab/>
      </w:r>
      <w:r w:rsidR="00336D46">
        <w:rPr>
          <w:rFonts w:ascii="Book Antiqua" w:hAnsi="Book Antiqua" w:cs="Arial"/>
        </w:rPr>
        <w:t>E</w:t>
      </w:r>
      <w:r w:rsidRPr="00AF2DEB">
        <w:rPr>
          <w:rFonts w:ascii="Book Antiqua" w:hAnsi="Book Antiqua" w:cs="Arial"/>
        </w:rPr>
        <w:t xml:space="preserve">ven if the judge’s findings were correctly made on the application of </w:t>
      </w:r>
      <w:proofErr w:type="spellStart"/>
      <w:r w:rsidRPr="00AF2DEB">
        <w:rPr>
          <w:rFonts w:ascii="Book Antiqua" w:hAnsi="Book Antiqua" w:cs="Arial"/>
          <w:b/>
          <w:u w:val="single"/>
        </w:rPr>
        <w:t>Hysaj</w:t>
      </w:r>
      <w:proofErr w:type="spellEnd"/>
      <w:r w:rsidRPr="00AF2DEB">
        <w:rPr>
          <w:rFonts w:ascii="Book Antiqua" w:hAnsi="Book Antiqua" w:cs="Arial"/>
        </w:rPr>
        <w:t xml:space="preserve"> it was submitted that the appellant could not succeed.</w:t>
      </w:r>
    </w:p>
    <w:p w14:paraId="34CEEB3E" w14:textId="25A5B8FD" w:rsidR="00F60B5C" w:rsidRDefault="00AF2DEB" w:rsidP="00336D46">
      <w:pPr>
        <w:spacing w:before="240"/>
        <w:ind w:left="567"/>
        <w:jc w:val="both"/>
        <w:rPr>
          <w:rFonts w:ascii="Book Antiqua" w:hAnsi="Book Antiqua" w:cs="Arial"/>
        </w:rPr>
      </w:pPr>
      <w:r w:rsidRPr="00AF2DEB">
        <w:rPr>
          <w:rFonts w:ascii="Book Antiqua" w:hAnsi="Book Antiqua" w:cs="Arial"/>
        </w:rPr>
        <w:t>First-tier Tribunal Judge Saffer granted permission</w:t>
      </w:r>
      <w:r>
        <w:rPr>
          <w:rFonts w:ascii="Book Antiqua" w:hAnsi="Book Antiqua" w:cs="Arial"/>
        </w:rPr>
        <w:t xml:space="preserve"> on the basis that it was arguable even though the Presenting Officer consented</w:t>
      </w:r>
      <w:r w:rsidR="00336D46">
        <w:rPr>
          <w:rFonts w:ascii="Book Antiqua" w:hAnsi="Book Antiqua" w:cs="Arial"/>
        </w:rPr>
        <w:t>,</w:t>
      </w:r>
      <w:r>
        <w:rPr>
          <w:rFonts w:ascii="Book Antiqua" w:hAnsi="Book Antiqua" w:cs="Arial"/>
        </w:rPr>
        <w:t xml:space="preserve"> that there was a material error of law in the Tribunal using the appellant’s daughter who was a witness and gave evidence and therefore plainly not independent as the interpreter but there was no indication that the judge or either representative had the linguistic ability to ensure that [what] was being translated was accurate and </w:t>
      </w:r>
      <w:bookmarkStart w:id="0" w:name="_GoBack"/>
      <w:bookmarkEnd w:id="0"/>
      <w:r>
        <w:rPr>
          <w:rFonts w:ascii="Book Antiqua" w:hAnsi="Book Antiqua" w:cs="Arial"/>
        </w:rPr>
        <w:t xml:space="preserve">there was no independent interpreter to ensure </w:t>
      </w:r>
      <w:r>
        <w:rPr>
          <w:rFonts w:ascii="Book Antiqua" w:hAnsi="Book Antiqua" w:cs="Arial"/>
        </w:rPr>
        <w:lastRenderedPageBreak/>
        <w:t>that it was.</w:t>
      </w:r>
      <w:r w:rsidR="00336D46">
        <w:rPr>
          <w:rFonts w:ascii="Book Antiqua" w:hAnsi="Book Antiqua" w:cs="Arial"/>
        </w:rPr>
        <w:t xml:space="preserve">  </w:t>
      </w:r>
      <w:r>
        <w:rPr>
          <w:rFonts w:ascii="Book Antiqua" w:hAnsi="Book Antiqua" w:cs="Arial"/>
        </w:rPr>
        <w:t xml:space="preserve">It was </w:t>
      </w:r>
      <w:r w:rsidR="00336D46">
        <w:rPr>
          <w:rFonts w:ascii="Book Antiqua" w:hAnsi="Book Antiqua" w:cs="Arial"/>
        </w:rPr>
        <w:t xml:space="preserve">also </w:t>
      </w:r>
      <w:r>
        <w:rPr>
          <w:rFonts w:ascii="Book Antiqua" w:hAnsi="Book Antiqua" w:cs="Arial"/>
        </w:rPr>
        <w:t>arguable that the assessment of the hardship caused by the deprivation was inadequate for the reasons set out in the grounds.</w:t>
      </w:r>
      <w:r w:rsidR="00F60B5C" w:rsidRPr="00AF2DEB">
        <w:rPr>
          <w:rFonts w:ascii="Book Antiqua" w:hAnsi="Book Antiqua" w:cs="Arial"/>
        </w:rPr>
        <w:tab/>
      </w:r>
    </w:p>
    <w:p w14:paraId="01238384" w14:textId="399006C4" w:rsidR="00AF2DEB" w:rsidRDefault="00AF2DEB"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At the hearing before me Ms Foot who represented the appellant at the First-tier Tribunal confirmed that the daughter had assisted in a pre-hearing conference and that her evidence on benefits was not in dispute.  The Home Office Presenting Officer </w:t>
      </w:r>
      <w:r w:rsidR="00336D46">
        <w:rPr>
          <w:rFonts w:ascii="Book Antiqua" w:hAnsi="Book Antiqua" w:cs="Arial"/>
        </w:rPr>
        <w:t>had taken</w:t>
      </w:r>
      <w:r>
        <w:rPr>
          <w:rFonts w:ascii="Book Antiqua" w:hAnsi="Book Antiqua" w:cs="Arial"/>
        </w:rPr>
        <w:t xml:space="preserve"> a pragmatic view and had effectively conceded the point.  It may be an unusual state of affairs but had the appellant been aware that the Secretary of State would object she would have agreed to an adjournment.  Ms Foot referred to </w:t>
      </w:r>
      <w:r w:rsidRPr="00857D7C">
        <w:rPr>
          <w:rFonts w:ascii="Book Antiqua" w:hAnsi="Book Antiqua" w:cs="Arial"/>
          <w:b/>
          <w:bCs/>
          <w:u w:val="single"/>
        </w:rPr>
        <w:t xml:space="preserve">AM (Iran) </w:t>
      </w:r>
      <w:r>
        <w:rPr>
          <w:rFonts w:ascii="Book Antiqua" w:hAnsi="Book Antiqua" w:cs="Arial"/>
        </w:rPr>
        <w:t xml:space="preserve">[2018] EWCA </w:t>
      </w:r>
      <w:proofErr w:type="spellStart"/>
      <w:r>
        <w:rPr>
          <w:rFonts w:ascii="Book Antiqua" w:hAnsi="Book Antiqua" w:cs="Arial"/>
        </w:rPr>
        <w:t>Civ</w:t>
      </w:r>
      <w:proofErr w:type="spellEnd"/>
      <w:r>
        <w:rPr>
          <w:rFonts w:ascii="Book Antiqua" w:hAnsi="Book Antiqua" w:cs="Arial"/>
        </w:rPr>
        <w:t xml:space="preserve"> 2706 and </w:t>
      </w:r>
      <w:r w:rsidRPr="00857D7C">
        <w:rPr>
          <w:rFonts w:ascii="Book Antiqua" w:hAnsi="Book Antiqua" w:cs="Arial"/>
          <w:b/>
          <w:bCs/>
          <w:u w:val="single"/>
        </w:rPr>
        <w:t>AK (Sierra Leone)</w:t>
      </w:r>
      <w:r w:rsidR="00336D46" w:rsidRPr="00857D7C">
        <w:rPr>
          <w:rFonts w:ascii="Book Antiqua" w:hAnsi="Book Antiqua"/>
          <w:b/>
          <w:bCs/>
        </w:rPr>
        <w:t xml:space="preserve"> [2016] </w:t>
      </w:r>
      <w:r w:rsidR="00336D46" w:rsidRPr="00857D7C">
        <w:rPr>
          <w:rFonts w:ascii="Book Antiqua" w:hAnsi="Book Antiqua"/>
        </w:rPr>
        <w:t xml:space="preserve">EWCA </w:t>
      </w:r>
      <w:proofErr w:type="spellStart"/>
      <w:r w:rsidR="00336D46" w:rsidRPr="00857D7C">
        <w:rPr>
          <w:rFonts w:ascii="Book Antiqua" w:hAnsi="Book Antiqua"/>
        </w:rPr>
        <w:t>Civ</w:t>
      </w:r>
      <w:proofErr w:type="spellEnd"/>
      <w:r w:rsidR="00336D46" w:rsidRPr="00857D7C">
        <w:rPr>
          <w:rFonts w:ascii="Book Antiqua" w:hAnsi="Book Antiqua"/>
        </w:rPr>
        <w:t xml:space="preserve"> 999</w:t>
      </w:r>
      <w:r>
        <w:rPr>
          <w:rFonts w:ascii="Book Antiqua" w:hAnsi="Book Antiqua" w:cs="Arial"/>
        </w:rPr>
        <w:t xml:space="preserve">.  This was an issue of fairness with a belated challenge.  </w:t>
      </w:r>
      <w:r w:rsidR="00336D46">
        <w:rPr>
          <w:rFonts w:ascii="Book Antiqua" w:hAnsi="Book Antiqua" w:cs="Arial"/>
        </w:rPr>
        <w:t>At the hearing before the First-tier Tribunal h</w:t>
      </w:r>
      <w:r>
        <w:rPr>
          <w:rFonts w:ascii="Book Antiqua" w:hAnsi="Book Antiqua" w:cs="Arial"/>
        </w:rPr>
        <w:t>aving heard the evidence from the appellant there was no challenge.  Article 8 was a matter in question and highly pertinent to the decision.</w:t>
      </w:r>
    </w:p>
    <w:p w14:paraId="4A791833" w14:textId="77777777" w:rsidR="00AF2DEB" w:rsidRDefault="00C66096"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complaint was now made in relation to the approach of how the judge determined the appeal but the arguments were clearly made in the skeleton argument.  As set out in </w:t>
      </w:r>
      <w:proofErr w:type="spellStart"/>
      <w:r w:rsidRPr="00C66096">
        <w:rPr>
          <w:rFonts w:ascii="Book Antiqua" w:hAnsi="Book Antiqua" w:cs="Arial"/>
          <w:b/>
          <w:u w:val="single"/>
        </w:rPr>
        <w:t>Hysaj</w:t>
      </w:r>
      <w:proofErr w:type="spellEnd"/>
      <w:r>
        <w:rPr>
          <w:rFonts w:ascii="Book Antiqua" w:hAnsi="Book Antiqua" w:cs="Arial"/>
        </w:rPr>
        <w:t xml:space="preserve"> it was not impossible to win an appeal on Article 8 grounds.</w:t>
      </w:r>
    </w:p>
    <w:p w14:paraId="22A22DAE" w14:textId="01A6F29E" w:rsidR="00C66096" w:rsidRDefault="00C66096"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facts in </w:t>
      </w:r>
      <w:proofErr w:type="spellStart"/>
      <w:r w:rsidRPr="00C66096">
        <w:rPr>
          <w:rFonts w:ascii="Book Antiqua" w:hAnsi="Book Antiqua" w:cs="Arial"/>
          <w:b/>
          <w:u w:val="single"/>
        </w:rPr>
        <w:t>Hysaj</w:t>
      </w:r>
      <w:proofErr w:type="spellEnd"/>
      <w:r>
        <w:rPr>
          <w:rFonts w:ascii="Book Antiqua" w:hAnsi="Book Antiqua" w:cs="Arial"/>
        </w:rPr>
        <w:t xml:space="preserve"> were very different and there the wife was able to work.  Here the facts were unusual and exceptional. </w:t>
      </w:r>
      <w:r w:rsidR="00857D7C">
        <w:rPr>
          <w:rFonts w:ascii="Book Antiqua" w:hAnsi="Book Antiqua" w:cs="Arial"/>
        </w:rPr>
        <w:t>The wife was unable to work.</w:t>
      </w:r>
      <w:r>
        <w:rPr>
          <w:rFonts w:ascii="Book Antiqua" w:hAnsi="Book Antiqua" w:cs="Arial"/>
        </w:rPr>
        <w:t xml:space="preserve"> The oral evidence was not incredible.  Other judges may reach different conclusions but it was open to the judge on the facts and Ms Foot referred to </w:t>
      </w:r>
      <w:r w:rsidRPr="00C66096">
        <w:rPr>
          <w:rFonts w:ascii="Book Antiqua" w:hAnsi="Book Antiqua" w:cs="Arial"/>
          <w:b/>
          <w:u w:val="single"/>
        </w:rPr>
        <w:t>AA</w:t>
      </w:r>
      <w:r w:rsidRPr="00C66096">
        <w:rPr>
          <w:rFonts w:ascii="Book Antiqua" w:hAnsi="Book Antiqua" w:cs="Arial"/>
          <w:b/>
        </w:rPr>
        <w:t xml:space="preserve"> (Nigeria)</w:t>
      </w:r>
      <w:r w:rsidR="0050736B">
        <w:rPr>
          <w:rFonts w:ascii="Book Antiqua" w:hAnsi="Book Antiqua" w:cs="Arial"/>
          <w:b/>
        </w:rPr>
        <w:t xml:space="preserve"> [2020] EWCA </w:t>
      </w:r>
      <w:proofErr w:type="spellStart"/>
      <w:r w:rsidR="0050736B">
        <w:rPr>
          <w:rFonts w:ascii="Book Antiqua" w:hAnsi="Book Antiqua" w:cs="Arial"/>
          <w:b/>
        </w:rPr>
        <w:t>Civ</w:t>
      </w:r>
      <w:proofErr w:type="spellEnd"/>
      <w:r w:rsidR="0050736B">
        <w:rPr>
          <w:rFonts w:ascii="Book Antiqua" w:hAnsi="Book Antiqua" w:cs="Arial"/>
          <w:b/>
        </w:rPr>
        <w:t xml:space="preserve"> 1296</w:t>
      </w:r>
      <w:r>
        <w:rPr>
          <w:rFonts w:ascii="Book Antiqua" w:hAnsi="Book Antiqua" w:cs="Arial"/>
        </w:rPr>
        <w:t>.  It was not fair on the appellant to raise the issue at this juncture.  Had the Secretary of State been successful she would not have objected.</w:t>
      </w:r>
    </w:p>
    <w:p w14:paraId="42BF2049" w14:textId="56E54747" w:rsidR="00C66096" w:rsidRDefault="00C66096"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Ms Cunha referred to </w:t>
      </w:r>
      <w:r w:rsidRPr="00C66096">
        <w:rPr>
          <w:rFonts w:ascii="Book Antiqua" w:hAnsi="Book Antiqua" w:cs="Arial"/>
          <w:b/>
          <w:u w:val="single"/>
        </w:rPr>
        <w:t>NR (Jamaica) v Secretary of State for the Home Department</w:t>
      </w:r>
      <w:r w:rsidRPr="00C66096">
        <w:rPr>
          <w:rFonts w:ascii="Book Antiqua" w:hAnsi="Book Antiqua" w:cs="Arial"/>
          <w:b/>
        </w:rPr>
        <w:t xml:space="preserve"> [2009] EWCA </w:t>
      </w:r>
      <w:proofErr w:type="spellStart"/>
      <w:r w:rsidRPr="00C66096">
        <w:rPr>
          <w:rFonts w:ascii="Book Antiqua" w:hAnsi="Book Antiqua" w:cs="Arial"/>
          <w:b/>
        </w:rPr>
        <w:t>Civ</w:t>
      </w:r>
      <w:proofErr w:type="spellEnd"/>
      <w:r w:rsidRPr="00C66096">
        <w:rPr>
          <w:rFonts w:ascii="Book Antiqua" w:hAnsi="Book Antiqua" w:cs="Arial"/>
          <w:b/>
        </w:rPr>
        <w:t xml:space="preserve"> 856</w:t>
      </w:r>
      <w:r>
        <w:rPr>
          <w:rFonts w:ascii="Book Antiqua" w:hAnsi="Book Antiqua" w:cs="Arial"/>
        </w:rPr>
        <w:t xml:space="preserve"> at paragraphs 11 to 13 as being the key judgment and authority in relation to concessions.  She submitted that the procedural irregularity did have an effect on the findings and the findings of fact in relation to this appeal were central and fundamental to the decision.  She added there was no reference to </w:t>
      </w:r>
      <w:proofErr w:type="spellStart"/>
      <w:r w:rsidRPr="00C66096">
        <w:rPr>
          <w:rFonts w:ascii="Book Antiqua" w:hAnsi="Book Antiqua" w:cs="Arial"/>
          <w:b/>
          <w:u w:val="single"/>
        </w:rPr>
        <w:t>Hysaj</w:t>
      </w:r>
      <w:proofErr w:type="spellEnd"/>
      <w:r>
        <w:rPr>
          <w:rFonts w:ascii="Book Antiqua" w:hAnsi="Book Antiqua" w:cs="Arial"/>
        </w:rPr>
        <w:t xml:space="preserve"> </w:t>
      </w:r>
      <w:r w:rsidR="00CC2FF2">
        <w:rPr>
          <w:rFonts w:ascii="Book Antiqua" w:hAnsi="Book Antiqua" w:cs="Arial"/>
        </w:rPr>
        <w:t xml:space="preserve">in the decision </w:t>
      </w:r>
      <w:r>
        <w:rPr>
          <w:rFonts w:ascii="Book Antiqua" w:hAnsi="Book Antiqua" w:cs="Arial"/>
        </w:rPr>
        <w:t xml:space="preserve">and the judge tasked </w:t>
      </w:r>
      <w:r w:rsidR="00CC2FF2">
        <w:rPr>
          <w:rFonts w:ascii="Book Antiqua" w:hAnsi="Book Antiqua" w:cs="Arial"/>
        </w:rPr>
        <w:t xml:space="preserve">herself </w:t>
      </w:r>
      <w:r>
        <w:rPr>
          <w:rFonts w:ascii="Book Antiqua" w:hAnsi="Book Antiqua" w:cs="Arial"/>
        </w:rPr>
        <w:t xml:space="preserve">only with deciding whether the outcome of the deprivation itself was disproportionate.  Here the judge had considered the </w:t>
      </w:r>
      <w:r w:rsidR="00857D7C">
        <w:rPr>
          <w:rFonts w:ascii="Book Antiqua" w:hAnsi="Book Antiqua" w:cs="Arial"/>
        </w:rPr>
        <w:t>‘</w:t>
      </w:r>
      <w:r>
        <w:rPr>
          <w:rFonts w:ascii="Book Antiqua" w:hAnsi="Book Antiqua" w:cs="Arial"/>
        </w:rPr>
        <w:t>limbo</w:t>
      </w:r>
      <w:r w:rsidR="00857D7C">
        <w:rPr>
          <w:rFonts w:ascii="Book Antiqua" w:hAnsi="Book Antiqua" w:cs="Arial"/>
        </w:rPr>
        <w:t>’</w:t>
      </w:r>
      <w:r>
        <w:rPr>
          <w:rFonts w:ascii="Book Antiqua" w:hAnsi="Book Antiqua" w:cs="Arial"/>
        </w:rPr>
        <w:t xml:space="preserve"> which was not relevant.</w:t>
      </w:r>
    </w:p>
    <w:p w14:paraId="53F54DC0" w14:textId="2B55D1BE" w:rsidR="00F56207" w:rsidRDefault="00C66096" w:rsidP="00F5620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Ms Foot </w:t>
      </w:r>
      <w:proofErr w:type="spellStart"/>
      <w:r>
        <w:rPr>
          <w:rFonts w:ascii="Book Antiqua" w:hAnsi="Book Antiqua" w:cs="Arial"/>
        </w:rPr>
        <w:t>rejoinded</w:t>
      </w:r>
      <w:proofErr w:type="spellEnd"/>
      <w:r>
        <w:rPr>
          <w:rFonts w:ascii="Book Antiqua" w:hAnsi="Book Antiqua" w:cs="Arial"/>
        </w:rPr>
        <w:t xml:space="preserve"> that that list of issues as set out at paragraph 6 of </w:t>
      </w:r>
      <w:r w:rsidR="00185C9B" w:rsidRPr="00857D7C">
        <w:rPr>
          <w:rFonts w:ascii="Book Antiqua" w:eastAsia="Book Antiqua" w:hAnsi="Book Antiqua" w:cs="Book Antiqua"/>
          <w:b/>
          <w:bCs/>
          <w:u w:val="single"/>
          <w:lang w:val="en-US"/>
        </w:rPr>
        <w:t>KV (Sri Lanka) v. Secretary of State for the Home Department</w:t>
      </w:r>
      <w:r w:rsidR="00185C9B">
        <w:rPr>
          <w:rFonts w:ascii="Book Antiqua" w:eastAsia="Book Antiqua" w:hAnsi="Book Antiqua" w:cs="Book Antiqua"/>
          <w:lang w:val="en-US"/>
        </w:rPr>
        <w:t xml:space="preserve"> </w:t>
      </w:r>
      <w:r w:rsidR="00185C9B" w:rsidRPr="00FA6010">
        <w:rPr>
          <w:rFonts w:ascii="Book Antiqua" w:eastAsia="Book Antiqua" w:hAnsi="Book Antiqua" w:cs="Book Antiqua"/>
          <w:b/>
          <w:bCs/>
          <w:lang w:val="en-US"/>
        </w:rPr>
        <w:t>[2018] EWCA Civ 2483</w:t>
      </w:r>
      <w:r w:rsidRPr="00FA6010">
        <w:rPr>
          <w:rFonts w:ascii="Book Antiqua" w:hAnsi="Book Antiqua" w:cs="Arial"/>
          <w:b/>
          <w:bCs/>
        </w:rPr>
        <w:t xml:space="preserve"> </w:t>
      </w:r>
      <w:r>
        <w:rPr>
          <w:rFonts w:ascii="Book Antiqua" w:hAnsi="Book Antiqua" w:cs="Arial"/>
        </w:rPr>
        <w:t xml:space="preserve">was approved in </w:t>
      </w:r>
      <w:proofErr w:type="spellStart"/>
      <w:r w:rsidRPr="00C66096">
        <w:rPr>
          <w:rFonts w:ascii="Book Antiqua" w:hAnsi="Book Antiqua" w:cs="Arial"/>
          <w:b/>
          <w:u w:val="single"/>
        </w:rPr>
        <w:t>Hysaj</w:t>
      </w:r>
      <w:proofErr w:type="spellEnd"/>
      <w:r>
        <w:rPr>
          <w:rFonts w:ascii="Book Antiqua" w:hAnsi="Book Antiqua" w:cs="Arial"/>
        </w:rPr>
        <w:t xml:space="preserve"> and there was no dispute regarding the condition precedent in this case, the only dispute  to the Article 8 and discretionary factors. </w:t>
      </w:r>
      <w:r w:rsidR="00857D7C">
        <w:rPr>
          <w:rFonts w:ascii="Book Antiqua" w:hAnsi="Book Antiqua" w:cs="Arial"/>
        </w:rPr>
        <w:t xml:space="preserve"> That was applied. </w:t>
      </w:r>
      <w:r>
        <w:rPr>
          <w:rFonts w:ascii="Book Antiqua" w:hAnsi="Book Antiqua" w:cs="Arial"/>
        </w:rPr>
        <w:t xml:space="preserve"> There was no proleptic analysis as prohibited in </w:t>
      </w:r>
      <w:r w:rsidRPr="00C66096">
        <w:rPr>
          <w:rFonts w:ascii="Book Antiqua" w:hAnsi="Book Antiqua" w:cs="Arial"/>
          <w:b/>
          <w:u w:val="single"/>
        </w:rPr>
        <w:t>Aziz</w:t>
      </w:r>
      <w:r w:rsidR="002D6783">
        <w:rPr>
          <w:rFonts w:ascii="Book Antiqua" w:hAnsi="Book Antiqua" w:cs="Arial"/>
          <w:b/>
          <w:u w:val="single"/>
        </w:rPr>
        <w:t xml:space="preserve">  </w:t>
      </w:r>
      <w:r w:rsidR="001949D4">
        <w:rPr>
          <w:rFonts w:ascii="Book Antiqua" w:hAnsi="Book Antiqua" w:cs="Arial"/>
          <w:b/>
          <w:u w:val="single"/>
        </w:rPr>
        <w:t>v SSHD</w:t>
      </w:r>
      <w:r w:rsidR="001949D4" w:rsidRPr="00EE024C">
        <w:rPr>
          <w:rFonts w:ascii="Book Antiqua" w:hAnsi="Book Antiqua" w:cs="Arial"/>
          <w:b/>
        </w:rPr>
        <w:t xml:space="preserve"> </w:t>
      </w:r>
      <w:r w:rsidR="00EE024C">
        <w:rPr>
          <w:rFonts w:ascii="Book Antiqua" w:hAnsi="Book Antiqua" w:cs="Arial"/>
          <w:b/>
        </w:rPr>
        <w:t>[</w:t>
      </w:r>
      <w:r w:rsidR="00EE024C" w:rsidRPr="00EE024C">
        <w:rPr>
          <w:rFonts w:ascii="Book Antiqua" w:hAnsi="Book Antiqua" w:cs="Arial"/>
          <w:b/>
        </w:rPr>
        <w:t>20</w:t>
      </w:r>
      <w:r w:rsidR="00EE024C">
        <w:rPr>
          <w:rFonts w:ascii="Book Antiqua" w:hAnsi="Book Antiqua" w:cs="Arial"/>
          <w:b/>
        </w:rPr>
        <w:t>1</w:t>
      </w:r>
      <w:r w:rsidR="00EE024C" w:rsidRPr="00EE024C">
        <w:rPr>
          <w:rFonts w:ascii="Book Antiqua" w:hAnsi="Book Antiqua" w:cs="Arial"/>
          <w:b/>
        </w:rPr>
        <w:t>8] EWCA 1884</w:t>
      </w:r>
      <w:r>
        <w:rPr>
          <w:rFonts w:ascii="Book Antiqua" w:hAnsi="Book Antiqua" w:cs="Arial"/>
        </w:rPr>
        <w:t>.  The judge looked at the facts and now it was the case that the appellant was losing the opportunity of favourable factual findings.</w:t>
      </w:r>
    </w:p>
    <w:p w14:paraId="039164A7" w14:textId="77777777" w:rsidR="00F56207" w:rsidRPr="00C919F3" w:rsidRDefault="00CC2FF2" w:rsidP="00F56207">
      <w:pPr>
        <w:spacing w:before="240"/>
        <w:ind w:left="567"/>
        <w:jc w:val="both"/>
        <w:rPr>
          <w:rFonts w:ascii="Book Antiqua" w:hAnsi="Book Antiqua" w:cs="Arial"/>
          <w:u w:val="single"/>
        </w:rPr>
      </w:pPr>
      <w:r w:rsidRPr="00C919F3">
        <w:rPr>
          <w:rFonts w:ascii="Book Antiqua" w:hAnsi="Book Antiqua" w:cs="Arial"/>
          <w:u w:val="single"/>
        </w:rPr>
        <w:t>Analysis</w:t>
      </w:r>
    </w:p>
    <w:p w14:paraId="2C4E5F70" w14:textId="4F774B81" w:rsidR="00F56207" w:rsidRDefault="00E404D0" w:rsidP="00F56207">
      <w:pPr>
        <w:numPr>
          <w:ilvl w:val="0"/>
          <w:numId w:val="1"/>
        </w:numPr>
        <w:tabs>
          <w:tab w:val="clear" w:pos="720"/>
        </w:tabs>
        <w:spacing w:before="240"/>
        <w:ind w:left="567" w:hanging="567"/>
        <w:jc w:val="both"/>
        <w:rPr>
          <w:rFonts w:ascii="Book Antiqua" w:hAnsi="Book Antiqua" w:cs="Arial"/>
        </w:rPr>
      </w:pPr>
      <w:bookmarkStart w:id="1" w:name="_Hlk37952981"/>
      <w:r>
        <w:rPr>
          <w:rFonts w:ascii="Book Antiqua" w:hAnsi="Book Antiqua"/>
          <w:bCs/>
          <w:color w:val="000000"/>
        </w:rPr>
        <w:t xml:space="preserve">The relevant legal approach to adopt </w:t>
      </w:r>
      <w:r w:rsidR="00C919F3">
        <w:rPr>
          <w:rFonts w:ascii="Book Antiqua" w:hAnsi="Book Antiqua"/>
          <w:bCs/>
          <w:color w:val="000000"/>
        </w:rPr>
        <w:t>is</w:t>
      </w:r>
      <w:r>
        <w:rPr>
          <w:rFonts w:ascii="Book Antiqua" w:hAnsi="Book Antiqua"/>
          <w:bCs/>
          <w:color w:val="000000"/>
        </w:rPr>
        <w:t xml:space="preserve"> set out in </w:t>
      </w:r>
      <w:r w:rsidRPr="00E404D0">
        <w:rPr>
          <w:rFonts w:ascii="Book Antiqua" w:hAnsi="Book Antiqua"/>
          <w:b/>
          <w:color w:val="000000"/>
          <w:u w:val="single"/>
        </w:rPr>
        <w:t>KV (Sri Lanka)</w:t>
      </w:r>
      <w:r w:rsidR="00C919F3">
        <w:rPr>
          <w:rFonts w:ascii="Book Antiqua" w:hAnsi="Book Antiqua"/>
          <w:bCs/>
          <w:color w:val="000000"/>
        </w:rPr>
        <w:t xml:space="preserve">.  </w:t>
      </w:r>
      <w:r>
        <w:rPr>
          <w:rFonts w:ascii="Book Antiqua" w:hAnsi="Book Antiqua"/>
          <w:bCs/>
          <w:color w:val="000000"/>
        </w:rPr>
        <w:t xml:space="preserve"> </w:t>
      </w:r>
      <w:proofErr w:type="spellStart"/>
      <w:r w:rsidR="00185C9B" w:rsidRPr="00E404D0">
        <w:rPr>
          <w:rFonts w:ascii="Book Antiqua" w:hAnsi="Book Antiqua"/>
          <w:b/>
          <w:color w:val="000000"/>
          <w:u w:val="single"/>
        </w:rPr>
        <w:t>Hysaj</w:t>
      </w:r>
      <w:proofErr w:type="spellEnd"/>
      <w:r w:rsidR="00185C9B" w:rsidRPr="00E404D0">
        <w:rPr>
          <w:rFonts w:ascii="Book Antiqua" w:hAnsi="Book Antiqua"/>
          <w:b/>
          <w:color w:val="000000"/>
          <w:u w:val="single"/>
        </w:rPr>
        <w:t xml:space="preserve"> (Deprivation of Citizenship: Delay)</w:t>
      </w:r>
      <w:r w:rsidR="008A37BF" w:rsidRPr="008A37BF">
        <w:rPr>
          <w:rFonts w:ascii="Book Antiqua" w:hAnsi="Book Antiqua"/>
          <w:bCs/>
          <w:color w:val="000000"/>
        </w:rPr>
        <w:t>, adopts that approach and</w:t>
      </w:r>
      <w:bookmarkEnd w:id="1"/>
      <w:r w:rsidR="00857D7C" w:rsidRPr="00F56207">
        <w:rPr>
          <w:rFonts w:ascii="Book Antiqua" w:hAnsi="Book Antiqua"/>
          <w:bCs/>
          <w:color w:val="000000"/>
        </w:rPr>
        <w:t xml:space="preserve"> parag</w:t>
      </w:r>
      <w:r>
        <w:rPr>
          <w:rFonts w:ascii="Book Antiqua" w:hAnsi="Book Antiqua"/>
          <w:bCs/>
          <w:color w:val="000000"/>
        </w:rPr>
        <w:t>r</w:t>
      </w:r>
      <w:r w:rsidR="00857D7C" w:rsidRPr="00F56207">
        <w:rPr>
          <w:rFonts w:ascii="Book Antiqua" w:hAnsi="Book Antiqua"/>
          <w:bCs/>
          <w:color w:val="000000"/>
        </w:rPr>
        <w:t xml:space="preserve">aphs 115 and 116 </w:t>
      </w:r>
      <w:r w:rsidR="00F56207">
        <w:rPr>
          <w:rFonts w:ascii="Book Antiqua" w:hAnsi="Book Antiqua"/>
          <w:bCs/>
          <w:color w:val="000000"/>
        </w:rPr>
        <w:t>explain the Tribunal’s task in relation to an appeal under Section 40(3)</w:t>
      </w:r>
    </w:p>
    <w:p w14:paraId="1DEABD04" w14:textId="0A033A19" w:rsidR="00F56207" w:rsidRPr="00F56207" w:rsidRDefault="00F56207" w:rsidP="00E404D0">
      <w:pPr>
        <w:spacing w:before="240"/>
        <w:ind w:left="1134"/>
        <w:jc w:val="both"/>
        <w:rPr>
          <w:rFonts w:ascii="Book Antiqua" w:hAnsi="Book Antiqua" w:cs="Arial"/>
          <w:i/>
          <w:iCs/>
        </w:rPr>
      </w:pPr>
      <w:r>
        <w:rPr>
          <w:rFonts w:ascii="Book Antiqua" w:eastAsia="Book Antiqua" w:hAnsi="Book Antiqua" w:cs="Book Antiqua"/>
          <w:lang w:val="en-US"/>
        </w:rPr>
        <w:lastRenderedPageBreak/>
        <w:t>‘</w:t>
      </w:r>
      <w:r w:rsidR="00857D7C" w:rsidRPr="00F56207">
        <w:rPr>
          <w:rFonts w:ascii="Book Antiqua" w:eastAsia="Book Antiqua" w:hAnsi="Book Antiqua" w:cs="Book Antiqua"/>
          <w:i/>
          <w:iCs/>
          <w:lang w:val="en-US"/>
        </w:rPr>
        <w:t xml:space="preserve">115. </w:t>
      </w:r>
      <w:r w:rsidR="00185C9B" w:rsidRPr="00F56207">
        <w:rPr>
          <w:rFonts w:ascii="Book Antiqua" w:eastAsia="Book Antiqua" w:hAnsi="Book Antiqua" w:cs="Book Antiqua"/>
          <w:i/>
          <w:iCs/>
          <w:lang w:val="en-US"/>
        </w:rPr>
        <w:t>An appeal against a decision to deprive under section 40(3) may succeed either because a reasonably foreseeable consequence of deprivation would be contrary to article 8 or because of some exceptional feature which means that the respondent’s discretion should have been exercised differently having proper regard to the significant public interest in deprivation and the grounds for the same.</w:t>
      </w:r>
    </w:p>
    <w:p w14:paraId="5ECCAD2F" w14:textId="327DF2F8" w:rsidR="00C66096" w:rsidRPr="00F56207" w:rsidRDefault="00F56207" w:rsidP="00E404D0">
      <w:pPr>
        <w:spacing w:before="240"/>
        <w:ind w:left="1134"/>
        <w:jc w:val="both"/>
        <w:rPr>
          <w:rFonts w:ascii="Book Antiqua" w:hAnsi="Book Antiqua" w:cs="Arial"/>
        </w:rPr>
      </w:pPr>
      <w:r w:rsidRPr="00F56207">
        <w:rPr>
          <w:rFonts w:ascii="Book Antiqua" w:eastAsia="Book Antiqua" w:hAnsi="Book Antiqua" w:cs="Book Antiqua"/>
          <w:i/>
          <w:iCs/>
          <w:lang w:val="en-US"/>
        </w:rPr>
        <w:t xml:space="preserve">116. </w:t>
      </w:r>
      <w:r w:rsidR="00185C9B" w:rsidRPr="00F56207">
        <w:rPr>
          <w:rFonts w:ascii="Book Antiqua" w:eastAsia="Book Antiqua" w:hAnsi="Book Antiqua" w:cs="Book Antiqua"/>
          <w:i/>
          <w:iCs/>
          <w:lang w:val="en-US"/>
        </w:rPr>
        <w:t xml:space="preserve">The Tribunal is tasked with forming a view, not just as to whether it would be rational to make such a deprivation order, but to decide whether it is right to do so. This involves an evaluation of the relative weight to be accorded to the significant public interest in depriving the person concerned of citizenship and any competing interests and considerations, including the impact of deprivation on the legal status of the individual concerned. </w:t>
      </w:r>
      <w:r w:rsidR="00CC2FF2" w:rsidRPr="00F56207">
        <w:rPr>
          <w:rFonts w:ascii="Book Antiqua" w:hAnsi="Book Antiqua" w:cs="Arial"/>
          <w:i/>
          <w:iCs/>
        </w:rPr>
        <w:t>T</w:t>
      </w:r>
      <w:r w:rsidR="00C66096" w:rsidRPr="00F56207">
        <w:rPr>
          <w:rFonts w:ascii="Book Antiqua" w:hAnsi="Book Antiqua" w:cs="Arial"/>
          <w:i/>
          <w:iCs/>
        </w:rPr>
        <w:t>his was an appeal under Section 40A(1) of the British Nationality Act 1981 against the decision of the respondent Secretary of State dated 11</w:t>
      </w:r>
      <w:r w:rsidR="00C66096" w:rsidRPr="00F56207">
        <w:rPr>
          <w:rFonts w:ascii="Book Antiqua" w:hAnsi="Book Antiqua" w:cs="Arial"/>
          <w:i/>
          <w:iCs/>
          <w:vertAlign w:val="superscript"/>
        </w:rPr>
        <w:t>th</w:t>
      </w:r>
      <w:r w:rsidR="00C66096" w:rsidRPr="00F56207">
        <w:rPr>
          <w:rFonts w:ascii="Book Antiqua" w:hAnsi="Book Antiqua" w:cs="Arial"/>
          <w:i/>
          <w:iCs/>
        </w:rPr>
        <w:t xml:space="preserve"> January 2019 to deprive the appellant of his British citizenship pursuant to Section 40(3) of the 1981 Act</w:t>
      </w:r>
      <w:r w:rsidRPr="00F56207">
        <w:rPr>
          <w:rFonts w:ascii="Book Antiqua" w:hAnsi="Book Antiqua" w:cs="Arial"/>
          <w:i/>
          <w:iCs/>
        </w:rPr>
        <w:t>’</w:t>
      </w:r>
      <w:r w:rsidR="00C66096" w:rsidRPr="00F56207">
        <w:rPr>
          <w:rFonts w:ascii="Book Antiqua" w:hAnsi="Book Antiqua" w:cs="Arial"/>
          <w:i/>
          <w:iCs/>
        </w:rPr>
        <w:t>.</w:t>
      </w:r>
    </w:p>
    <w:p w14:paraId="2330AF7E" w14:textId="32101E51" w:rsidR="00E404D0" w:rsidRDefault="00726852"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Although i</w:t>
      </w:r>
      <w:r w:rsidR="00E404D0">
        <w:rPr>
          <w:rFonts w:ascii="Book Antiqua" w:hAnsi="Book Antiqua" w:cs="Arial"/>
        </w:rPr>
        <w:t>t had been accepted that the appellant had committed deception</w:t>
      </w:r>
      <w:r w:rsidR="0041341C">
        <w:rPr>
          <w:rFonts w:ascii="Book Antiqua" w:hAnsi="Book Antiqua" w:cs="Arial"/>
        </w:rPr>
        <w:t>,</w:t>
      </w:r>
      <w:r w:rsidR="00E404D0">
        <w:rPr>
          <w:rFonts w:ascii="Book Antiqua" w:hAnsi="Book Antiqua" w:cs="Arial"/>
        </w:rPr>
        <w:t xml:space="preserve"> the analysis by the Tribunal included an assessment of the impact of the deprivation on the individual. Underpinning the correct legal approach is </w:t>
      </w:r>
      <w:r w:rsidR="00222802">
        <w:rPr>
          <w:rFonts w:ascii="Book Antiqua" w:hAnsi="Book Antiqua" w:cs="Arial"/>
        </w:rPr>
        <w:t xml:space="preserve">the </w:t>
      </w:r>
      <w:r w:rsidR="00E404D0">
        <w:rPr>
          <w:rFonts w:ascii="Book Antiqua" w:hAnsi="Book Antiqua" w:cs="Arial"/>
        </w:rPr>
        <w:t>establish</w:t>
      </w:r>
      <w:r w:rsidR="00222802">
        <w:rPr>
          <w:rFonts w:ascii="Book Antiqua" w:hAnsi="Book Antiqua" w:cs="Arial"/>
        </w:rPr>
        <w:t>ment of</w:t>
      </w:r>
      <w:r w:rsidR="00E404D0">
        <w:rPr>
          <w:rFonts w:ascii="Book Antiqua" w:hAnsi="Book Antiqua" w:cs="Arial"/>
        </w:rPr>
        <w:t xml:space="preserve"> the correct facts.</w:t>
      </w:r>
    </w:p>
    <w:p w14:paraId="7D491640" w14:textId="4B79FA64" w:rsidR="00CC2FF2" w:rsidRDefault="0025557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Regrettably there is no Record of Proceedings of 5</w:t>
      </w:r>
      <w:r w:rsidRPr="0025557C">
        <w:rPr>
          <w:rFonts w:ascii="Book Antiqua" w:hAnsi="Book Antiqua" w:cs="Arial"/>
          <w:vertAlign w:val="superscript"/>
        </w:rPr>
        <w:t>th</w:t>
      </w:r>
      <w:r>
        <w:rPr>
          <w:rFonts w:ascii="Book Antiqua" w:hAnsi="Book Antiqua" w:cs="Arial"/>
        </w:rPr>
        <w:t xml:space="preserve"> June 2020 before the First-tier Tribunal Judge on file, </w:t>
      </w:r>
      <w:r w:rsidR="00CC2FF2">
        <w:rPr>
          <w:rFonts w:ascii="Book Antiqua" w:hAnsi="Book Antiqua" w:cs="Arial"/>
        </w:rPr>
        <w:t>p</w:t>
      </w:r>
      <w:r w:rsidR="00775216">
        <w:rPr>
          <w:rFonts w:ascii="Book Antiqua" w:hAnsi="Book Antiqua" w:cs="Arial"/>
        </w:rPr>
        <w:t>ossibly</w:t>
      </w:r>
      <w:r>
        <w:rPr>
          <w:rFonts w:ascii="Book Antiqua" w:hAnsi="Book Antiqua" w:cs="Arial"/>
        </w:rPr>
        <w:t xml:space="preserve"> because the matter took place remotely.  On 3</w:t>
      </w:r>
      <w:r w:rsidRPr="0025557C">
        <w:rPr>
          <w:rFonts w:ascii="Book Antiqua" w:hAnsi="Book Antiqua" w:cs="Arial"/>
          <w:vertAlign w:val="superscript"/>
        </w:rPr>
        <w:t>rd</w:t>
      </w:r>
      <w:r>
        <w:rPr>
          <w:rFonts w:ascii="Book Antiqua" w:hAnsi="Book Antiqua" w:cs="Arial"/>
        </w:rPr>
        <w:t xml:space="preserve"> February 2020 there </w:t>
      </w:r>
      <w:r w:rsidR="0065610E">
        <w:rPr>
          <w:rFonts w:ascii="Book Antiqua" w:hAnsi="Book Antiqua" w:cs="Arial"/>
        </w:rPr>
        <w:t>had been</w:t>
      </w:r>
      <w:r>
        <w:rPr>
          <w:rFonts w:ascii="Book Antiqua" w:hAnsi="Book Antiqua" w:cs="Arial"/>
        </w:rPr>
        <w:t xml:space="preserve"> a Case Management hearing and directions were set which included</w:t>
      </w:r>
      <w:r w:rsidR="00CC2FF2">
        <w:rPr>
          <w:rFonts w:ascii="Book Antiqua" w:hAnsi="Book Antiqua" w:cs="Arial"/>
        </w:rPr>
        <w:t xml:space="preserve"> a direction that there should be</w:t>
      </w:r>
      <w:r>
        <w:rPr>
          <w:rFonts w:ascii="Book Antiqua" w:hAnsi="Book Antiqua" w:cs="Arial"/>
        </w:rPr>
        <w:t xml:space="preserve"> an Albanian interpreter for the forthcoming substantive hearing.  At that </w:t>
      </w:r>
      <w:r w:rsidR="00CC2FF2">
        <w:rPr>
          <w:rFonts w:ascii="Book Antiqua" w:hAnsi="Book Antiqua" w:cs="Arial"/>
        </w:rPr>
        <w:t xml:space="preserve">substantive </w:t>
      </w:r>
      <w:r>
        <w:rPr>
          <w:rFonts w:ascii="Book Antiqua" w:hAnsi="Book Antiqua" w:cs="Arial"/>
        </w:rPr>
        <w:t>hearing</w:t>
      </w:r>
      <w:r w:rsidR="00E404D0">
        <w:rPr>
          <w:rFonts w:ascii="Book Antiqua" w:hAnsi="Book Antiqua" w:cs="Arial"/>
        </w:rPr>
        <w:t>,</w:t>
      </w:r>
      <w:r>
        <w:rPr>
          <w:rFonts w:ascii="Book Antiqua" w:hAnsi="Book Antiqua" w:cs="Arial"/>
        </w:rPr>
        <w:t xml:space="preserve"> as the judge recorded </w:t>
      </w:r>
      <w:r w:rsidR="00CC2FF2">
        <w:rPr>
          <w:rFonts w:ascii="Book Antiqua" w:hAnsi="Book Antiqua" w:cs="Arial"/>
        </w:rPr>
        <w:t xml:space="preserve">in her determination </w:t>
      </w:r>
      <w:r>
        <w:rPr>
          <w:rFonts w:ascii="Book Antiqua" w:hAnsi="Book Antiqua" w:cs="Arial"/>
        </w:rPr>
        <w:t>at paragraph 14</w:t>
      </w:r>
      <w:r w:rsidR="00CC2FF2">
        <w:rPr>
          <w:rFonts w:ascii="Book Antiqua" w:hAnsi="Book Antiqua" w:cs="Arial"/>
        </w:rPr>
        <w:t>,</w:t>
      </w:r>
      <w:r>
        <w:rPr>
          <w:rFonts w:ascii="Book Antiqua" w:hAnsi="Book Antiqua" w:cs="Arial"/>
        </w:rPr>
        <w:t xml:space="preserve"> although the Tribunal had booked an independent interpreter for the hearing one was not available on the day of the hearing.  </w:t>
      </w:r>
    </w:p>
    <w:p w14:paraId="0063A246" w14:textId="372ABAB2" w:rsidR="0025557C" w:rsidRDefault="0025557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judge recorded at paragraph 15 as follows:</w:t>
      </w:r>
    </w:p>
    <w:p w14:paraId="0955018B" w14:textId="77777777" w:rsidR="0025557C" w:rsidRDefault="0025557C" w:rsidP="0025557C">
      <w:pPr>
        <w:spacing w:before="240"/>
        <w:ind w:left="1701" w:hanging="567"/>
        <w:jc w:val="both"/>
        <w:rPr>
          <w:rFonts w:ascii="Book Antiqua" w:hAnsi="Book Antiqua" w:cs="Arial"/>
        </w:rPr>
      </w:pPr>
      <w:r>
        <w:rPr>
          <w:rFonts w:ascii="Book Antiqua" w:hAnsi="Book Antiqua" w:cs="Arial"/>
        </w:rPr>
        <w:t>“15.</w:t>
      </w:r>
      <w:r>
        <w:rPr>
          <w:rFonts w:ascii="Book Antiqua" w:hAnsi="Book Antiqua" w:cs="Arial"/>
        </w:rPr>
        <w:tab/>
        <w:t xml:space="preserve">The appellant’s daughter was present and was able to assist by interpreting the appellant’s evidence.  This is generally undesirable, as a family member is not independent.  I asked Mr </w:t>
      </w:r>
      <w:proofErr w:type="spellStart"/>
      <w:r>
        <w:rPr>
          <w:rFonts w:ascii="Book Antiqua" w:hAnsi="Book Antiqua" w:cs="Arial"/>
        </w:rPr>
        <w:t>Blennerhassett</w:t>
      </w:r>
      <w:proofErr w:type="spellEnd"/>
      <w:r>
        <w:rPr>
          <w:rFonts w:ascii="Book Antiqua" w:hAnsi="Book Antiqua" w:cs="Arial"/>
        </w:rPr>
        <w:t xml:space="preserve"> whether he would have any objection to the appellant’s daughter interpreting if given suitable guidance about the role of an interpreter.  Mr </w:t>
      </w:r>
      <w:proofErr w:type="spellStart"/>
      <w:r>
        <w:rPr>
          <w:rFonts w:ascii="Book Antiqua" w:hAnsi="Book Antiqua" w:cs="Arial"/>
        </w:rPr>
        <w:t>Blennerhassett</w:t>
      </w:r>
      <w:proofErr w:type="spellEnd"/>
      <w:r>
        <w:rPr>
          <w:rFonts w:ascii="Book Antiqua" w:hAnsi="Book Antiqua" w:cs="Arial"/>
        </w:rPr>
        <w:t xml:space="preserve"> confirmed that he did not, given the appellant’s admission as to the misrepresentation (see below).  He also confirmed that he had no objection to her also giving evidence and stated that he did not wish to cross-examine her.</w:t>
      </w:r>
    </w:p>
    <w:p w14:paraId="1D28E81F" w14:textId="77777777" w:rsidR="0025557C" w:rsidRDefault="0025557C" w:rsidP="0025557C">
      <w:pPr>
        <w:spacing w:before="240"/>
        <w:ind w:left="1701" w:hanging="567"/>
        <w:jc w:val="both"/>
        <w:rPr>
          <w:rFonts w:ascii="Book Antiqua" w:hAnsi="Book Antiqua" w:cs="Arial"/>
        </w:rPr>
      </w:pPr>
      <w:r>
        <w:rPr>
          <w:rFonts w:ascii="Book Antiqua" w:hAnsi="Book Antiqua" w:cs="Arial"/>
        </w:rPr>
        <w:t>16.</w:t>
      </w:r>
      <w:r>
        <w:rPr>
          <w:rFonts w:ascii="Book Antiqua" w:hAnsi="Book Antiqua" w:cs="Arial"/>
        </w:rPr>
        <w:tab/>
        <w:t xml:space="preserve">I was satisfied that the appellant’s daughter understood the need to interpret exactly what was said without any gloss or alteration and that she did so to the best of her ability.  There was no objection by Mr </w:t>
      </w:r>
      <w:proofErr w:type="spellStart"/>
      <w:r>
        <w:rPr>
          <w:rFonts w:ascii="Book Antiqua" w:hAnsi="Book Antiqua" w:cs="Arial"/>
        </w:rPr>
        <w:t>Blennerhassett</w:t>
      </w:r>
      <w:proofErr w:type="spellEnd"/>
      <w:r>
        <w:rPr>
          <w:rFonts w:ascii="Book Antiqua" w:hAnsi="Book Antiqua" w:cs="Arial"/>
        </w:rPr>
        <w:t xml:space="preserve"> during the evidence that it was in any way unfair or otherwise tainted by the appellant’s daughter acting as interpreter”.</w:t>
      </w:r>
    </w:p>
    <w:p w14:paraId="455DBF13" w14:textId="77777777" w:rsidR="0025557C" w:rsidRDefault="0025557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lastRenderedPageBreak/>
        <w:t xml:space="preserve">As recorded at paragraph 18 the appellant adopted his witness statement and also gave brief supplementary oral evidence about his  health and the impact on him of losing his British citizenship.  </w:t>
      </w:r>
    </w:p>
    <w:p w14:paraId="387813FB" w14:textId="2752A59C" w:rsidR="0025557C" w:rsidRDefault="0025557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At this point</w:t>
      </w:r>
      <w:r w:rsidR="00222802">
        <w:rPr>
          <w:rFonts w:ascii="Book Antiqua" w:hAnsi="Book Antiqua" w:cs="Arial"/>
        </w:rPr>
        <w:t>, as recorded at</w:t>
      </w:r>
      <w:r>
        <w:rPr>
          <w:rFonts w:ascii="Book Antiqua" w:hAnsi="Book Antiqua" w:cs="Arial"/>
        </w:rPr>
        <w:t xml:space="preserve"> </w:t>
      </w:r>
      <w:r w:rsidR="00222802">
        <w:rPr>
          <w:rFonts w:ascii="Book Antiqua" w:hAnsi="Book Antiqua" w:cs="Arial"/>
        </w:rPr>
        <w:t xml:space="preserve">paragraph 19, </w:t>
      </w:r>
      <w:r>
        <w:rPr>
          <w:rFonts w:ascii="Book Antiqua" w:hAnsi="Book Antiqua" w:cs="Arial"/>
        </w:rPr>
        <w:t>the appellant appears to have been cross-examined</w:t>
      </w:r>
      <w:r w:rsidR="00E404D0">
        <w:rPr>
          <w:rFonts w:ascii="Book Antiqua" w:hAnsi="Book Antiqua" w:cs="Arial"/>
        </w:rPr>
        <w:t>,</w:t>
      </w:r>
      <w:r>
        <w:rPr>
          <w:rFonts w:ascii="Book Antiqua" w:hAnsi="Book Antiqua" w:cs="Arial"/>
        </w:rPr>
        <w:t xml:space="preserve"> </w:t>
      </w:r>
      <w:r w:rsidR="00E404D0">
        <w:rPr>
          <w:rFonts w:ascii="Book Antiqua" w:hAnsi="Book Antiqua" w:cs="Arial"/>
        </w:rPr>
        <w:t xml:space="preserve">with the assistance of his daughter as interpreter, </w:t>
      </w:r>
      <w:r>
        <w:rPr>
          <w:rFonts w:ascii="Book Antiqua" w:hAnsi="Book Antiqua" w:cs="Arial"/>
        </w:rPr>
        <w:t xml:space="preserve">about his current circumstances “and those of his family”,.  The appellant gave evidence about his wife having </w:t>
      </w:r>
    </w:p>
    <w:p w14:paraId="71A35EB2" w14:textId="77777777" w:rsidR="0025557C" w:rsidRDefault="0025557C" w:rsidP="0025557C">
      <w:pPr>
        <w:spacing w:before="240"/>
        <w:ind w:left="1134"/>
        <w:jc w:val="both"/>
        <w:rPr>
          <w:rFonts w:ascii="Book Antiqua" w:hAnsi="Book Antiqua" w:cs="Arial"/>
        </w:rPr>
      </w:pPr>
      <w:r>
        <w:rPr>
          <w:rFonts w:ascii="Book Antiqua" w:hAnsi="Book Antiqua" w:cs="Arial"/>
        </w:rPr>
        <w:t>“never worked in the United Kingdom because she has suffered from mental health problems.  He worked previously but stopped in 2017 after suffering a heart attack.  He stated that he is now in receipt of Universal Credit which pays a sum for rent and a sum for living expenses”.</w:t>
      </w:r>
    </w:p>
    <w:p w14:paraId="2374BCB1" w14:textId="77777777" w:rsidR="0025557C" w:rsidRDefault="0025557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judge further recorded at paragraphs 20 and 21:</w:t>
      </w:r>
    </w:p>
    <w:p w14:paraId="507786AD" w14:textId="77777777" w:rsidR="0025557C" w:rsidRDefault="0025557C" w:rsidP="0025557C">
      <w:pPr>
        <w:spacing w:before="240"/>
        <w:ind w:left="1701" w:hanging="567"/>
        <w:jc w:val="both"/>
        <w:rPr>
          <w:rFonts w:ascii="Book Antiqua" w:hAnsi="Book Antiqua" w:cs="Arial"/>
        </w:rPr>
      </w:pPr>
      <w:r>
        <w:rPr>
          <w:rFonts w:ascii="Book Antiqua" w:hAnsi="Book Antiqua" w:cs="Arial"/>
        </w:rPr>
        <w:t>“20.</w:t>
      </w:r>
      <w:r>
        <w:rPr>
          <w:rFonts w:ascii="Book Antiqua" w:hAnsi="Book Antiqua" w:cs="Arial"/>
        </w:rPr>
        <w:tab/>
        <w:t>The appellant confirmed that he suffered a heart attack and had surgery in Albania.  He has not had any other surgery but takes medication regularly.  He stated that he receives his medication free of charge and that he receives it two months at a time.  He said that he had been assessed as not fit to work.</w:t>
      </w:r>
    </w:p>
    <w:p w14:paraId="1476736A" w14:textId="77777777" w:rsidR="0025557C" w:rsidRDefault="0025557C" w:rsidP="0025557C">
      <w:pPr>
        <w:spacing w:before="240"/>
        <w:ind w:left="1701" w:hanging="567"/>
        <w:jc w:val="both"/>
        <w:rPr>
          <w:rFonts w:ascii="Book Antiqua" w:hAnsi="Book Antiqua" w:cs="Arial"/>
        </w:rPr>
      </w:pPr>
      <w:r>
        <w:rPr>
          <w:rFonts w:ascii="Book Antiqua" w:hAnsi="Book Antiqua" w:cs="Arial"/>
        </w:rPr>
        <w:t>21.</w:t>
      </w:r>
      <w:r>
        <w:rPr>
          <w:rFonts w:ascii="Book Antiqua" w:hAnsi="Book Antiqua" w:cs="Arial"/>
        </w:rPr>
        <w:tab/>
        <w:t>In re-examination the appellant confirmed that the assessment about his fitness to work was in connection with his benefits”.</w:t>
      </w:r>
    </w:p>
    <w:p w14:paraId="1F3677CF" w14:textId="77777777" w:rsidR="0025557C" w:rsidRDefault="0025557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appellant’s daughter then adopted her own witness statement and gave supplementary oral evidence about her family.  There is no detail as to mother’s poor mental health.  </w:t>
      </w:r>
    </w:p>
    <w:p w14:paraId="5F62C094" w14:textId="77777777" w:rsidR="00E404D0" w:rsidRDefault="0025557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At paragraph 26 the submission from Ms Foot included that </w:t>
      </w:r>
    </w:p>
    <w:p w14:paraId="37D4041A" w14:textId="77777777" w:rsidR="00E404D0" w:rsidRDefault="0025557C" w:rsidP="00222802">
      <w:pPr>
        <w:spacing w:before="240"/>
        <w:ind w:left="1134"/>
        <w:jc w:val="both"/>
        <w:rPr>
          <w:rFonts w:ascii="Book Antiqua" w:hAnsi="Book Antiqua" w:cs="Arial"/>
        </w:rPr>
      </w:pPr>
      <w:r>
        <w:rPr>
          <w:rFonts w:ascii="Book Antiqua" w:hAnsi="Book Antiqua" w:cs="Arial"/>
        </w:rPr>
        <w:t xml:space="preserve">“she accepted there was no medical evidence of the appellant’s wife’s poor mental health but invited me to find the oral evidence credible on that point”.  </w:t>
      </w:r>
    </w:p>
    <w:p w14:paraId="079F12EC" w14:textId="10268950" w:rsidR="0025557C" w:rsidRDefault="0025557C" w:rsidP="00E404D0">
      <w:pPr>
        <w:spacing w:before="240"/>
        <w:ind w:left="567"/>
        <w:jc w:val="both"/>
        <w:rPr>
          <w:rFonts w:ascii="Book Antiqua" w:hAnsi="Book Antiqua" w:cs="Arial"/>
        </w:rPr>
      </w:pPr>
      <w:r>
        <w:rPr>
          <w:rFonts w:ascii="Book Antiqua" w:hAnsi="Book Antiqua" w:cs="Arial"/>
        </w:rPr>
        <w:t>The thrust of the claim was that the deprivation of citizenship would mean that the appellant would lose his entitlement to claim benefits which may</w:t>
      </w:r>
      <w:r w:rsidR="00E404D0">
        <w:rPr>
          <w:rFonts w:ascii="Book Antiqua" w:hAnsi="Book Antiqua" w:cs="Arial"/>
        </w:rPr>
        <w:t xml:space="preserve"> cause</w:t>
      </w:r>
      <w:r>
        <w:rPr>
          <w:rFonts w:ascii="Book Antiqua" w:hAnsi="Book Antiqua" w:cs="Arial"/>
        </w:rPr>
        <w:t xml:space="preserve"> difficulty </w:t>
      </w:r>
      <w:r w:rsidR="00B3119A">
        <w:rPr>
          <w:rFonts w:ascii="Book Antiqua" w:hAnsi="Book Antiqua" w:cs="Arial"/>
        </w:rPr>
        <w:t xml:space="preserve">and </w:t>
      </w:r>
      <w:r>
        <w:rPr>
          <w:rFonts w:ascii="Book Antiqua" w:hAnsi="Book Antiqua" w:cs="Arial"/>
        </w:rPr>
        <w:t>in accessing his essential medicines and thus the appellant’s circumstances outweighed the public interest.</w:t>
      </w:r>
    </w:p>
    <w:p w14:paraId="562157B1" w14:textId="77777777" w:rsidR="00222802" w:rsidRDefault="0025557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At </w:t>
      </w:r>
      <w:r w:rsidR="0055152A">
        <w:rPr>
          <w:rFonts w:ascii="Book Antiqua" w:hAnsi="Book Antiqua" w:cs="Arial"/>
        </w:rPr>
        <w:t xml:space="preserve">paragraph </w:t>
      </w:r>
      <w:r>
        <w:rPr>
          <w:rFonts w:ascii="Book Antiqua" w:hAnsi="Book Antiqua" w:cs="Arial"/>
        </w:rPr>
        <w:t>35</w:t>
      </w:r>
      <w:r w:rsidR="0055152A">
        <w:rPr>
          <w:rFonts w:ascii="Book Antiqua" w:hAnsi="Book Antiqua" w:cs="Arial"/>
        </w:rPr>
        <w:t xml:space="preserve"> </w:t>
      </w:r>
      <w:r w:rsidR="00CC2FF2">
        <w:rPr>
          <w:rFonts w:ascii="Book Antiqua" w:hAnsi="Book Antiqua" w:cs="Arial"/>
        </w:rPr>
        <w:t xml:space="preserve">the judge </w:t>
      </w:r>
      <w:r w:rsidR="0055152A">
        <w:rPr>
          <w:rFonts w:ascii="Book Antiqua" w:hAnsi="Book Antiqua" w:cs="Arial"/>
        </w:rPr>
        <w:t xml:space="preserve">found </w:t>
      </w:r>
    </w:p>
    <w:p w14:paraId="7CA5AF96" w14:textId="28A8285E" w:rsidR="0055152A" w:rsidRDefault="0055152A" w:rsidP="00222802">
      <w:pPr>
        <w:spacing w:before="240"/>
        <w:ind w:left="1134"/>
        <w:jc w:val="both"/>
        <w:rPr>
          <w:rFonts w:ascii="Book Antiqua" w:hAnsi="Book Antiqua" w:cs="Arial"/>
        </w:rPr>
      </w:pPr>
      <w:r>
        <w:rPr>
          <w:rFonts w:ascii="Book Antiqua" w:hAnsi="Book Antiqua" w:cs="Arial"/>
        </w:rPr>
        <w:t xml:space="preserve">“the appellant and his daughter to be credible witnesses.  There was no challenge to the credibility of their evidence and it was consistent”.  </w:t>
      </w:r>
    </w:p>
    <w:p w14:paraId="7B4E151C" w14:textId="4ED2F0A1" w:rsidR="0055152A" w:rsidRDefault="0055152A"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assessment of whether the consequences of the deprivation of the appellant and his citizenship rested on an analysis of the facts of the effect on the family and particularly the appellant and his wife.  It is correct to state that the appellant submitted a signed witness statement but that made little reference to the wife’s medical complaints and concentrated on those of his own.  As pointed out there was no </w:t>
      </w:r>
      <w:r w:rsidR="00CC2FF2">
        <w:rPr>
          <w:rFonts w:ascii="Book Antiqua" w:hAnsi="Book Antiqua" w:cs="Arial"/>
        </w:rPr>
        <w:t xml:space="preserve">documentary </w:t>
      </w:r>
      <w:r>
        <w:rPr>
          <w:rFonts w:ascii="Book Antiqua" w:hAnsi="Book Antiqua" w:cs="Arial"/>
        </w:rPr>
        <w:t>medical evidence relating to the wife and merely the evidence from the appellant and from the daughter.  The judge specifically stated at paragraph 35 that she accepted the evidence in part because it was consistent.  The wife did not attend the hearing and although she submitted a witness statement which stated in generalised terms that she and her husband suffered from serious health conditions this was not signed nor dated.  The appellant’s daughters</w:t>
      </w:r>
      <w:r w:rsidR="00285D4A">
        <w:rPr>
          <w:rFonts w:ascii="Book Antiqua" w:hAnsi="Book Antiqua" w:cs="Arial"/>
        </w:rPr>
        <w:t>’</w:t>
      </w:r>
      <w:r>
        <w:rPr>
          <w:rFonts w:ascii="Book Antiqua" w:hAnsi="Book Antiqua" w:cs="Arial"/>
        </w:rPr>
        <w:t xml:space="preserve"> statement</w:t>
      </w:r>
      <w:r w:rsidR="00285D4A">
        <w:rPr>
          <w:rFonts w:ascii="Book Antiqua" w:hAnsi="Book Antiqua" w:cs="Arial"/>
        </w:rPr>
        <w:t>s</w:t>
      </w:r>
      <w:r>
        <w:rPr>
          <w:rFonts w:ascii="Book Antiqua" w:hAnsi="Book Antiqua" w:cs="Arial"/>
        </w:rPr>
        <w:t xml:space="preserve"> </w:t>
      </w:r>
      <w:r w:rsidR="00290A09">
        <w:rPr>
          <w:rFonts w:ascii="Book Antiqua" w:hAnsi="Book Antiqua" w:cs="Arial"/>
        </w:rPr>
        <w:t xml:space="preserve">on file </w:t>
      </w:r>
      <w:r>
        <w:rPr>
          <w:rFonts w:ascii="Book Antiqua" w:hAnsi="Book Antiqua" w:cs="Arial"/>
        </w:rPr>
        <w:t>w</w:t>
      </w:r>
      <w:r w:rsidR="00285D4A">
        <w:rPr>
          <w:rFonts w:ascii="Book Antiqua" w:hAnsi="Book Antiqua" w:cs="Arial"/>
        </w:rPr>
        <w:t>ere neither</w:t>
      </w:r>
      <w:r>
        <w:rPr>
          <w:rFonts w:ascii="Book Antiqua" w:hAnsi="Book Antiqua" w:cs="Arial"/>
        </w:rPr>
        <w:t xml:space="preserve"> signed nor dated, and indeed I note in fact that there are two daughters, one named </w:t>
      </w:r>
      <w:proofErr w:type="spellStart"/>
      <w:r>
        <w:rPr>
          <w:rFonts w:ascii="Book Antiqua" w:hAnsi="Book Antiqua" w:cs="Arial"/>
        </w:rPr>
        <w:t>Mirjeta</w:t>
      </w:r>
      <w:proofErr w:type="spellEnd"/>
      <w:r>
        <w:rPr>
          <w:rFonts w:ascii="Book Antiqua" w:hAnsi="Book Antiqua" w:cs="Arial"/>
        </w:rPr>
        <w:t xml:space="preserve"> and the other </w:t>
      </w:r>
      <w:proofErr w:type="spellStart"/>
      <w:r>
        <w:rPr>
          <w:rFonts w:ascii="Book Antiqua" w:hAnsi="Book Antiqua" w:cs="Arial"/>
        </w:rPr>
        <w:t>Alsida</w:t>
      </w:r>
      <w:proofErr w:type="spellEnd"/>
      <w:r>
        <w:rPr>
          <w:rFonts w:ascii="Book Antiqua" w:hAnsi="Book Antiqua" w:cs="Arial"/>
        </w:rPr>
        <w:t xml:space="preserve">, both of whom asserted that they would be attending to give evidence. </w:t>
      </w:r>
    </w:p>
    <w:p w14:paraId="1D84D746" w14:textId="17BCF91A" w:rsidR="00A42214" w:rsidRDefault="0055152A"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As set out in </w:t>
      </w:r>
      <w:r w:rsidRPr="0055152A">
        <w:rPr>
          <w:rFonts w:ascii="Book Antiqua" w:hAnsi="Book Antiqua" w:cs="Arial"/>
          <w:b/>
          <w:u w:val="single"/>
        </w:rPr>
        <w:t>CD</w:t>
      </w:r>
      <w:r w:rsidRPr="0055152A">
        <w:rPr>
          <w:rFonts w:ascii="Book Antiqua" w:hAnsi="Book Antiqua" w:cs="Arial"/>
          <w:b/>
        </w:rPr>
        <w:t xml:space="preserve"> (Jamaica) [2010] EWCA </w:t>
      </w:r>
      <w:proofErr w:type="spellStart"/>
      <w:r w:rsidRPr="0055152A">
        <w:rPr>
          <w:rFonts w:ascii="Book Antiqua" w:hAnsi="Book Antiqua" w:cs="Arial"/>
          <w:b/>
        </w:rPr>
        <w:t>Civ</w:t>
      </w:r>
      <w:proofErr w:type="spellEnd"/>
      <w:r w:rsidRPr="0055152A">
        <w:rPr>
          <w:rFonts w:ascii="Book Antiqua" w:hAnsi="Book Antiqua" w:cs="Arial"/>
          <w:b/>
        </w:rPr>
        <w:t xml:space="preserve"> 768</w:t>
      </w:r>
      <w:r>
        <w:rPr>
          <w:rFonts w:ascii="Book Antiqua" w:hAnsi="Book Antiqua" w:cs="Arial"/>
        </w:rPr>
        <w:t xml:space="preserve"> when referring to </w:t>
      </w:r>
      <w:r w:rsidRPr="0055152A">
        <w:rPr>
          <w:rFonts w:ascii="Book Antiqua" w:hAnsi="Book Antiqua" w:cs="Arial"/>
          <w:b/>
          <w:u w:val="single"/>
        </w:rPr>
        <w:t>NR (Jamaica) v Secretary of State for the Home Department</w:t>
      </w:r>
      <w:r w:rsidRPr="0055152A">
        <w:rPr>
          <w:rFonts w:ascii="Book Antiqua" w:hAnsi="Book Antiqua" w:cs="Arial"/>
          <w:b/>
        </w:rPr>
        <w:t xml:space="preserve"> [2009] EWCA </w:t>
      </w:r>
      <w:proofErr w:type="spellStart"/>
      <w:r w:rsidRPr="0055152A">
        <w:rPr>
          <w:rFonts w:ascii="Book Antiqua" w:hAnsi="Book Antiqua" w:cs="Arial"/>
          <w:b/>
        </w:rPr>
        <w:t>Civ</w:t>
      </w:r>
      <w:proofErr w:type="spellEnd"/>
      <w:r w:rsidRPr="0055152A">
        <w:rPr>
          <w:rFonts w:ascii="Book Antiqua" w:hAnsi="Book Antiqua" w:cs="Arial"/>
          <w:b/>
        </w:rPr>
        <w:t xml:space="preserve"> 856</w:t>
      </w:r>
      <w:r>
        <w:rPr>
          <w:rFonts w:ascii="Book Antiqua" w:hAnsi="Book Antiqua" w:cs="Arial"/>
        </w:rPr>
        <w:t xml:space="preserve"> the Tribunal </w:t>
      </w:r>
    </w:p>
    <w:p w14:paraId="765A3FED" w14:textId="5059BBC2" w:rsidR="00CC2FF2" w:rsidRDefault="0055152A" w:rsidP="00A42214">
      <w:pPr>
        <w:spacing w:before="240"/>
        <w:ind w:left="1134"/>
        <w:jc w:val="both"/>
        <w:rPr>
          <w:rFonts w:ascii="Book Antiqua" w:hAnsi="Book Antiqua" w:cs="Arial"/>
        </w:rPr>
      </w:pPr>
      <w:r>
        <w:rPr>
          <w:rFonts w:ascii="Book Antiqua" w:hAnsi="Book Antiqua" w:cs="Arial"/>
        </w:rPr>
        <w:t xml:space="preserve">“can allow a concession to be withdrawn if there is good reason in all the circumstances to do so and if it can be done in the absence of prejudice.  No principle will govern every case, but the most important of any decision is that </w:t>
      </w:r>
      <w:r w:rsidRPr="001550AA">
        <w:rPr>
          <w:rFonts w:ascii="Book Antiqua" w:hAnsi="Book Antiqua" w:cs="Arial"/>
          <w:u w:val="single"/>
        </w:rPr>
        <w:t>the Tribunal must put itself in the position</w:t>
      </w:r>
      <w:r>
        <w:rPr>
          <w:rFonts w:ascii="Book Antiqua" w:hAnsi="Book Antiqua" w:cs="Arial"/>
        </w:rPr>
        <w:t xml:space="preserve"> </w:t>
      </w:r>
      <w:r w:rsidRPr="001550AA">
        <w:rPr>
          <w:rFonts w:ascii="Book Antiqua" w:hAnsi="Book Antiqua" w:cs="Arial"/>
          <w:u w:val="single"/>
        </w:rPr>
        <w:t>in which the real issues of dispute on the merits can be decided</w:t>
      </w:r>
      <w:r>
        <w:rPr>
          <w:rFonts w:ascii="Book Antiqua" w:hAnsi="Book Antiqua" w:cs="Arial"/>
        </w:rPr>
        <w:t xml:space="preserve">, so long as that can be done without prejudice to one side or the other”.  </w:t>
      </w:r>
    </w:p>
    <w:p w14:paraId="7D8CCAAE" w14:textId="047E24E6" w:rsidR="00091A00" w:rsidRDefault="00CC2FF2"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w:t>
      </w:r>
      <w:r w:rsidR="0055152A">
        <w:rPr>
          <w:rFonts w:ascii="Book Antiqua" w:hAnsi="Book Antiqua" w:cs="Arial"/>
        </w:rPr>
        <w:t xml:space="preserve">n </w:t>
      </w:r>
      <w:r w:rsidR="0055152A" w:rsidRPr="00CC2FF2">
        <w:rPr>
          <w:rFonts w:ascii="Book Antiqua" w:hAnsi="Book Antiqua" w:cs="Arial"/>
          <w:b/>
          <w:bCs/>
          <w:u w:val="single"/>
        </w:rPr>
        <w:t xml:space="preserve">SSHD v </w:t>
      </w:r>
      <w:proofErr w:type="spellStart"/>
      <w:r w:rsidR="0055152A" w:rsidRPr="00CC2FF2">
        <w:rPr>
          <w:rFonts w:ascii="Book Antiqua" w:hAnsi="Book Antiqua" w:cs="Arial"/>
          <w:b/>
          <w:bCs/>
          <w:u w:val="single"/>
        </w:rPr>
        <w:t>Davoodipanah</w:t>
      </w:r>
      <w:proofErr w:type="spellEnd"/>
      <w:r w:rsidR="0055152A">
        <w:rPr>
          <w:rFonts w:ascii="Book Antiqua" w:hAnsi="Book Antiqua" w:cs="Arial"/>
        </w:rPr>
        <w:t xml:space="preserve"> [2004] EWCA </w:t>
      </w:r>
      <w:proofErr w:type="spellStart"/>
      <w:r w:rsidR="0055152A">
        <w:rPr>
          <w:rFonts w:ascii="Book Antiqua" w:hAnsi="Book Antiqua" w:cs="Arial"/>
        </w:rPr>
        <w:t>Civ</w:t>
      </w:r>
      <w:proofErr w:type="spellEnd"/>
      <w:r w:rsidR="0055152A">
        <w:rPr>
          <w:rFonts w:ascii="Book Antiqua" w:hAnsi="Book Antiqua" w:cs="Arial"/>
        </w:rPr>
        <w:t xml:space="preserve"> 106 at paragraph 22</w:t>
      </w:r>
      <w:r>
        <w:rPr>
          <w:rFonts w:ascii="Book Antiqua" w:hAnsi="Book Antiqua" w:cs="Arial"/>
        </w:rPr>
        <w:t xml:space="preserve"> the court held </w:t>
      </w:r>
      <w:r w:rsidR="00091A00">
        <w:rPr>
          <w:rFonts w:ascii="Book Antiqua" w:hAnsi="Book Antiqua" w:cs="Arial"/>
        </w:rPr>
        <w:t>:</w:t>
      </w:r>
    </w:p>
    <w:p w14:paraId="1D486AA0" w14:textId="77777777" w:rsidR="00091A00" w:rsidRDefault="00091A00" w:rsidP="00091A00">
      <w:pPr>
        <w:spacing w:before="240"/>
        <w:ind w:left="1134"/>
        <w:jc w:val="both"/>
        <w:rPr>
          <w:rFonts w:ascii="Book Antiqua" w:hAnsi="Book Antiqua" w:cs="Arial"/>
        </w:rPr>
      </w:pPr>
      <w:r>
        <w:rPr>
          <w:rFonts w:ascii="Book Antiqua" w:hAnsi="Book Antiqua" w:cs="Arial"/>
        </w:rPr>
        <w:t>“</w:t>
      </w:r>
      <w:r w:rsidRPr="00091A00">
        <w:rPr>
          <w:rFonts w:ascii="Book Antiqua" w:hAnsi="Book Antiqua" w:cs="Arial"/>
        </w:rPr>
        <w:t xml:space="preserve">It is clear from the authorities that where a concession has been made before an adjudicator by either party the Tribunal can allow the concession to be withdrawn if it considers that there is good reason in all the circumstances to take that course…Obviously if there will be prejudice to one of the parties if the withdrawal is allowed that will be relevant and matters such as the nature of the concession and the timing may also be relevant, but it is not essential to demonstrate prejudice before an application to withdraw a concession can be refused. </w:t>
      </w:r>
      <w:r>
        <w:rPr>
          <w:rFonts w:ascii="Book Antiqua" w:hAnsi="Book Antiqua" w:cs="Arial"/>
        </w:rPr>
        <w:t xml:space="preserve"> </w:t>
      </w:r>
      <w:r w:rsidRPr="00A34E7A">
        <w:rPr>
          <w:rFonts w:ascii="Book Antiqua" w:hAnsi="Book Antiqua" w:cs="Arial"/>
          <w:u w:val="single"/>
        </w:rPr>
        <w:t>What the Tribunal must do is to try to obtain a fair and just result</w:t>
      </w:r>
      <w:r w:rsidRPr="00091A00">
        <w:rPr>
          <w:rFonts w:ascii="Book Antiqua" w:hAnsi="Book Antiqua" w:cs="Arial"/>
        </w:rPr>
        <w:t xml:space="preserve">. </w:t>
      </w:r>
      <w:r>
        <w:rPr>
          <w:rFonts w:ascii="Book Antiqua" w:hAnsi="Book Antiqua" w:cs="Arial"/>
        </w:rPr>
        <w:t xml:space="preserve"> </w:t>
      </w:r>
      <w:r w:rsidRPr="00091A00">
        <w:rPr>
          <w:rFonts w:ascii="Book Antiqua" w:hAnsi="Book Antiqua" w:cs="Arial"/>
        </w:rPr>
        <w:t xml:space="preserve">In the absence of prejudice, if a presenting officer has made a concession which appears in retrospect to be a concession which he should not have made, then justice will require that the Secretary of State be allowed to withdraw that concession before the Tribunal. </w:t>
      </w:r>
      <w:r>
        <w:rPr>
          <w:rFonts w:ascii="Book Antiqua" w:hAnsi="Book Antiqua" w:cs="Arial"/>
        </w:rPr>
        <w:t xml:space="preserve"> </w:t>
      </w:r>
      <w:r w:rsidRPr="00091A00">
        <w:rPr>
          <w:rFonts w:ascii="Book Antiqua" w:hAnsi="Book Antiqua" w:cs="Arial"/>
        </w:rPr>
        <w:t xml:space="preserve">But, as I have said, </w:t>
      </w:r>
      <w:r w:rsidRPr="00CC2FF2">
        <w:rPr>
          <w:rFonts w:ascii="Book Antiqua" w:hAnsi="Book Antiqua" w:cs="Arial"/>
          <w:b/>
          <w:bCs/>
        </w:rPr>
        <w:t>everything depends on the circumstances, and each case must be considered on its own merits</w:t>
      </w:r>
      <w:r>
        <w:rPr>
          <w:rFonts w:ascii="Book Antiqua" w:hAnsi="Book Antiqua" w:cs="Arial"/>
        </w:rPr>
        <w:t>”.</w:t>
      </w:r>
    </w:p>
    <w:p w14:paraId="47C92F23" w14:textId="77777777" w:rsidR="000E3E2D" w:rsidRDefault="00AC591F" w:rsidP="00CC2FF2">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Tribunal must conduct proceedings in a fair and just manner.  The Tribunal’s discretion is </w:t>
      </w:r>
      <w:r w:rsidR="00C746A6">
        <w:rPr>
          <w:rFonts w:ascii="Book Antiqua" w:hAnsi="Book Antiqua" w:cs="Arial"/>
        </w:rPr>
        <w:t>wide,</w:t>
      </w:r>
      <w:r>
        <w:rPr>
          <w:rFonts w:ascii="Book Antiqua" w:hAnsi="Book Antiqua" w:cs="Arial"/>
        </w:rPr>
        <w:t xml:space="preserve"> and its exercise will depend on the particular circumstances of the case.  </w:t>
      </w:r>
    </w:p>
    <w:p w14:paraId="3465B1A4" w14:textId="058E8677" w:rsidR="00AC591F" w:rsidRDefault="00091A00" w:rsidP="00CC2FF2">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 am not persuaded</w:t>
      </w:r>
      <w:r w:rsidR="00AC591F">
        <w:rPr>
          <w:rFonts w:ascii="Book Antiqua" w:hAnsi="Book Antiqua" w:cs="Arial"/>
        </w:rPr>
        <w:t>, however, that</w:t>
      </w:r>
      <w:r>
        <w:rPr>
          <w:rFonts w:ascii="Book Antiqua" w:hAnsi="Book Antiqua" w:cs="Arial"/>
        </w:rPr>
        <w:t xml:space="preserve"> where there is a principle of fairness in procedure </w:t>
      </w:r>
      <w:r w:rsidR="00AC591F">
        <w:rPr>
          <w:rFonts w:ascii="Book Antiqua" w:hAnsi="Book Antiqua" w:cs="Arial"/>
        </w:rPr>
        <w:t xml:space="preserve">at stake </w:t>
      </w:r>
      <w:r>
        <w:rPr>
          <w:rFonts w:ascii="Book Antiqua" w:hAnsi="Book Antiqua" w:cs="Arial"/>
        </w:rPr>
        <w:t xml:space="preserve">that there can be a concession made.  </w:t>
      </w:r>
      <w:r w:rsidR="00AC591F">
        <w:rPr>
          <w:rFonts w:ascii="Book Antiqua" w:hAnsi="Book Antiqua" w:cs="Arial"/>
        </w:rPr>
        <w:t>Whether or not the Secretary of State objected to the daughter as interpreter, the judge acknowledged</w:t>
      </w:r>
      <w:r w:rsidR="00E56137">
        <w:rPr>
          <w:rFonts w:ascii="Book Antiqua" w:hAnsi="Book Antiqua" w:cs="Arial"/>
        </w:rPr>
        <w:t xml:space="preserve"> and recognised</w:t>
      </w:r>
      <w:r w:rsidR="00AC591F">
        <w:rPr>
          <w:rFonts w:ascii="Book Antiqua" w:hAnsi="Book Antiqua" w:cs="Arial"/>
        </w:rPr>
        <w:t xml:space="preserve"> herself in her own determination that the daughter as interpreter was not independent.  </w:t>
      </w:r>
      <w:r>
        <w:rPr>
          <w:rFonts w:ascii="Book Antiqua" w:hAnsi="Book Antiqua" w:cs="Arial"/>
        </w:rPr>
        <w:t xml:space="preserve">  I accept that prejudice is a significant feature</w:t>
      </w:r>
      <w:r w:rsidR="00AC591F">
        <w:rPr>
          <w:rFonts w:ascii="Book Antiqua" w:hAnsi="Book Antiqua" w:cs="Arial"/>
        </w:rPr>
        <w:t>,</w:t>
      </w:r>
      <w:r>
        <w:rPr>
          <w:rFonts w:ascii="Book Antiqua" w:hAnsi="Book Antiqua" w:cs="Arial"/>
        </w:rPr>
        <w:t xml:space="preserve"> </w:t>
      </w:r>
      <w:r w:rsidR="00AC591F">
        <w:rPr>
          <w:rFonts w:ascii="Book Antiqua" w:hAnsi="Book Antiqua" w:cs="Arial"/>
        </w:rPr>
        <w:t>although</w:t>
      </w:r>
      <w:r>
        <w:rPr>
          <w:rFonts w:ascii="Book Antiqua" w:hAnsi="Book Antiqua" w:cs="Arial"/>
        </w:rPr>
        <w:t xml:space="preserve"> its absence</w:t>
      </w:r>
      <w:r w:rsidR="00AC591F">
        <w:rPr>
          <w:rFonts w:ascii="Book Antiqua" w:hAnsi="Book Antiqua" w:cs="Arial"/>
        </w:rPr>
        <w:t xml:space="preserve"> does not necessarily permit a concession to be withdrawn,</w:t>
      </w:r>
      <w:r>
        <w:rPr>
          <w:rFonts w:ascii="Book Antiqua" w:hAnsi="Book Antiqua" w:cs="Arial"/>
        </w:rPr>
        <w:t xml:space="preserve"> but in this instance the overriding objective is that the interests of justice be served.  </w:t>
      </w:r>
      <w:r w:rsidR="00AC591F">
        <w:rPr>
          <w:rFonts w:ascii="Book Antiqua" w:hAnsi="Book Antiqua" w:cs="Arial"/>
        </w:rPr>
        <w:t xml:space="preserve">At present the appellant’s appeal against the deprivation of his citizenship is ongoing and his citizenship has not yet been removed. </w:t>
      </w:r>
    </w:p>
    <w:p w14:paraId="76E54EB6" w14:textId="23F3C783" w:rsidR="00091A00" w:rsidRPr="00CC2FF2" w:rsidRDefault="00091A00" w:rsidP="00CC2FF2">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 </w:t>
      </w:r>
      <w:r w:rsidR="00AC591F">
        <w:rPr>
          <w:rFonts w:ascii="Book Antiqua" w:hAnsi="Book Antiqua" w:cs="Arial"/>
        </w:rPr>
        <w:t xml:space="preserve">also </w:t>
      </w:r>
      <w:r>
        <w:rPr>
          <w:rFonts w:ascii="Book Antiqua" w:hAnsi="Book Antiqua" w:cs="Arial"/>
        </w:rPr>
        <w:t xml:space="preserve">note from </w:t>
      </w:r>
      <w:r w:rsidRPr="00091A00">
        <w:rPr>
          <w:rFonts w:ascii="Book Antiqua" w:hAnsi="Book Antiqua" w:cs="Arial"/>
          <w:b/>
          <w:u w:val="single"/>
        </w:rPr>
        <w:t>TS</w:t>
      </w:r>
      <w:r w:rsidRPr="00091A00">
        <w:rPr>
          <w:rFonts w:ascii="Book Antiqua" w:hAnsi="Book Antiqua" w:cs="Arial"/>
          <w:b/>
        </w:rPr>
        <w:t xml:space="preserve"> (interpreters) Eritrea [2019] UKUT 352</w:t>
      </w:r>
      <w:r>
        <w:rPr>
          <w:rFonts w:ascii="Book Antiqua" w:hAnsi="Book Antiqua" w:cs="Arial"/>
        </w:rPr>
        <w:t xml:space="preserve"> that an Appellate Tribunal should be slow to overturn a judge’s decision on the basis of alleged errors in it or other problems with interpretation at the hearing before that judge that weight should be given to the judge’s own assessment of whether the interpreter and the appellant or witness understood each other.</w:t>
      </w:r>
      <w:r w:rsidR="00CC2FF2">
        <w:rPr>
          <w:rFonts w:ascii="Book Antiqua" w:hAnsi="Book Antiqua" w:cs="Arial"/>
        </w:rPr>
        <w:t xml:space="preserve">  </w:t>
      </w:r>
      <w:r w:rsidRPr="00CC2FF2">
        <w:rPr>
          <w:rFonts w:ascii="Book Antiqua" w:hAnsi="Book Antiqua" w:cs="Arial"/>
        </w:rPr>
        <w:t>That</w:t>
      </w:r>
      <w:r w:rsidR="00AC591F">
        <w:rPr>
          <w:rFonts w:ascii="Book Antiqua" w:hAnsi="Book Antiqua" w:cs="Arial"/>
        </w:rPr>
        <w:t>, however,</w:t>
      </w:r>
      <w:r w:rsidRPr="00CC2FF2">
        <w:rPr>
          <w:rFonts w:ascii="Book Antiqua" w:hAnsi="Book Antiqua" w:cs="Arial"/>
        </w:rPr>
        <w:t xml:space="preserve"> was in relation to whether the professional interpreter </w:t>
      </w:r>
      <w:r w:rsidR="00CC2FF2">
        <w:rPr>
          <w:rFonts w:ascii="Book Antiqua" w:hAnsi="Book Antiqua" w:cs="Arial"/>
        </w:rPr>
        <w:t>who was required to be</w:t>
      </w:r>
      <w:r w:rsidRPr="00CC2FF2">
        <w:rPr>
          <w:rFonts w:ascii="Book Antiqua" w:hAnsi="Book Antiqua" w:cs="Arial"/>
        </w:rPr>
        <w:t xml:space="preserve"> independent.</w:t>
      </w:r>
    </w:p>
    <w:p w14:paraId="5609A383" w14:textId="16DB17B2" w:rsidR="00091A00" w:rsidRDefault="00091A00"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In this case the interpreter was clearly not independent despite </w:t>
      </w:r>
      <w:r w:rsidR="00AC591F">
        <w:rPr>
          <w:rFonts w:ascii="Book Antiqua" w:hAnsi="Book Antiqua" w:cs="Arial"/>
        </w:rPr>
        <w:t xml:space="preserve">the judge </w:t>
      </w:r>
      <w:r>
        <w:rPr>
          <w:rFonts w:ascii="Book Antiqua" w:hAnsi="Book Antiqua" w:cs="Arial"/>
        </w:rPr>
        <w:t xml:space="preserve">having explained to her the importance of interpreting exactly what was said “without any gloss or alteration and that she did so to the best of her ability”.  She was not a professional interpreter and indeed apparently had attended the pre-conference with </w:t>
      </w:r>
      <w:r w:rsidR="008D0D1E">
        <w:rPr>
          <w:rFonts w:ascii="Book Antiqua" w:hAnsi="Book Antiqua" w:cs="Arial"/>
        </w:rPr>
        <w:t>c</w:t>
      </w:r>
      <w:r>
        <w:rPr>
          <w:rFonts w:ascii="Book Antiqua" w:hAnsi="Book Antiqua" w:cs="Arial"/>
        </w:rPr>
        <w:t>ounsel</w:t>
      </w:r>
      <w:r w:rsidR="00E554C4">
        <w:rPr>
          <w:rFonts w:ascii="Book Antiqua" w:hAnsi="Book Antiqua" w:cs="Arial"/>
        </w:rPr>
        <w:t xml:space="preserve"> although that was seemingly unknown to the judge</w:t>
      </w:r>
      <w:r w:rsidR="00AC591F">
        <w:rPr>
          <w:rFonts w:ascii="Book Antiqua" w:hAnsi="Book Antiqua" w:cs="Arial"/>
        </w:rPr>
        <w:t xml:space="preserve"> and does not factor in my deliberations</w:t>
      </w:r>
      <w:r>
        <w:rPr>
          <w:rFonts w:ascii="Book Antiqua" w:hAnsi="Book Antiqua" w:cs="Arial"/>
        </w:rPr>
        <w:t>.  It is not clear from the decision particularly at paragraph 15 what the intention was at the outset of the hearing bearing in mind that the Home Office Presenting Officer accepted the appellant’s admission as to the representation and had no objection to “her also giving evidence” and stated that he did not wish to cross-examine her.</w:t>
      </w:r>
    </w:p>
    <w:p w14:paraId="4AD2BB1F" w14:textId="67886795" w:rsidR="0060626C" w:rsidRDefault="00091A00"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Clearly the appellant’s daughter, </w:t>
      </w:r>
      <w:r w:rsidR="00E554C4">
        <w:rPr>
          <w:rFonts w:ascii="Book Antiqua" w:hAnsi="Book Antiqua" w:cs="Arial"/>
        </w:rPr>
        <w:t>and it is not clear from the decision which daughter this was</w:t>
      </w:r>
      <w:r>
        <w:rPr>
          <w:rFonts w:ascii="Book Antiqua" w:hAnsi="Book Antiqua" w:cs="Arial"/>
        </w:rPr>
        <w:t>, was able to give her evidence in English</w:t>
      </w:r>
      <w:r w:rsidR="0060626C">
        <w:rPr>
          <w:rFonts w:ascii="Book Antiqua" w:hAnsi="Book Antiqua" w:cs="Arial"/>
        </w:rPr>
        <w:t xml:space="preserve"> </w:t>
      </w:r>
      <w:r w:rsidR="00E554C4">
        <w:rPr>
          <w:rFonts w:ascii="Book Antiqua" w:hAnsi="Book Antiqua" w:cs="Arial"/>
        </w:rPr>
        <w:t xml:space="preserve">and </w:t>
      </w:r>
      <w:r w:rsidR="0060626C">
        <w:rPr>
          <w:rFonts w:ascii="Book Antiqua" w:hAnsi="Book Antiqua" w:cs="Arial"/>
        </w:rPr>
        <w:t>adopt her statement.  It is evident that she did give some form of evidence about her mother’s health but it was the appellant</w:t>
      </w:r>
      <w:r w:rsidR="00AC591F">
        <w:rPr>
          <w:rFonts w:ascii="Book Antiqua" w:hAnsi="Book Antiqua" w:cs="Arial"/>
        </w:rPr>
        <w:t>’</w:t>
      </w:r>
      <w:r w:rsidR="0060626C">
        <w:rPr>
          <w:rFonts w:ascii="Book Antiqua" w:hAnsi="Book Antiqua" w:cs="Arial"/>
        </w:rPr>
        <w:t xml:space="preserve"> evidence </w:t>
      </w:r>
      <w:r w:rsidR="00027A1F">
        <w:rPr>
          <w:rFonts w:ascii="Book Antiqua" w:hAnsi="Book Antiqua" w:cs="Arial"/>
        </w:rPr>
        <w:t xml:space="preserve">that </w:t>
      </w:r>
      <w:r w:rsidR="0060626C">
        <w:rPr>
          <w:rFonts w:ascii="Book Antiqua" w:hAnsi="Book Antiqua" w:cs="Arial"/>
        </w:rPr>
        <w:t>was interpreted by his own daughter in relation to his wife’s health problem which</w:t>
      </w:r>
      <w:r w:rsidR="00AC591F">
        <w:rPr>
          <w:rFonts w:ascii="Book Antiqua" w:hAnsi="Book Antiqua" w:cs="Arial"/>
        </w:rPr>
        <w:t xml:space="preserve"> is the real issue</w:t>
      </w:r>
      <w:r w:rsidR="00CE4C85">
        <w:rPr>
          <w:rFonts w:ascii="Book Antiqua" w:hAnsi="Book Antiqua" w:cs="Arial"/>
        </w:rPr>
        <w:t>.  As stated by</w:t>
      </w:r>
      <w:r w:rsidR="0060626C">
        <w:rPr>
          <w:rFonts w:ascii="Book Antiqua" w:hAnsi="Book Antiqua" w:cs="Arial"/>
        </w:rPr>
        <w:t xml:space="preserve"> the judge </w:t>
      </w:r>
      <w:r w:rsidR="00CE4C85">
        <w:rPr>
          <w:rFonts w:ascii="Book Antiqua" w:hAnsi="Book Antiqua" w:cs="Arial"/>
        </w:rPr>
        <w:t>she</w:t>
      </w:r>
      <w:r w:rsidR="0060626C">
        <w:rPr>
          <w:rFonts w:ascii="Book Antiqua" w:hAnsi="Book Antiqua" w:cs="Arial"/>
        </w:rPr>
        <w:t xml:space="preserve"> accepted </w:t>
      </w:r>
      <w:r w:rsidR="00CE4C85">
        <w:rPr>
          <w:rFonts w:ascii="Book Antiqua" w:hAnsi="Book Antiqua" w:cs="Arial"/>
        </w:rPr>
        <w:t xml:space="preserve">that evidence </w:t>
      </w:r>
      <w:r w:rsidR="0060626C">
        <w:rPr>
          <w:rFonts w:ascii="Book Antiqua" w:hAnsi="Book Antiqua" w:cs="Arial"/>
        </w:rPr>
        <w:t xml:space="preserve">because she found it consistent.  It was on those facts as found that the effect of the deprivation would need to be assessed.  </w:t>
      </w:r>
    </w:p>
    <w:p w14:paraId="116168A2" w14:textId="77777777" w:rsidR="00C66096" w:rsidRDefault="0060626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 note that there was no mention of </w:t>
      </w:r>
      <w:proofErr w:type="spellStart"/>
      <w:r w:rsidRPr="000E3E2D">
        <w:rPr>
          <w:rFonts w:ascii="Book Antiqua" w:hAnsi="Book Antiqua" w:cs="Arial"/>
          <w:b/>
          <w:u w:val="single"/>
        </w:rPr>
        <w:t>Hysaj</w:t>
      </w:r>
      <w:proofErr w:type="spellEnd"/>
      <w:r>
        <w:rPr>
          <w:rFonts w:ascii="Book Antiqua" w:hAnsi="Book Antiqua" w:cs="Arial"/>
        </w:rPr>
        <w:t xml:space="preserve"> in the assessment of the judge but at paragraph 40 the judge found as follows:</w:t>
      </w:r>
      <w:r w:rsidR="0055152A">
        <w:rPr>
          <w:rFonts w:ascii="Book Antiqua" w:hAnsi="Book Antiqua" w:cs="Arial"/>
        </w:rPr>
        <w:t xml:space="preserve"> </w:t>
      </w:r>
      <w:r w:rsidR="00C66096">
        <w:rPr>
          <w:rFonts w:ascii="Book Antiqua" w:hAnsi="Book Antiqua" w:cs="Arial"/>
        </w:rPr>
        <w:t xml:space="preserve"> </w:t>
      </w:r>
    </w:p>
    <w:p w14:paraId="60F7D68E" w14:textId="77777777" w:rsidR="0060626C" w:rsidRDefault="0060626C" w:rsidP="0060626C">
      <w:pPr>
        <w:spacing w:before="240"/>
        <w:ind w:left="1701" w:hanging="567"/>
        <w:jc w:val="both"/>
        <w:rPr>
          <w:rFonts w:ascii="Book Antiqua" w:hAnsi="Book Antiqua" w:cs="Arial"/>
        </w:rPr>
      </w:pPr>
      <w:r>
        <w:rPr>
          <w:rFonts w:ascii="Book Antiqua" w:hAnsi="Book Antiqua" w:cs="Arial"/>
        </w:rPr>
        <w:t>“40.</w:t>
      </w:r>
      <w:r>
        <w:rPr>
          <w:rFonts w:ascii="Book Antiqua" w:hAnsi="Book Antiqua" w:cs="Arial"/>
        </w:rPr>
        <w:tab/>
        <w:t>I find on the balance of probabilities that the reasonably foreseeable consequences of deprivation for this appellant are the immediate and complete loss of income.  I find that his wife would be unable to work to support them both and even if she was, I find that her lack of employment history, age and the likelihood that she would only be able to do  unskilled or low skilled work, the prospects of her being able to earn sufficient to support them both are very limited.  Her chances of finding work quickly are in my view almost non-existent.  She would be entitled to seek benefits; however, it is highly likely that there would be a gap between the appellant’s benefits stopping and payment of any new benefit claimed starting.  In addition, she will only be able to claim what she would be entitled to as a single person; no additional amount will be payable for the appellant.</w:t>
      </w:r>
    </w:p>
    <w:p w14:paraId="1EEEFF46" w14:textId="77777777" w:rsidR="0060626C" w:rsidRDefault="0060626C" w:rsidP="0060626C">
      <w:pPr>
        <w:spacing w:before="240"/>
        <w:ind w:left="1701" w:hanging="567"/>
        <w:jc w:val="both"/>
        <w:rPr>
          <w:rFonts w:ascii="Book Antiqua" w:hAnsi="Book Antiqua" w:cs="Arial"/>
        </w:rPr>
      </w:pPr>
      <w:r>
        <w:rPr>
          <w:rFonts w:ascii="Book Antiqua" w:hAnsi="Book Antiqua" w:cs="Arial"/>
        </w:rPr>
        <w:t>41.</w:t>
      </w:r>
      <w:r>
        <w:rPr>
          <w:rFonts w:ascii="Book Antiqua" w:hAnsi="Book Antiqua" w:cs="Arial"/>
        </w:rPr>
        <w:tab/>
        <w:t>I find that the lack of income is likely to have a significant impact on the appellant and his wife.  I find that the loss of income would cause considerable stress to both the appellant and his wife and that this is reasonably likely to have a negative impact on their health and well-being”.</w:t>
      </w:r>
    </w:p>
    <w:p w14:paraId="51C3D34E" w14:textId="0D4C72C4" w:rsidR="0060626C" w:rsidRDefault="0060626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judge therefore whether or not properly applying </w:t>
      </w:r>
      <w:proofErr w:type="spellStart"/>
      <w:r w:rsidRPr="0060626C">
        <w:rPr>
          <w:rFonts w:ascii="Book Antiqua" w:hAnsi="Book Antiqua" w:cs="Arial"/>
          <w:b/>
          <w:u w:val="single"/>
        </w:rPr>
        <w:t>Hysaj</w:t>
      </w:r>
      <w:proofErr w:type="spellEnd"/>
      <w:r>
        <w:rPr>
          <w:rFonts w:ascii="Book Antiqua" w:hAnsi="Book Antiqua" w:cs="Arial"/>
        </w:rPr>
        <w:t xml:space="preserve"> did not approach the garnering or establishing the facts in a procedurally fair manner.  </w:t>
      </w:r>
      <w:r w:rsidR="00E554C4">
        <w:rPr>
          <w:rFonts w:ascii="Book Antiqua" w:hAnsi="Book Antiqua" w:cs="Arial"/>
        </w:rPr>
        <w:t xml:space="preserve">Those facts were critical to the decision. </w:t>
      </w:r>
    </w:p>
    <w:p w14:paraId="5950DCF0" w14:textId="3041A181" w:rsidR="00CE4C85" w:rsidRDefault="0060626C"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Part of the reason that the judge found the appellant and his daughter to be credible witnesses was because there was no challenge to the credibility of their </w:t>
      </w:r>
      <w:r w:rsidR="00C746A6">
        <w:rPr>
          <w:rFonts w:ascii="Book Antiqua" w:hAnsi="Book Antiqua" w:cs="Arial"/>
        </w:rPr>
        <w:t>evidence,</w:t>
      </w:r>
      <w:r>
        <w:rPr>
          <w:rFonts w:ascii="Book Antiqua" w:hAnsi="Book Antiqua" w:cs="Arial"/>
        </w:rPr>
        <w:t xml:space="preserve"> and it was consistent.  </w:t>
      </w:r>
    </w:p>
    <w:p w14:paraId="5B4F07D8" w14:textId="77777777" w:rsidR="00CE4C85" w:rsidRDefault="00CE4C85" w:rsidP="00AF2DE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w:t>
      </w:r>
      <w:r w:rsidR="0060626C">
        <w:rPr>
          <w:rFonts w:ascii="Book Antiqua" w:hAnsi="Book Antiqua" w:cs="Arial"/>
        </w:rPr>
        <w:t xml:space="preserve">he judge noted at paragraph 44 </w:t>
      </w:r>
    </w:p>
    <w:p w14:paraId="7235E911" w14:textId="77777777" w:rsidR="00CE4C85" w:rsidRDefault="0060626C" w:rsidP="00CE4C85">
      <w:pPr>
        <w:spacing w:before="240"/>
        <w:ind w:left="1134"/>
        <w:jc w:val="both"/>
        <w:rPr>
          <w:rFonts w:ascii="Book Antiqua" w:hAnsi="Book Antiqua" w:cs="Arial"/>
        </w:rPr>
      </w:pPr>
      <w:r>
        <w:rPr>
          <w:rFonts w:ascii="Book Antiqua" w:hAnsi="Book Antiqua" w:cs="Arial"/>
        </w:rPr>
        <w:t xml:space="preserve">“there was no evidence to suggest he has any criminal convictions or that he has engaged in any kind of conduct that would otherwise call his good character into question”.  </w:t>
      </w:r>
    </w:p>
    <w:p w14:paraId="3EA6C5B2" w14:textId="6CB38F08" w:rsidR="00E554C4" w:rsidRDefault="0060626C" w:rsidP="00CE4C85">
      <w:pPr>
        <w:spacing w:before="240"/>
        <w:ind w:left="567"/>
        <w:jc w:val="both"/>
        <w:rPr>
          <w:rFonts w:ascii="Book Antiqua" w:hAnsi="Book Antiqua" w:cs="Arial"/>
        </w:rPr>
      </w:pPr>
      <w:r>
        <w:rPr>
          <w:rFonts w:ascii="Book Antiqua" w:hAnsi="Book Antiqua" w:cs="Arial"/>
        </w:rPr>
        <w:t>The judge completely failed</w:t>
      </w:r>
      <w:r w:rsidR="00766D2F">
        <w:rPr>
          <w:rFonts w:ascii="Book Antiqua" w:hAnsi="Book Antiqua" w:cs="Arial"/>
        </w:rPr>
        <w:t>,</w:t>
      </w:r>
      <w:r>
        <w:rPr>
          <w:rFonts w:ascii="Book Antiqua" w:hAnsi="Book Antiqua" w:cs="Arial"/>
        </w:rPr>
        <w:t xml:space="preserve"> having accepted his evidence as being credible, to identify that the appellant had been convicted for conspiring to dishonestly made false representation to make gain –</w:t>
      </w:r>
      <w:r w:rsidR="00A30809">
        <w:rPr>
          <w:rFonts w:ascii="Book Antiqua" w:hAnsi="Book Antiqua" w:cs="Arial"/>
        </w:rPr>
        <w:t xml:space="preserve"> </w:t>
      </w:r>
      <w:r>
        <w:rPr>
          <w:rFonts w:ascii="Book Antiqua" w:hAnsi="Book Antiqua" w:cs="Arial"/>
        </w:rPr>
        <w:t>undertaking driving theory tests for other and conspiring with them and others</w:t>
      </w:r>
      <w:r w:rsidR="00A30809">
        <w:rPr>
          <w:rFonts w:ascii="Book Antiqua" w:hAnsi="Book Antiqua" w:cs="Arial"/>
        </w:rPr>
        <w:t xml:space="preserve"> -</w:t>
      </w:r>
      <w:r>
        <w:rPr>
          <w:rFonts w:ascii="Book Antiqua" w:hAnsi="Book Antiqua" w:cs="Arial"/>
        </w:rPr>
        <w:t xml:space="preserve"> and sentenced to a six month custodial sentence, albeit this was said to have taken place post-2005.  I accept entirely that this was not a part of the grounds of </w:t>
      </w:r>
      <w:r w:rsidR="00C746A6">
        <w:rPr>
          <w:rFonts w:ascii="Book Antiqua" w:hAnsi="Book Antiqua" w:cs="Arial"/>
        </w:rPr>
        <w:t>appeal,</w:t>
      </w:r>
      <w:r>
        <w:rPr>
          <w:rFonts w:ascii="Book Antiqua" w:hAnsi="Book Antiqua" w:cs="Arial"/>
        </w:rPr>
        <w:t xml:space="preserve"> but th</w:t>
      </w:r>
      <w:r w:rsidR="00E554C4">
        <w:rPr>
          <w:rFonts w:ascii="Book Antiqua" w:hAnsi="Book Antiqua" w:cs="Arial"/>
        </w:rPr>
        <w:t xml:space="preserve">e judge needed to ascertain the actual facts and arrive at those facts by ensuring </w:t>
      </w:r>
      <w:r>
        <w:rPr>
          <w:rFonts w:ascii="Book Antiqua" w:hAnsi="Book Antiqua" w:cs="Arial"/>
        </w:rPr>
        <w:t xml:space="preserve">that the conduct of the proceedings was fair.  </w:t>
      </w:r>
    </w:p>
    <w:p w14:paraId="1FF6E9B9" w14:textId="1AB12B68" w:rsidR="00B1719E" w:rsidRDefault="0060626C" w:rsidP="00B1719E">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 realise that it was asserted that th</w:t>
      </w:r>
      <w:r w:rsidR="00CE4C85">
        <w:rPr>
          <w:rFonts w:ascii="Book Antiqua" w:hAnsi="Book Antiqua" w:cs="Arial"/>
        </w:rPr>
        <w:t>e challenge to the ‘withdrawal of the concession’</w:t>
      </w:r>
      <w:r>
        <w:rPr>
          <w:rFonts w:ascii="Book Antiqua" w:hAnsi="Book Antiqua" w:cs="Arial"/>
        </w:rPr>
        <w:t xml:space="preserve"> was a belated argument but it is clear that events unfolded and although no objection was taken to this course of action by the respondent representative at the hearing that does not relieve the judge from the burden and obligation of the </w:t>
      </w:r>
      <w:r w:rsidR="004F3CB4">
        <w:rPr>
          <w:rFonts w:ascii="Book Antiqua" w:hAnsi="Book Antiqua" w:cs="Arial"/>
        </w:rPr>
        <w:t xml:space="preserve">fair </w:t>
      </w:r>
      <w:r>
        <w:rPr>
          <w:rFonts w:ascii="Book Antiqua" w:hAnsi="Book Antiqua" w:cs="Arial"/>
        </w:rPr>
        <w:t>conduct of the hearing</w:t>
      </w:r>
      <w:r w:rsidR="00E554C4">
        <w:rPr>
          <w:rFonts w:ascii="Book Antiqua" w:hAnsi="Book Antiqua" w:cs="Arial"/>
        </w:rPr>
        <w:t xml:space="preserve">. The Secretary of State promptly applied for permission to appeal and </w:t>
      </w:r>
      <w:r w:rsidR="00CE4C85">
        <w:rPr>
          <w:rFonts w:ascii="Book Antiqua" w:hAnsi="Book Antiqua" w:cs="Arial"/>
        </w:rPr>
        <w:t xml:space="preserve">in </w:t>
      </w:r>
      <w:r w:rsidR="00E554C4" w:rsidRPr="00D4606D">
        <w:rPr>
          <w:rFonts w:ascii="Book Antiqua" w:hAnsi="Book Antiqua" w:cs="Arial"/>
          <w:b/>
          <w:bCs/>
          <w:u w:val="single"/>
        </w:rPr>
        <w:t xml:space="preserve">AK </w:t>
      </w:r>
      <w:r w:rsidR="00A42214" w:rsidRPr="00D4606D">
        <w:rPr>
          <w:rFonts w:ascii="Book Antiqua" w:hAnsi="Book Antiqua" w:cs="Arial"/>
          <w:b/>
          <w:bCs/>
          <w:u w:val="single"/>
        </w:rPr>
        <w:t>(</w:t>
      </w:r>
      <w:r w:rsidR="00E554C4" w:rsidRPr="00D4606D">
        <w:rPr>
          <w:rFonts w:ascii="Book Antiqua" w:hAnsi="Book Antiqua" w:cs="Arial"/>
          <w:b/>
          <w:bCs/>
          <w:u w:val="single"/>
        </w:rPr>
        <w:t>Sierra Leone</w:t>
      </w:r>
      <w:r w:rsidR="00A42214" w:rsidRPr="00D4606D">
        <w:rPr>
          <w:rFonts w:ascii="Book Antiqua" w:hAnsi="Book Antiqua" w:cs="Arial"/>
          <w:b/>
          <w:bCs/>
          <w:u w:val="single"/>
        </w:rPr>
        <w:t>)</w:t>
      </w:r>
      <w:r w:rsidR="00CE4C85">
        <w:rPr>
          <w:rFonts w:ascii="Book Antiqua" w:hAnsi="Book Antiqua" w:cs="Arial"/>
          <w:b/>
          <w:bCs/>
          <w:u w:val="single"/>
        </w:rPr>
        <w:t>,</w:t>
      </w:r>
      <w:r w:rsidR="00E554C4" w:rsidRPr="00D4606D">
        <w:rPr>
          <w:rFonts w:ascii="Book Antiqua" w:hAnsi="Book Antiqua" w:cs="Arial"/>
        </w:rPr>
        <w:t xml:space="preserve"> </w:t>
      </w:r>
      <w:bookmarkStart w:id="2" w:name="para49"/>
      <w:r w:rsidR="00A42214" w:rsidRPr="00D4606D">
        <w:rPr>
          <w:rFonts w:ascii="Book Antiqua" w:hAnsi="Book Antiqua" w:cs="Arial"/>
        </w:rPr>
        <w:t xml:space="preserve">where </w:t>
      </w:r>
      <w:r w:rsidR="00E554C4" w:rsidRPr="00D4606D">
        <w:rPr>
          <w:rFonts w:ascii="Book Antiqua" w:hAnsi="Book Antiqua" w:cs="Arial"/>
        </w:rPr>
        <w:t>the</w:t>
      </w:r>
      <w:r w:rsidR="00B1719E" w:rsidRPr="00D4606D">
        <w:rPr>
          <w:rFonts w:ascii="Book Antiqua" w:hAnsi="Book Antiqua" w:cs="Arial"/>
        </w:rPr>
        <w:t xml:space="preserve"> application to withdraw the concession </w:t>
      </w:r>
      <w:r w:rsidR="00E554C4" w:rsidRPr="00D4606D">
        <w:rPr>
          <w:rFonts w:ascii="Book Antiqua" w:hAnsi="Book Antiqua" w:cs="Arial"/>
        </w:rPr>
        <w:t xml:space="preserve">was belated </w:t>
      </w:r>
      <w:r w:rsidR="00B1719E" w:rsidRPr="00D4606D">
        <w:rPr>
          <w:rFonts w:ascii="Book Antiqua" w:hAnsi="Book Antiqua" w:cs="Arial"/>
        </w:rPr>
        <w:t>and ultimately the challenge successful, Jackson LJ did not hold that such a challenge c</w:t>
      </w:r>
      <w:r w:rsidR="00B1719E">
        <w:rPr>
          <w:rFonts w:ascii="Book Antiqua" w:hAnsi="Book Antiqua" w:cs="Arial"/>
        </w:rPr>
        <w:t xml:space="preserve">ould never be made and held </w:t>
      </w:r>
      <w:r w:rsidR="00E554C4">
        <w:rPr>
          <w:rFonts w:ascii="Book Antiqua" w:hAnsi="Book Antiqua" w:cs="Arial"/>
        </w:rPr>
        <w:t xml:space="preserve">at paragraph </w:t>
      </w:r>
      <w:r w:rsidR="00A42214">
        <w:rPr>
          <w:rFonts w:ascii="Book Antiqua" w:hAnsi="Book Antiqua" w:cs="Arial"/>
        </w:rPr>
        <w:t xml:space="preserve">49 </w:t>
      </w:r>
      <w:r w:rsidR="00A42214" w:rsidRPr="00B1719E">
        <w:rPr>
          <w:rFonts w:ascii="Book Antiqua" w:hAnsi="Book Antiqua" w:cs="Arial"/>
        </w:rPr>
        <w:t>‘</w:t>
      </w:r>
      <w:r w:rsidR="00E554C4" w:rsidRPr="00B1719E">
        <w:rPr>
          <w:rFonts w:ascii="Book Antiqua" w:hAnsi="Book Antiqua"/>
        </w:rPr>
        <w:t>I do not need to go so far as to say that in such circumstances the Secretary of State could never appeal to the Upper Tribunal</w:t>
      </w:r>
      <w:r w:rsidR="00A42214">
        <w:t>’</w:t>
      </w:r>
      <w:bookmarkEnd w:id="2"/>
      <w:r w:rsidR="00A42214">
        <w:t>.</w:t>
      </w:r>
      <w:r w:rsidRPr="00E554C4">
        <w:rPr>
          <w:rFonts w:ascii="Book Antiqua" w:hAnsi="Book Antiqua" w:cs="Arial"/>
        </w:rPr>
        <w:t xml:space="preserve"> </w:t>
      </w:r>
      <w:r w:rsidR="00A42214">
        <w:rPr>
          <w:rFonts w:ascii="Book Antiqua" w:hAnsi="Book Antiqua" w:cs="Arial"/>
        </w:rPr>
        <w:t xml:space="preserve">The authorities explored were essentially those relating to facts. </w:t>
      </w:r>
      <w:r w:rsidR="00CE4C85">
        <w:rPr>
          <w:rFonts w:ascii="Book Antiqua" w:hAnsi="Book Antiqua" w:cs="Arial"/>
        </w:rPr>
        <w:t xml:space="preserve"> Nonetheless,  I find t</w:t>
      </w:r>
      <w:r w:rsidR="00B1719E">
        <w:rPr>
          <w:rFonts w:ascii="Book Antiqua" w:hAnsi="Book Antiqua" w:cs="Arial"/>
        </w:rPr>
        <w:t xml:space="preserve">he question of procedural fairness is a matter of law which I  am not persuaded can be conceded.  Under </w:t>
      </w:r>
      <w:r w:rsidR="00C746A6">
        <w:rPr>
          <w:rFonts w:ascii="Book Antiqua" w:hAnsi="Book Antiqua" w:cs="Arial"/>
        </w:rPr>
        <w:t>the</w:t>
      </w:r>
      <w:r w:rsidR="00B1719E">
        <w:rPr>
          <w:rFonts w:ascii="Book Antiqua" w:hAnsi="Book Antiqua" w:cs="Arial"/>
        </w:rPr>
        <w:t xml:space="preserve"> Tribunal Procedure (Upper Tribunal) Rules 2008 the overriding objective is clearly set out at Rule 2 and emphasises the importance of dealing with cases fairly and justly.</w:t>
      </w:r>
    </w:p>
    <w:p w14:paraId="677C0B76" w14:textId="1CD0A96D" w:rsidR="00B1719E" w:rsidRDefault="00B1719E" w:rsidP="00B1719E">
      <w:pPr>
        <w:spacing w:before="240"/>
        <w:jc w:val="both"/>
        <w:rPr>
          <w:rFonts w:ascii="Book Antiqua" w:hAnsi="Book Antiqua" w:cs="Arial"/>
        </w:rPr>
      </w:pPr>
    </w:p>
    <w:p w14:paraId="0A90DDCA" w14:textId="77777777" w:rsidR="00B1719E" w:rsidRPr="00B1719E" w:rsidRDefault="00B1719E" w:rsidP="00FB544C">
      <w:pPr>
        <w:pStyle w:val="legp1paratext"/>
        <w:shd w:val="clear" w:color="auto" w:fill="FFFFFF"/>
        <w:spacing w:before="0" w:beforeAutospacing="0" w:after="120" w:afterAutospacing="0" w:line="360" w:lineRule="atLeast"/>
        <w:ind w:left="1134"/>
        <w:jc w:val="both"/>
        <w:rPr>
          <w:rFonts w:ascii="Book Antiqua" w:hAnsi="Book Antiqua" w:cs="Arial"/>
          <w:i/>
          <w:iCs/>
          <w:color w:val="494949"/>
          <w:sz w:val="22"/>
          <w:szCs w:val="22"/>
        </w:rPr>
      </w:pPr>
      <w:r w:rsidRPr="00B1719E">
        <w:rPr>
          <w:rStyle w:val="legp1no"/>
          <w:rFonts w:ascii="Book Antiqua" w:hAnsi="Book Antiqua" w:cs="Arial"/>
          <w:b/>
          <w:bCs/>
          <w:i/>
          <w:iCs/>
          <w:color w:val="494949"/>
          <w:sz w:val="22"/>
          <w:szCs w:val="22"/>
        </w:rPr>
        <w:t>2.</w:t>
      </w:r>
      <w:r w:rsidRPr="00B1719E">
        <w:rPr>
          <w:rFonts w:ascii="Book Antiqua" w:hAnsi="Book Antiqua" w:cs="Arial"/>
          <w:i/>
          <w:iCs/>
          <w:color w:val="494949"/>
          <w:sz w:val="22"/>
          <w:szCs w:val="22"/>
        </w:rPr>
        <w:t>—(1) The overriding objective of these Rules is to enable the Upper Tribunal to deal with cases fairly and justly.</w:t>
      </w:r>
    </w:p>
    <w:p w14:paraId="72994561" w14:textId="77777777" w:rsidR="00B1719E" w:rsidRPr="00B1719E" w:rsidRDefault="00B1719E" w:rsidP="00FB544C">
      <w:pPr>
        <w:pStyle w:val="legp2paratext"/>
        <w:shd w:val="clear" w:color="auto" w:fill="FFFFFF"/>
        <w:spacing w:before="0" w:beforeAutospacing="0" w:after="120" w:afterAutospacing="0" w:line="360" w:lineRule="atLeast"/>
        <w:ind w:left="1134"/>
        <w:jc w:val="both"/>
        <w:rPr>
          <w:rFonts w:ascii="Book Antiqua" w:hAnsi="Book Antiqua" w:cs="Arial"/>
          <w:i/>
          <w:iCs/>
          <w:color w:val="494949"/>
          <w:sz w:val="22"/>
          <w:szCs w:val="22"/>
        </w:rPr>
      </w:pPr>
      <w:r w:rsidRPr="00B1719E">
        <w:rPr>
          <w:rFonts w:ascii="Book Antiqua" w:hAnsi="Book Antiqua" w:cs="Arial"/>
          <w:i/>
          <w:iCs/>
          <w:color w:val="494949"/>
          <w:sz w:val="22"/>
          <w:szCs w:val="22"/>
        </w:rPr>
        <w:t>(2) Dealing with a case fairly and justly includes—</w:t>
      </w:r>
    </w:p>
    <w:p w14:paraId="7D078083" w14:textId="77777777" w:rsidR="00B1719E" w:rsidRPr="00B1719E" w:rsidRDefault="00B1719E" w:rsidP="00FB544C">
      <w:pPr>
        <w:pStyle w:val="legclearfix"/>
        <w:shd w:val="clear" w:color="auto" w:fill="FFFFFF"/>
        <w:spacing w:before="0" w:beforeAutospacing="0" w:after="120" w:afterAutospacing="0" w:line="360" w:lineRule="atLeast"/>
        <w:ind w:left="1548"/>
        <w:rPr>
          <w:rFonts w:ascii="Book Antiqua" w:hAnsi="Book Antiqua" w:cs="Arial"/>
          <w:i/>
          <w:iCs/>
          <w:color w:val="494949"/>
          <w:sz w:val="22"/>
          <w:szCs w:val="22"/>
        </w:rPr>
      </w:pPr>
      <w:r w:rsidRPr="00B1719E">
        <w:rPr>
          <w:rStyle w:val="legds"/>
          <w:rFonts w:ascii="Book Antiqua" w:hAnsi="Book Antiqua" w:cs="Arial"/>
          <w:i/>
          <w:iCs/>
          <w:color w:val="494949"/>
          <w:sz w:val="22"/>
          <w:szCs w:val="22"/>
        </w:rPr>
        <w:t>(a)dealing with the case in ways which are proportionate to the importance of the case, the complexity of the issues, the anticipated costs and the resources of the parties;</w:t>
      </w:r>
    </w:p>
    <w:p w14:paraId="23DA1F8C" w14:textId="77777777" w:rsidR="00B1719E" w:rsidRPr="00B1719E" w:rsidRDefault="00B1719E" w:rsidP="00FB544C">
      <w:pPr>
        <w:pStyle w:val="legclearfix"/>
        <w:shd w:val="clear" w:color="auto" w:fill="FFFFFF"/>
        <w:spacing w:before="0" w:beforeAutospacing="0" w:after="120" w:afterAutospacing="0" w:line="360" w:lineRule="atLeast"/>
        <w:ind w:left="1548"/>
        <w:rPr>
          <w:rFonts w:ascii="Book Antiqua" w:hAnsi="Book Antiqua" w:cs="Arial"/>
          <w:i/>
          <w:iCs/>
          <w:color w:val="494949"/>
          <w:sz w:val="22"/>
          <w:szCs w:val="22"/>
        </w:rPr>
      </w:pPr>
      <w:r w:rsidRPr="00B1719E">
        <w:rPr>
          <w:rStyle w:val="legds"/>
          <w:rFonts w:ascii="Book Antiqua" w:hAnsi="Book Antiqua" w:cs="Arial"/>
          <w:i/>
          <w:iCs/>
          <w:color w:val="494949"/>
          <w:sz w:val="22"/>
          <w:szCs w:val="22"/>
        </w:rPr>
        <w:t>(b)avoiding unnecessary formality and seeking flexibility in the proceedings;</w:t>
      </w:r>
    </w:p>
    <w:p w14:paraId="01F8FE60" w14:textId="77777777" w:rsidR="00B1719E" w:rsidRPr="00B1719E" w:rsidRDefault="00B1719E" w:rsidP="00FB544C">
      <w:pPr>
        <w:pStyle w:val="legclearfix"/>
        <w:shd w:val="clear" w:color="auto" w:fill="FFFFFF"/>
        <w:spacing w:before="0" w:beforeAutospacing="0" w:after="120" w:afterAutospacing="0" w:line="360" w:lineRule="atLeast"/>
        <w:ind w:left="1548"/>
        <w:rPr>
          <w:rFonts w:ascii="Book Antiqua" w:hAnsi="Book Antiqua" w:cs="Arial"/>
          <w:i/>
          <w:iCs/>
          <w:color w:val="494949"/>
          <w:sz w:val="22"/>
          <w:szCs w:val="22"/>
        </w:rPr>
      </w:pPr>
      <w:r w:rsidRPr="00B1719E">
        <w:rPr>
          <w:rStyle w:val="legds"/>
          <w:rFonts w:ascii="Book Antiqua" w:hAnsi="Book Antiqua" w:cs="Arial"/>
          <w:i/>
          <w:iCs/>
          <w:color w:val="494949"/>
          <w:sz w:val="22"/>
          <w:szCs w:val="22"/>
        </w:rPr>
        <w:t>(c)ensuring, so far as practicable, that the parties are able to participate fully in the proceedings;</w:t>
      </w:r>
    </w:p>
    <w:p w14:paraId="48436B69" w14:textId="77777777" w:rsidR="00B1719E" w:rsidRPr="00B1719E" w:rsidRDefault="00B1719E" w:rsidP="00FB544C">
      <w:pPr>
        <w:pStyle w:val="legclearfix"/>
        <w:shd w:val="clear" w:color="auto" w:fill="FFFFFF"/>
        <w:spacing w:before="0" w:beforeAutospacing="0" w:after="120" w:afterAutospacing="0" w:line="360" w:lineRule="atLeast"/>
        <w:ind w:left="1548"/>
        <w:rPr>
          <w:rFonts w:ascii="Book Antiqua" w:hAnsi="Book Antiqua" w:cs="Arial"/>
          <w:i/>
          <w:iCs/>
          <w:color w:val="494949"/>
          <w:sz w:val="22"/>
          <w:szCs w:val="22"/>
        </w:rPr>
      </w:pPr>
      <w:r w:rsidRPr="00B1719E">
        <w:rPr>
          <w:rStyle w:val="legds"/>
          <w:rFonts w:ascii="Book Antiqua" w:hAnsi="Book Antiqua" w:cs="Arial"/>
          <w:i/>
          <w:iCs/>
          <w:color w:val="494949"/>
          <w:sz w:val="22"/>
          <w:szCs w:val="22"/>
        </w:rPr>
        <w:t>(d)using any special expertise of the Upper Tribunal effectively; and</w:t>
      </w:r>
    </w:p>
    <w:p w14:paraId="5D7C8060" w14:textId="77777777" w:rsidR="00B1719E" w:rsidRPr="00B1719E" w:rsidRDefault="00B1719E" w:rsidP="00FB544C">
      <w:pPr>
        <w:pStyle w:val="legclearfix"/>
        <w:shd w:val="clear" w:color="auto" w:fill="FFFFFF"/>
        <w:spacing w:before="0" w:beforeAutospacing="0" w:after="120" w:afterAutospacing="0" w:line="360" w:lineRule="atLeast"/>
        <w:ind w:left="1548"/>
        <w:rPr>
          <w:rFonts w:ascii="Book Antiqua" w:hAnsi="Book Antiqua" w:cs="Arial"/>
          <w:i/>
          <w:iCs/>
          <w:color w:val="494949"/>
          <w:sz w:val="22"/>
          <w:szCs w:val="22"/>
        </w:rPr>
      </w:pPr>
      <w:r w:rsidRPr="00B1719E">
        <w:rPr>
          <w:rStyle w:val="legds"/>
          <w:rFonts w:ascii="Book Antiqua" w:hAnsi="Book Antiqua" w:cs="Arial"/>
          <w:i/>
          <w:iCs/>
          <w:color w:val="494949"/>
          <w:sz w:val="22"/>
          <w:szCs w:val="22"/>
        </w:rPr>
        <w:t>(e)avoiding delay, so far as compatible with proper consideration of the issues.</w:t>
      </w:r>
    </w:p>
    <w:p w14:paraId="0C55BC91" w14:textId="77777777" w:rsidR="00B1719E" w:rsidRPr="00B1719E" w:rsidRDefault="00B1719E" w:rsidP="00FB544C">
      <w:pPr>
        <w:pStyle w:val="legp2paratext"/>
        <w:shd w:val="clear" w:color="auto" w:fill="FFFFFF"/>
        <w:spacing w:before="0" w:beforeAutospacing="0" w:after="120" w:afterAutospacing="0" w:line="360" w:lineRule="atLeast"/>
        <w:ind w:left="1134"/>
        <w:jc w:val="both"/>
        <w:rPr>
          <w:rFonts w:ascii="Book Antiqua" w:hAnsi="Book Antiqua" w:cs="Arial"/>
          <w:i/>
          <w:iCs/>
          <w:color w:val="494949"/>
          <w:sz w:val="22"/>
          <w:szCs w:val="22"/>
        </w:rPr>
      </w:pPr>
      <w:r w:rsidRPr="00B1719E">
        <w:rPr>
          <w:rFonts w:ascii="Book Antiqua" w:hAnsi="Book Antiqua" w:cs="Arial"/>
          <w:i/>
          <w:iCs/>
          <w:color w:val="494949"/>
          <w:sz w:val="22"/>
          <w:szCs w:val="22"/>
        </w:rPr>
        <w:t>(3) The Upper Tribunal must seek to give effect to the overriding objective when it—</w:t>
      </w:r>
    </w:p>
    <w:p w14:paraId="502FCA69" w14:textId="77777777" w:rsidR="00B1719E" w:rsidRPr="00B1719E" w:rsidRDefault="00B1719E" w:rsidP="00FB544C">
      <w:pPr>
        <w:pStyle w:val="legclearfix"/>
        <w:shd w:val="clear" w:color="auto" w:fill="FFFFFF"/>
        <w:spacing w:before="0" w:beforeAutospacing="0" w:after="120" w:afterAutospacing="0" w:line="360" w:lineRule="atLeast"/>
        <w:ind w:left="1548"/>
        <w:rPr>
          <w:rFonts w:ascii="Book Antiqua" w:hAnsi="Book Antiqua" w:cs="Arial"/>
          <w:i/>
          <w:iCs/>
          <w:color w:val="494949"/>
          <w:sz w:val="22"/>
          <w:szCs w:val="22"/>
        </w:rPr>
      </w:pPr>
      <w:r w:rsidRPr="00B1719E">
        <w:rPr>
          <w:rStyle w:val="legds"/>
          <w:rFonts w:ascii="Book Antiqua" w:hAnsi="Book Antiqua" w:cs="Arial"/>
          <w:i/>
          <w:iCs/>
          <w:color w:val="494949"/>
          <w:sz w:val="22"/>
          <w:szCs w:val="22"/>
        </w:rPr>
        <w:t>(a)exercises any power under these Rules; or</w:t>
      </w:r>
    </w:p>
    <w:p w14:paraId="0C00823C" w14:textId="41818A43" w:rsidR="00B1719E" w:rsidRPr="00D4606D" w:rsidRDefault="00B1719E" w:rsidP="00FB544C">
      <w:pPr>
        <w:pStyle w:val="legclearfix"/>
        <w:shd w:val="clear" w:color="auto" w:fill="FFFFFF"/>
        <w:spacing w:before="0" w:beforeAutospacing="0" w:after="120" w:afterAutospacing="0" w:line="360" w:lineRule="atLeast"/>
        <w:ind w:left="1548"/>
        <w:rPr>
          <w:rFonts w:ascii="Book Antiqua" w:hAnsi="Book Antiqua" w:cs="Arial"/>
          <w:i/>
          <w:iCs/>
          <w:color w:val="494949"/>
          <w:sz w:val="22"/>
          <w:szCs w:val="22"/>
        </w:rPr>
      </w:pPr>
      <w:r w:rsidRPr="00B1719E">
        <w:rPr>
          <w:rStyle w:val="legds"/>
          <w:rFonts w:ascii="Book Antiqua" w:hAnsi="Book Antiqua" w:cs="Arial"/>
          <w:i/>
          <w:iCs/>
          <w:color w:val="494949"/>
          <w:sz w:val="22"/>
          <w:szCs w:val="22"/>
        </w:rPr>
        <w:t>(b)interprets any rule or practice direction.</w:t>
      </w:r>
    </w:p>
    <w:p w14:paraId="51AF1D77" w14:textId="460A39F1" w:rsidR="00B1719E" w:rsidRDefault="00B1719E" w:rsidP="00B1719E">
      <w:pPr>
        <w:spacing w:before="240"/>
        <w:ind w:left="567"/>
        <w:jc w:val="both"/>
        <w:rPr>
          <w:rFonts w:ascii="Book Antiqua" w:hAnsi="Book Antiqua" w:cs="Arial"/>
        </w:rPr>
      </w:pPr>
    </w:p>
    <w:p w14:paraId="7B50DF1C" w14:textId="70794551" w:rsidR="00D4606D" w:rsidRDefault="00D4606D" w:rsidP="00B1719E">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It may be that the judge was attempting to seek flexibility in the proceedings and to avoid </w:t>
      </w:r>
      <w:r w:rsidR="00C746A6">
        <w:rPr>
          <w:rFonts w:ascii="Book Antiqua" w:hAnsi="Book Antiqua" w:cs="Arial"/>
        </w:rPr>
        <w:t>delay,</w:t>
      </w:r>
      <w:r>
        <w:rPr>
          <w:rFonts w:ascii="Book Antiqua" w:hAnsi="Book Antiqua" w:cs="Arial"/>
        </w:rPr>
        <w:t xml:space="preserve"> but the approach sacrificed fairness and failed to avoid delay. </w:t>
      </w:r>
    </w:p>
    <w:p w14:paraId="266EA6C3" w14:textId="4B08844D" w:rsidR="008343A9" w:rsidRDefault="008343A9" w:rsidP="00C65A1C">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w:t>
      </w:r>
      <w:r w:rsidR="0060626C" w:rsidRPr="00B1719E">
        <w:rPr>
          <w:rFonts w:ascii="Book Antiqua" w:hAnsi="Book Antiqua" w:cs="Arial"/>
        </w:rPr>
        <w:t>Rule 24 response</w:t>
      </w:r>
      <w:r w:rsidR="00193D1D" w:rsidRPr="00B1719E">
        <w:rPr>
          <w:rFonts w:ascii="Book Antiqua" w:hAnsi="Book Antiqua" w:cs="Arial"/>
        </w:rPr>
        <w:t xml:space="preserve"> </w:t>
      </w:r>
      <w:r>
        <w:rPr>
          <w:rFonts w:ascii="Book Antiqua" w:hAnsi="Book Antiqua" w:cs="Arial"/>
        </w:rPr>
        <w:t xml:space="preserve">from the appellant </w:t>
      </w:r>
      <w:r w:rsidR="00B415C6">
        <w:rPr>
          <w:rFonts w:ascii="Book Antiqua" w:hAnsi="Book Antiqua" w:cs="Arial"/>
        </w:rPr>
        <w:t xml:space="preserve">acknowledged the </w:t>
      </w:r>
      <w:r>
        <w:rPr>
          <w:rFonts w:ascii="Book Antiqua" w:hAnsi="Book Antiqua" w:cs="Arial"/>
        </w:rPr>
        <w:t>significan</w:t>
      </w:r>
      <w:r w:rsidR="00E84BEE">
        <w:rPr>
          <w:rFonts w:ascii="Book Antiqua" w:hAnsi="Book Antiqua" w:cs="Arial"/>
        </w:rPr>
        <w:t>ce</w:t>
      </w:r>
      <w:r>
        <w:rPr>
          <w:rFonts w:ascii="Book Antiqua" w:hAnsi="Book Antiqua" w:cs="Arial"/>
        </w:rPr>
        <w:t xml:space="preserve"> of</w:t>
      </w:r>
      <w:r w:rsidR="003567A1">
        <w:rPr>
          <w:rFonts w:ascii="Book Antiqua" w:hAnsi="Book Antiqua" w:cs="Arial"/>
        </w:rPr>
        <w:t xml:space="preserve"> the</w:t>
      </w:r>
      <w:r>
        <w:rPr>
          <w:rFonts w:ascii="Book Antiqua" w:hAnsi="Book Antiqua" w:cs="Arial"/>
        </w:rPr>
        <w:t xml:space="preserve"> </w:t>
      </w:r>
      <w:r w:rsidR="00B415C6">
        <w:rPr>
          <w:rFonts w:ascii="Book Antiqua" w:hAnsi="Book Antiqua" w:cs="Arial"/>
        </w:rPr>
        <w:t xml:space="preserve">oral evidence </w:t>
      </w:r>
      <w:r w:rsidR="00E87E22">
        <w:rPr>
          <w:rFonts w:ascii="Book Antiqua" w:hAnsi="Book Antiqua" w:cs="Arial"/>
        </w:rPr>
        <w:t>in order to</w:t>
      </w:r>
      <w:r w:rsidR="00145476">
        <w:rPr>
          <w:rFonts w:ascii="Book Antiqua" w:hAnsi="Book Antiqua" w:cs="Arial"/>
        </w:rPr>
        <w:t xml:space="preserve"> make good the lack of documentary evidence </w:t>
      </w:r>
      <w:r w:rsidR="00B415C6">
        <w:rPr>
          <w:rFonts w:ascii="Book Antiqua" w:hAnsi="Book Antiqua" w:cs="Arial"/>
        </w:rPr>
        <w:t>w</w:t>
      </w:r>
      <w:r>
        <w:rPr>
          <w:rFonts w:ascii="Book Antiqua" w:hAnsi="Book Antiqua" w:cs="Arial"/>
        </w:rPr>
        <w:t>hen stating</w:t>
      </w:r>
    </w:p>
    <w:p w14:paraId="0D081098" w14:textId="77777777" w:rsidR="008343A9" w:rsidRDefault="00193D1D" w:rsidP="00145476">
      <w:pPr>
        <w:spacing w:before="240"/>
        <w:ind w:left="1134"/>
        <w:jc w:val="both"/>
        <w:rPr>
          <w:rFonts w:ascii="Book Antiqua" w:hAnsi="Book Antiqua" w:cs="Arial"/>
        </w:rPr>
      </w:pPr>
      <w:r w:rsidRPr="00B1719E">
        <w:rPr>
          <w:rFonts w:ascii="Book Antiqua" w:hAnsi="Book Antiqua" w:cs="Arial"/>
        </w:rPr>
        <w:t xml:space="preserve">“in the circumstances and in the light of the FTTJ’s finding that the witnesses gave credible oral evidence </w:t>
      </w:r>
      <w:r w:rsidR="00B1719E">
        <w:rPr>
          <w:rFonts w:ascii="Book Antiqua" w:hAnsi="Book Antiqua" w:cs="Arial"/>
        </w:rPr>
        <w:t>an</w:t>
      </w:r>
      <w:r w:rsidRPr="00B1719E">
        <w:rPr>
          <w:rFonts w:ascii="Book Antiqua" w:hAnsi="Book Antiqua" w:cs="Arial"/>
        </w:rPr>
        <w:t xml:space="preserve"> arguable </w:t>
      </w:r>
      <w:r w:rsidR="00AC1E91">
        <w:rPr>
          <w:rFonts w:ascii="Book Antiqua" w:hAnsi="Book Antiqua" w:cs="Arial"/>
        </w:rPr>
        <w:t>no</w:t>
      </w:r>
      <w:r w:rsidRPr="00B1719E">
        <w:rPr>
          <w:rFonts w:ascii="Book Antiqua" w:hAnsi="Book Antiqua" w:cs="Arial"/>
        </w:rPr>
        <w:t xml:space="preserve"> material error of law arises from the lack of documentary evidence as to the wife’s mental health problems”.  </w:t>
      </w:r>
    </w:p>
    <w:p w14:paraId="6759D9D1" w14:textId="6805ABB0" w:rsidR="00C65A1C" w:rsidRDefault="00193D1D" w:rsidP="008343A9">
      <w:pPr>
        <w:spacing w:before="240"/>
        <w:ind w:left="567"/>
        <w:jc w:val="both"/>
        <w:rPr>
          <w:rFonts w:ascii="Book Antiqua" w:hAnsi="Book Antiqua" w:cs="Arial"/>
        </w:rPr>
      </w:pPr>
      <w:r w:rsidRPr="00B1719E">
        <w:rPr>
          <w:rFonts w:ascii="Book Antiqua" w:hAnsi="Book Antiqua" w:cs="Arial"/>
        </w:rPr>
        <w:t>T</w:t>
      </w:r>
      <w:r w:rsidR="00D4606D">
        <w:rPr>
          <w:rFonts w:ascii="Book Antiqua" w:hAnsi="Book Antiqua" w:cs="Arial"/>
        </w:rPr>
        <w:t>h</w:t>
      </w:r>
      <w:r w:rsidRPr="00B1719E">
        <w:rPr>
          <w:rFonts w:ascii="Book Antiqua" w:hAnsi="Book Antiqua" w:cs="Arial"/>
        </w:rPr>
        <w:t xml:space="preserve">e findings </w:t>
      </w:r>
      <w:r w:rsidR="00D4606D">
        <w:rPr>
          <w:rFonts w:ascii="Book Antiqua" w:hAnsi="Book Antiqua" w:cs="Arial"/>
        </w:rPr>
        <w:t xml:space="preserve">made particularly in relation to </w:t>
      </w:r>
      <w:r w:rsidRPr="00B1719E">
        <w:rPr>
          <w:rFonts w:ascii="Book Antiqua" w:hAnsi="Book Antiqua" w:cs="Arial"/>
        </w:rPr>
        <w:t xml:space="preserve"> the wife’s health during the </w:t>
      </w:r>
      <w:r w:rsidR="00D4606D">
        <w:rPr>
          <w:rFonts w:ascii="Book Antiqua" w:hAnsi="Book Antiqua" w:cs="Arial"/>
        </w:rPr>
        <w:t>‘</w:t>
      </w:r>
      <w:r w:rsidRPr="00B1719E">
        <w:rPr>
          <w:rFonts w:ascii="Book Antiqua" w:hAnsi="Book Antiqua" w:cs="Arial"/>
        </w:rPr>
        <w:t>limbo</w:t>
      </w:r>
      <w:r w:rsidR="00D4606D">
        <w:rPr>
          <w:rFonts w:ascii="Book Antiqua" w:hAnsi="Book Antiqua" w:cs="Arial"/>
        </w:rPr>
        <w:t>’</w:t>
      </w:r>
      <w:r w:rsidRPr="00B1719E">
        <w:rPr>
          <w:rFonts w:ascii="Book Antiqua" w:hAnsi="Book Antiqua" w:cs="Arial"/>
        </w:rPr>
        <w:t xml:space="preserve"> period of deprivation w</w:t>
      </w:r>
      <w:r w:rsidR="008343A9">
        <w:rPr>
          <w:rFonts w:ascii="Book Antiqua" w:hAnsi="Book Antiqua" w:cs="Arial"/>
        </w:rPr>
        <w:t>ere</w:t>
      </w:r>
      <w:r w:rsidRPr="00B1719E">
        <w:rPr>
          <w:rFonts w:ascii="Book Antiqua" w:hAnsi="Book Antiqua" w:cs="Arial"/>
        </w:rPr>
        <w:t xml:space="preserve"> important to the proper determination of this matter.</w:t>
      </w:r>
      <w:r w:rsidR="00B1719E">
        <w:rPr>
          <w:rFonts w:ascii="Book Antiqua" w:hAnsi="Book Antiqua" w:cs="Arial"/>
        </w:rPr>
        <w:t xml:space="preserve">  </w:t>
      </w:r>
    </w:p>
    <w:p w14:paraId="0EF43A4F" w14:textId="28882493" w:rsidR="00C65A1C" w:rsidRDefault="00684576" w:rsidP="00C65A1C">
      <w:pPr>
        <w:numPr>
          <w:ilvl w:val="0"/>
          <w:numId w:val="1"/>
        </w:numPr>
        <w:tabs>
          <w:tab w:val="clear" w:pos="720"/>
        </w:tabs>
        <w:spacing w:before="240"/>
        <w:ind w:left="567" w:hanging="567"/>
        <w:jc w:val="both"/>
        <w:rPr>
          <w:rFonts w:ascii="Book Antiqua" w:hAnsi="Book Antiqua" w:cs="Arial"/>
        </w:rPr>
      </w:pPr>
      <w:r w:rsidRPr="00C65A1C">
        <w:rPr>
          <w:rFonts w:ascii="Book Antiqua" w:hAnsi="Book Antiqua" w:cs="Arial"/>
        </w:rPr>
        <w:t xml:space="preserve">In relation to </w:t>
      </w:r>
      <w:r w:rsidR="00D7391B" w:rsidRPr="00C65A1C">
        <w:rPr>
          <w:rFonts w:ascii="Book Antiqua" w:hAnsi="Book Antiqua" w:cs="Arial"/>
        </w:rPr>
        <w:t xml:space="preserve">the </w:t>
      </w:r>
      <w:r w:rsidR="00994995" w:rsidRPr="00C65A1C">
        <w:rPr>
          <w:rFonts w:ascii="Book Antiqua" w:hAnsi="Book Antiqua" w:cs="Arial"/>
        </w:rPr>
        <w:t xml:space="preserve">approach to </w:t>
      </w:r>
      <w:proofErr w:type="spellStart"/>
      <w:r w:rsidRPr="00C65A1C">
        <w:rPr>
          <w:rFonts w:ascii="Book Antiqua" w:hAnsi="Book Antiqua" w:cs="Arial"/>
          <w:b/>
          <w:bCs/>
          <w:u w:val="single"/>
        </w:rPr>
        <w:t>Hysaj</w:t>
      </w:r>
      <w:proofErr w:type="spellEnd"/>
      <w:r w:rsidRPr="00C65A1C">
        <w:rPr>
          <w:rFonts w:ascii="Book Antiqua" w:hAnsi="Book Antiqua" w:cs="Arial"/>
        </w:rPr>
        <w:t xml:space="preserve"> </w:t>
      </w:r>
      <w:r w:rsidR="00C65A1C" w:rsidRPr="00C65A1C">
        <w:rPr>
          <w:rFonts w:ascii="Book Antiqua" w:hAnsi="Book Antiqua" w:cs="Arial"/>
        </w:rPr>
        <w:t xml:space="preserve"> and with regard the ‘limbo’ point, at paragraph 108 </w:t>
      </w:r>
      <w:r w:rsidR="00DA4E2B">
        <w:rPr>
          <w:rFonts w:ascii="Book Antiqua" w:hAnsi="Book Antiqua" w:cs="Arial"/>
        </w:rPr>
        <w:t xml:space="preserve">of </w:t>
      </w:r>
      <w:proofErr w:type="spellStart"/>
      <w:r w:rsidR="00DA4E2B" w:rsidRPr="00573FDB">
        <w:rPr>
          <w:rFonts w:ascii="Book Antiqua" w:hAnsi="Book Antiqua" w:cs="Arial"/>
          <w:b/>
          <w:bCs/>
          <w:u w:val="single"/>
        </w:rPr>
        <w:t>Hysaj</w:t>
      </w:r>
      <w:proofErr w:type="spellEnd"/>
      <w:r w:rsidR="00DA4E2B">
        <w:rPr>
          <w:rFonts w:ascii="Book Antiqua" w:hAnsi="Book Antiqua" w:cs="Arial"/>
        </w:rPr>
        <w:t xml:space="preserve"> </w:t>
      </w:r>
      <w:r w:rsidR="00C65A1C" w:rsidRPr="00C65A1C">
        <w:rPr>
          <w:rFonts w:ascii="Book Antiqua" w:hAnsi="Book Antiqua" w:cs="Arial"/>
        </w:rPr>
        <w:t xml:space="preserve">the Upper Tribunal </w:t>
      </w:r>
      <w:r w:rsidR="00DA4E2B">
        <w:rPr>
          <w:rFonts w:ascii="Book Antiqua" w:hAnsi="Book Antiqua" w:cs="Arial"/>
        </w:rPr>
        <w:t xml:space="preserve">explained </w:t>
      </w:r>
    </w:p>
    <w:p w14:paraId="354012FC" w14:textId="77777777" w:rsidR="00C65A1C" w:rsidRDefault="00C65A1C" w:rsidP="00C65A1C">
      <w:pPr>
        <w:spacing w:before="240"/>
        <w:ind w:left="1134"/>
        <w:jc w:val="both"/>
        <w:rPr>
          <w:rFonts w:ascii="Book Antiqua" w:eastAsia="Book Antiqua" w:hAnsi="Book Antiqua" w:cs="Book Antiqua"/>
          <w:lang w:val="en-US"/>
        </w:rPr>
      </w:pPr>
      <w:r>
        <w:rPr>
          <w:rFonts w:ascii="Book Antiqua" w:eastAsia="Book Antiqua" w:hAnsi="Book Antiqua" w:cs="Book Antiqua"/>
          <w:lang w:val="en-US"/>
        </w:rPr>
        <w:t>‘</w:t>
      </w:r>
      <w:r w:rsidRPr="00C65A1C">
        <w:rPr>
          <w:rFonts w:ascii="Book Antiqua" w:eastAsia="Book Antiqua" w:hAnsi="Book Antiqua" w:cs="Book Antiqua"/>
          <w:lang w:val="en-US"/>
        </w:rPr>
        <w:t>The Court of Appeal has confirmed that article 8 does not impose any obligation upon the State to provide financial support for family life. The ECHR is not aimed at securing social and economic rights, with the rights defined being predominantly civil and political in nature</w:t>
      </w:r>
      <w:r>
        <w:rPr>
          <w:rFonts w:ascii="Book Antiqua" w:eastAsia="Book Antiqua" w:hAnsi="Book Antiqua" w:cs="Book Antiqua"/>
          <w:lang w:val="en-US"/>
        </w:rPr>
        <w:t>’.</w:t>
      </w:r>
    </w:p>
    <w:p w14:paraId="55A30673" w14:textId="77777777" w:rsidR="00F552C5" w:rsidRDefault="00F46C26" w:rsidP="00F552C5">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w:t>
      </w:r>
      <w:r w:rsidR="006B4715">
        <w:rPr>
          <w:rFonts w:ascii="Book Antiqua" w:hAnsi="Book Antiqua" w:cs="Arial"/>
        </w:rPr>
        <w:t xml:space="preserve">he head note </w:t>
      </w:r>
      <w:r w:rsidR="00D47536">
        <w:rPr>
          <w:rFonts w:ascii="Book Antiqua" w:hAnsi="Book Antiqua" w:cs="Arial"/>
        </w:rPr>
        <w:t xml:space="preserve">of </w:t>
      </w:r>
      <w:proofErr w:type="spellStart"/>
      <w:r w:rsidR="00D47536" w:rsidRPr="00D47536">
        <w:rPr>
          <w:rFonts w:ascii="Book Antiqua" w:hAnsi="Book Antiqua" w:cs="Arial"/>
          <w:b/>
          <w:bCs/>
          <w:u w:val="single"/>
        </w:rPr>
        <w:t>Hysaj</w:t>
      </w:r>
      <w:proofErr w:type="spellEnd"/>
      <w:r w:rsidR="00D47536">
        <w:rPr>
          <w:rFonts w:ascii="Book Antiqua" w:hAnsi="Book Antiqua" w:cs="Arial"/>
        </w:rPr>
        <w:t xml:space="preserve"> </w:t>
      </w:r>
      <w:r w:rsidR="001B4D71">
        <w:rPr>
          <w:rFonts w:ascii="Book Antiqua" w:hAnsi="Book Antiqua" w:cs="Arial"/>
        </w:rPr>
        <w:t xml:space="preserve">at paragraph 7 </w:t>
      </w:r>
      <w:r w:rsidR="00994995">
        <w:rPr>
          <w:rFonts w:ascii="Book Antiqua" w:hAnsi="Book Antiqua" w:cs="Arial"/>
        </w:rPr>
        <w:t>reads as follows:</w:t>
      </w:r>
      <w:r w:rsidR="00684576">
        <w:rPr>
          <w:rFonts w:ascii="Book Antiqua" w:hAnsi="Book Antiqua" w:cs="Arial"/>
        </w:rPr>
        <w:t xml:space="preserve"> </w:t>
      </w:r>
    </w:p>
    <w:p w14:paraId="1F796F20" w14:textId="5F332597" w:rsidR="00F552C5" w:rsidRPr="00F552C5" w:rsidRDefault="00F552C5" w:rsidP="00F552C5">
      <w:pPr>
        <w:pStyle w:val="ListParagraph"/>
        <w:spacing w:before="240"/>
        <w:ind w:left="1134"/>
        <w:jc w:val="both"/>
        <w:rPr>
          <w:rFonts w:ascii="Book Antiqua" w:hAnsi="Book Antiqua" w:cs="Arial"/>
        </w:rPr>
      </w:pPr>
      <w:r w:rsidRPr="00F552C5">
        <w:rPr>
          <w:rFonts w:ascii="Book Antiqua" w:hAnsi="Book Antiqua" w:cs="Arial"/>
        </w:rPr>
        <w:t>‘</w:t>
      </w:r>
      <w:r w:rsidRPr="00F552C5">
        <w:rPr>
          <w:rFonts w:ascii="Book Antiqua" w:eastAsia="Book Antiqua" w:hAnsi="Book Antiqua" w:cs="Book Antiqua"/>
          <w:lang w:val="en-US"/>
        </w:rPr>
        <w:t xml:space="preserve">There is a heavy weight to be placed upon the public interest in maintaining the integrity of the system by which foreign nationals are </w:t>
      </w:r>
      <w:proofErr w:type="spellStart"/>
      <w:r w:rsidRPr="00F552C5">
        <w:rPr>
          <w:rFonts w:ascii="Book Antiqua" w:eastAsia="Book Antiqua" w:hAnsi="Book Antiqua" w:cs="Book Antiqua"/>
          <w:lang w:val="en-US"/>
        </w:rPr>
        <w:t>naturalised</w:t>
      </w:r>
      <w:proofErr w:type="spellEnd"/>
      <w:r w:rsidRPr="00F552C5">
        <w:rPr>
          <w:rFonts w:ascii="Book Antiqua" w:eastAsia="Book Antiqua" w:hAnsi="Book Antiqua" w:cs="Book Antiqua"/>
          <w:lang w:val="en-US"/>
        </w:rPr>
        <w:t xml:space="preserve"> and permitted to enjoy the benefits of British citizenship. </w:t>
      </w:r>
      <w:r w:rsidRPr="00F552C5">
        <w:rPr>
          <w:rFonts w:ascii="Book Antiqua" w:eastAsia="Book Antiqua" w:hAnsi="Book Antiqua" w:cs="Book Antiqua"/>
          <w:u w:val="single"/>
          <w:lang w:val="en-US"/>
        </w:rPr>
        <w:t xml:space="preserve">That deprivation will cause disruption in day-to-day life is a consequence of the appellant’s own actions and </w:t>
      </w:r>
      <w:r w:rsidRPr="00F552C5">
        <w:rPr>
          <w:rFonts w:ascii="Book Antiqua" w:eastAsia="Book Antiqua" w:hAnsi="Book Antiqua" w:cs="Book Antiqua"/>
          <w:b/>
          <w:bCs/>
          <w:u w:val="single"/>
          <w:lang w:val="en-US"/>
        </w:rPr>
        <w:t>without more</w:t>
      </w:r>
      <w:r w:rsidRPr="00F552C5">
        <w:rPr>
          <w:rFonts w:ascii="Book Antiqua" w:eastAsia="Book Antiqua" w:hAnsi="Book Antiqua" w:cs="Book Antiqua"/>
          <w:u w:val="single"/>
          <w:lang w:val="en-US"/>
        </w:rPr>
        <w:t xml:space="preserve">, such as the loss of rights previously enjoyed, </w:t>
      </w:r>
      <w:r w:rsidRPr="00F552C5">
        <w:rPr>
          <w:rFonts w:ascii="Book Antiqua" w:eastAsia="Book Antiqua" w:hAnsi="Book Antiqua" w:cs="Book Antiqua"/>
          <w:b/>
          <w:bCs/>
          <w:u w:val="single"/>
          <w:lang w:val="en-US"/>
        </w:rPr>
        <w:t xml:space="preserve">cannot possibly tip the proportionality balance in </w:t>
      </w:r>
      <w:proofErr w:type="spellStart"/>
      <w:r w:rsidRPr="00F552C5">
        <w:rPr>
          <w:rFonts w:ascii="Book Antiqua" w:eastAsia="Book Antiqua" w:hAnsi="Book Antiqua" w:cs="Book Antiqua"/>
          <w:b/>
          <w:bCs/>
          <w:u w:val="single"/>
          <w:lang w:val="en-US"/>
        </w:rPr>
        <w:t>favour</w:t>
      </w:r>
      <w:proofErr w:type="spellEnd"/>
      <w:r w:rsidRPr="00F552C5">
        <w:rPr>
          <w:rFonts w:ascii="Book Antiqua" w:eastAsia="Book Antiqua" w:hAnsi="Book Antiqua" w:cs="Book Antiqua"/>
          <w:b/>
          <w:bCs/>
          <w:u w:val="single"/>
          <w:lang w:val="en-US"/>
        </w:rPr>
        <w:t xml:space="preserve"> of his retaining the benefits of citizenship</w:t>
      </w:r>
      <w:r w:rsidRPr="00F552C5">
        <w:rPr>
          <w:rFonts w:ascii="Book Antiqua" w:eastAsia="Book Antiqua" w:hAnsi="Book Antiqua" w:cs="Book Antiqua"/>
          <w:b/>
          <w:bCs/>
          <w:lang w:val="en-US"/>
        </w:rPr>
        <w:t xml:space="preserve"> that he fraudulently secured</w:t>
      </w:r>
      <w:r w:rsidR="00573FDB">
        <w:rPr>
          <w:rFonts w:ascii="Book Antiqua" w:eastAsia="Book Antiqua" w:hAnsi="Book Antiqua" w:cs="Book Antiqua"/>
          <w:b/>
          <w:bCs/>
          <w:lang w:val="en-US"/>
        </w:rPr>
        <w:t>’</w:t>
      </w:r>
      <w:r w:rsidRPr="00F552C5">
        <w:rPr>
          <w:rFonts w:ascii="Book Antiqua" w:eastAsia="Book Antiqua" w:hAnsi="Book Antiqua" w:cs="Book Antiqua"/>
          <w:lang w:val="en-US"/>
        </w:rPr>
        <w:t xml:space="preserve">. </w:t>
      </w:r>
    </w:p>
    <w:p w14:paraId="2E11D898" w14:textId="77777777" w:rsidR="00F552C5" w:rsidRDefault="00F552C5" w:rsidP="00F552C5">
      <w:pPr>
        <w:pStyle w:val="ListParagraph"/>
        <w:spacing w:before="240"/>
        <w:jc w:val="both"/>
        <w:rPr>
          <w:rFonts w:ascii="Book Antiqua" w:hAnsi="Book Antiqua" w:cs="Arial"/>
        </w:rPr>
      </w:pPr>
    </w:p>
    <w:p w14:paraId="10A8E091" w14:textId="2AAEF85D" w:rsidR="00F552C5" w:rsidRPr="00F552C5" w:rsidRDefault="00F552C5" w:rsidP="00F552C5">
      <w:pPr>
        <w:pStyle w:val="ListParagraph"/>
        <w:spacing w:before="240"/>
        <w:jc w:val="both"/>
        <w:rPr>
          <w:rFonts w:ascii="Book Antiqua" w:hAnsi="Book Antiqua" w:cs="Arial"/>
        </w:rPr>
      </w:pPr>
      <w:r w:rsidRPr="00F552C5">
        <w:rPr>
          <w:rFonts w:ascii="Book Antiqua" w:hAnsi="Book Antiqua" w:cs="Arial"/>
        </w:rPr>
        <w:t xml:space="preserve">That, however, does not negate a careful assessment of the effects of the deprivation in each individual case, </w:t>
      </w:r>
      <w:r w:rsidR="00505E79">
        <w:rPr>
          <w:rFonts w:ascii="Book Antiqua" w:hAnsi="Book Antiqua" w:cs="Arial"/>
        </w:rPr>
        <w:t>and I note the reference to ‘without more’</w:t>
      </w:r>
      <w:r w:rsidR="00271D39">
        <w:rPr>
          <w:rFonts w:ascii="Book Antiqua" w:hAnsi="Book Antiqua" w:cs="Arial"/>
        </w:rPr>
        <w:t xml:space="preserve">.  Nonetheless, </w:t>
      </w:r>
      <w:r w:rsidRPr="00F552C5">
        <w:rPr>
          <w:rFonts w:ascii="Book Antiqua" w:hAnsi="Book Antiqua" w:cs="Arial"/>
        </w:rPr>
        <w:t xml:space="preserve">I have found a material error in the approach to interpretation, </w:t>
      </w:r>
      <w:r w:rsidR="00F76AA5">
        <w:rPr>
          <w:rFonts w:ascii="Book Antiqua" w:hAnsi="Book Antiqua" w:cs="Arial"/>
        </w:rPr>
        <w:t xml:space="preserve">and I therefore </w:t>
      </w:r>
      <w:r w:rsidRPr="00F552C5">
        <w:rPr>
          <w:rFonts w:ascii="Book Antiqua" w:hAnsi="Book Antiqua" w:cs="Arial"/>
        </w:rPr>
        <w:t xml:space="preserve">find that the decision should be set aside and the matter remitted to the First-tier Tribunal.  </w:t>
      </w:r>
    </w:p>
    <w:p w14:paraId="008C3FD5" w14:textId="77777777" w:rsidR="00F552C5" w:rsidRDefault="00F552C5" w:rsidP="00F552C5">
      <w:pPr>
        <w:spacing w:before="240"/>
        <w:ind w:left="567"/>
        <w:jc w:val="both"/>
        <w:rPr>
          <w:rFonts w:ascii="Book Antiqua" w:hAnsi="Book Antiqua" w:cs="Arial"/>
        </w:rPr>
      </w:pPr>
    </w:p>
    <w:p w14:paraId="34883AD2" w14:textId="6A3B5080" w:rsidR="00A51401" w:rsidRPr="00F552C5" w:rsidRDefault="00A51401" w:rsidP="00F552C5">
      <w:pPr>
        <w:numPr>
          <w:ilvl w:val="0"/>
          <w:numId w:val="1"/>
        </w:numPr>
        <w:tabs>
          <w:tab w:val="clear" w:pos="720"/>
        </w:tabs>
        <w:spacing w:before="240"/>
        <w:ind w:left="567" w:hanging="567"/>
        <w:jc w:val="both"/>
        <w:rPr>
          <w:rFonts w:ascii="Book Antiqua" w:hAnsi="Book Antiqua" w:cs="Arial"/>
        </w:rPr>
      </w:pPr>
      <w:r w:rsidRPr="00F552C5">
        <w:rPr>
          <w:rFonts w:ascii="Book Antiqua" w:hAnsi="Book Antiqua" w:cs="Calibri"/>
          <w:color w:val="000000"/>
        </w:rPr>
        <w:t>The Judge erred materially for the reasons identified. I set aside the decision pursuant to Section 12(2)(a) of the Tribunals Courts and Enforcement Act 2007 (TCE 2007).  Bearing in mind the nature and extent of the findings to be made the matter should be remitted to the First-tier Tribunal under section 12(2) (b) (i) of the TCE 2007 and further to 7.2 (b) of the Presidential Practice Statement.</w:t>
      </w:r>
    </w:p>
    <w:p w14:paraId="11819D9D" w14:textId="77777777" w:rsidR="00A51401" w:rsidRPr="00C65A1C" w:rsidRDefault="00A51401" w:rsidP="00016B8A">
      <w:pPr>
        <w:spacing w:before="240"/>
        <w:ind w:left="567"/>
        <w:jc w:val="both"/>
        <w:rPr>
          <w:rFonts w:ascii="Book Antiqua" w:hAnsi="Book Antiqua" w:cs="Arial"/>
        </w:rPr>
      </w:pPr>
    </w:p>
    <w:p w14:paraId="4BECE6E8" w14:textId="77777777" w:rsidR="00DA1C64" w:rsidRDefault="00DA1C64" w:rsidP="00CF1AB0">
      <w:pPr>
        <w:spacing w:before="240"/>
        <w:jc w:val="both"/>
        <w:rPr>
          <w:rFonts w:ascii="Book Antiqua" w:hAnsi="Book Antiqua" w:cs="Arial"/>
        </w:rPr>
      </w:pPr>
      <w:r w:rsidRPr="00DA1C64">
        <w:rPr>
          <w:rFonts w:ascii="Book Antiqua" w:hAnsi="Book Antiqua" w:cs="Arial"/>
        </w:rPr>
        <w:t>No anonymity direction is made.</w:t>
      </w:r>
    </w:p>
    <w:p w14:paraId="15BF9AF3" w14:textId="77777777" w:rsidR="00DA1C64" w:rsidRDefault="00DA1C64" w:rsidP="00DA1C64">
      <w:pPr>
        <w:jc w:val="both"/>
        <w:rPr>
          <w:rFonts w:ascii="Book Antiqua" w:hAnsi="Book Antiqua" w:cs="Arial"/>
        </w:rPr>
      </w:pPr>
    </w:p>
    <w:p w14:paraId="7FC36E3E" w14:textId="77777777" w:rsidR="00F76105" w:rsidRPr="00C4371F" w:rsidRDefault="00F76105" w:rsidP="00CE4C85">
      <w:pPr>
        <w:jc w:val="both"/>
        <w:rPr>
          <w:rFonts w:ascii="Book Antiqua" w:hAnsi="Book Antiqua" w:cs="Arial"/>
        </w:rPr>
      </w:pPr>
    </w:p>
    <w:p w14:paraId="0769302C" w14:textId="532AD944" w:rsidR="001F2716" w:rsidRPr="00C4371F" w:rsidRDefault="00780F86" w:rsidP="00780F86">
      <w:pPr>
        <w:ind w:left="540" w:hanging="540"/>
        <w:jc w:val="both"/>
        <w:rPr>
          <w:rFonts w:ascii="Book Antiqua" w:hAnsi="Book Antiqua" w:cs="Arial"/>
        </w:rPr>
      </w:pPr>
      <w:r w:rsidRPr="00C4371F">
        <w:rPr>
          <w:rFonts w:ascii="Book Antiqua" w:hAnsi="Book Antiqua" w:cs="Arial"/>
        </w:rPr>
        <w:t>Signed</w:t>
      </w:r>
      <w:r w:rsidRPr="00C4371F">
        <w:rPr>
          <w:rFonts w:ascii="Book Antiqua" w:hAnsi="Book Antiqua" w:cs="Arial"/>
        </w:rPr>
        <w:tab/>
      </w:r>
      <w:r w:rsidR="00CE4C85" w:rsidRPr="00CE4C85">
        <w:rPr>
          <w:rFonts w:ascii="Blackadder ITC" w:hAnsi="Blackadder ITC" w:cs="Arial"/>
        </w:rPr>
        <w:t>Helen Rimington</w:t>
      </w:r>
      <w:r w:rsidRPr="00C4371F">
        <w:rPr>
          <w:rFonts w:ascii="Book Antiqua" w:hAnsi="Book Antiqua" w:cs="Arial"/>
        </w:rPr>
        <w:tab/>
      </w:r>
      <w:r w:rsidRPr="00C4371F">
        <w:rPr>
          <w:rFonts w:ascii="Book Antiqua" w:hAnsi="Book Antiqua" w:cs="Arial"/>
        </w:rPr>
        <w:tab/>
      </w:r>
      <w:r w:rsidRPr="00C4371F">
        <w:rPr>
          <w:rFonts w:ascii="Book Antiqua" w:hAnsi="Book Antiqua" w:cs="Arial"/>
        </w:rPr>
        <w:tab/>
      </w:r>
      <w:r w:rsidRPr="00C4371F">
        <w:rPr>
          <w:rFonts w:ascii="Book Antiqua" w:hAnsi="Book Antiqua" w:cs="Arial"/>
        </w:rPr>
        <w:tab/>
      </w:r>
      <w:r w:rsidRPr="00C4371F">
        <w:rPr>
          <w:rFonts w:ascii="Book Antiqua" w:hAnsi="Book Antiqua" w:cs="Arial"/>
        </w:rPr>
        <w:tab/>
      </w:r>
      <w:r w:rsidRPr="00C4371F">
        <w:rPr>
          <w:rFonts w:ascii="Book Antiqua" w:hAnsi="Book Antiqua" w:cs="Arial"/>
        </w:rPr>
        <w:tab/>
      </w:r>
      <w:r w:rsidR="001F2716" w:rsidRPr="00C4371F">
        <w:rPr>
          <w:rFonts w:ascii="Book Antiqua" w:hAnsi="Book Antiqua" w:cs="Arial"/>
        </w:rPr>
        <w:t>Date</w:t>
      </w:r>
      <w:r w:rsidR="00CE4C85">
        <w:rPr>
          <w:rFonts w:ascii="Book Antiqua" w:hAnsi="Book Antiqua" w:cs="Arial"/>
        </w:rPr>
        <w:t xml:space="preserve"> 18</w:t>
      </w:r>
      <w:r w:rsidR="00CE4C85" w:rsidRPr="00CE4C85">
        <w:rPr>
          <w:rFonts w:ascii="Book Antiqua" w:hAnsi="Book Antiqua" w:cs="Arial"/>
          <w:vertAlign w:val="superscript"/>
        </w:rPr>
        <w:t>th</w:t>
      </w:r>
      <w:r w:rsidR="00CE4C85">
        <w:rPr>
          <w:rFonts w:ascii="Book Antiqua" w:hAnsi="Book Antiqua" w:cs="Arial"/>
        </w:rPr>
        <w:t xml:space="preserve"> November 2020</w:t>
      </w:r>
    </w:p>
    <w:p w14:paraId="6969ADF9" w14:textId="77777777" w:rsidR="001F2716" w:rsidRPr="00C4371F" w:rsidRDefault="001F2716" w:rsidP="00402B9E">
      <w:pPr>
        <w:tabs>
          <w:tab w:val="left" w:pos="2520"/>
        </w:tabs>
        <w:ind w:left="540" w:hanging="540"/>
        <w:jc w:val="both"/>
        <w:rPr>
          <w:rFonts w:ascii="Book Antiqua" w:hAnsi="Book Antiqua" w:cs="Arial"/>
        </w:rPr>
      </w:pPr>
    </w:p>
    <w:p w14:paraId="164406D2" w14:textId="77777777" w:rsidR="001F2716" w:rsidRPr="00C4371F" w:rsidRDefault="001F2716" w:rsidP="00402B9E">
      <w:pPr>
        <w:tabs>
          <w:tab w:val="left" w:pos="2520"/>
        </w:tabs>
        <w:ind w:left="540" w:hanging="540"/>
        <w:jc w:val="both"/>
        <w:rPr>
          <w:rFonts w:ascii="Book Antiqua" w:hAnsi="Book Antiqua" w:cs="Arial"/>
        </w:rPr>
      </w:pPr>
    </w:p>
    <w:p w14:paraId="61B181A3" w14:textId="717E9844" w:rsidR="00B95326" w:rsidRPr="00C4371F" w:rsidRDefault="00F275BD" w:rsidP="00F55C53">
      <w:pPr>
        <w:tabs>
          <w:tab w:val="left" w:pos="2520"/>
        </w:tabs>
        <w:ind w:left="540" w:hanging="540"/>
        <w:jc w:val="both"/>
        <w:rPr>
          <w:rFonts w:ascii="Book Antiqua" w:hAnsi="Book Antiqua" w:cs="Arial"/>
        </w:rPr>
      </w:pPr>
      <w:r>
        <w:rPr>
          <w:rFonts w:ascii="Book Antiqua" w:hAnsi="Book Antiqua" w:cs="Arial"/>
          <w:color w:val="000000"/>
        </w:rPr>
        <w:t xml:space="preserve">Upper Tribunal </w:t>
      </w:r>
      <w:r w:rsidR="00D9111A" w:rsidRPr="00C4371F">
        <w:rPr>
          <w:rFonts w:ascii="Book Antiqua" w:hAnsi="Book Antiqua" w:cs="Arial"/>
          <w:color w:val="000000"/>
        </w:rPr>
        <w:t>Judge</w:t>
      </w:r>
      <w:r w:rsidR="00485E21" w:rsidRPr="00C4371F">
        <w:rPr>
          <w:rFonts w:ascii="Book Antiqua" w:hAnsi="Book Antiqua" w:cs="Arial"/>
          <w:color w:val="000000"/>
        </w:rPr>
        <w:t xml:space="preserve"> </w:t>
      </w:r>
      <w:r w:rsidR="00F22153" w:rsidRPr="00C4371F">
        <w:rPr>
          <w:rFonts w:ascii="Book Antiqua" w:hAnsi="Book Antiqua" w:cs="Arial"/>
          <w:color w:val="000000"/>
        </w:rPr>
        <w:t>Rimington</w:t>
      </w:r>
      <w:r w:rsidR="00B83754" w:rsidRPr="00C4371F">
        <w:rPr>
          <w:rFonts w:ascii="Book Antiqua" w:hAnsi="Book Antiqua" w:cs="Arial"/>
          <w:color w:val="000000"/>
        </w:rPr>
        <w:t xml:space="preserve"> </w:t>
      </w:r>
    </w:p>
    <w:p w14:paraId="71C73B0E" w14:textId="77777777" w:rsidR="00B95326" w:rsidRPr="00C4371F" w:rsidRDefault="00B95326" w:rsidP="00402B9E">
      <w:pPr>
        <w:tabs>
          <w:tab w:val="left" w:pos="2520"/>
        </w:tabs>
        <w:ind w:left="540" w:hanging="540"/>
        <w:jc w:val="both"/>
        <w:rPr>
          <w:rFonts w:ascii="Book Antiqua" w:hAnsi="Book Antiqua" w:cs="Arial"/>
        </w:rPr>
      </w:pPr>
    </w:p>
    <w:sectPr w:rsidR="00B95326" w:rsidRPr="00C4371F"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B34B4" w14:textId="77777777" w:rsidR="0073056C" w:rsidRDefault="0073056C">
      <w:r>
        <w:separator/>
      </w:r>
    </w:p>
  </w:endnote>
  <w:endnote w:type="continuationSeparator" w:id="0">
    <w:p w14:paraId="4C5E809E" w14:textId="77777777" w:rsidR="0073056C" w:rsidRDefault="00730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6F62" w14:textId="77777777" w:rsidR="0055152A" w:rsidRPr="00C00E82" w:rsidRDefault="0055152A" w:rsidP="00593795">
    <w:pPr>
      <w:pStyle w:val="Footer"/>
      <w:jc w:val="center"/>
      <w:rPr>
        <w:rFonts w:ascii="Book Antiqua" w:hAnsi="Book Antiqua" w:cs="Arial"/>
      </w:rPr>
    </w:pPr>
    <w:r w:rsidRPr="00C00E82">
      <w:rPr>
        <w:rStyle w:val="PageNumber"/>
        <w:rFonts w:ascii="Book Antiqua" w:hAnsi="Book Antiqua" w:cs="Arial"/>
      </w:rPr>
      <w:fldChar w:fldCharType="begin"/>
    </w:r>
    <w:r w:rsidRPr="00C00E82">
      <w:rPr>
        <w:rStyle w:val="PageNumber"/>
        <w:rFonts w:ascii="Book Antiqua" w:hAnsi="Book Antiqua" w:cs="Arial"/>
      </w:rPr>
      <w:instrText xml:space="preserve"> PAGE </w:instrText>
    </w:r>
    <w:r w:rsidRPr="00C00E82">
      <w:rPr>
        <w:rStyle w:val="PageNumber"/>
        <w:rFonts w:ascii="Book Antiqua" w:hAnsi="Book Antiqua" w:cs="Arial"/>
      </w:rPr>
      <w:fldChar w:fldCharType="separate"/>
    </w:r>
    <w:r w:rsidRPr="00C00E82">
      <w:rPr>
        <w:rStyle w:val="PageNumber"/>
        <w:rFonts w:ascii="Book Antiqua" w:hAnsi="Book Antiqua" w:cs="Arial"/>
        <w:noProof/>
      </w:rPr>
      <w:t>3</w:t>
    </w:r>
    <w:r w:rsidRPr="00C00E8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9BEFC" w14:textId="77777777" w:rsidR="0055152A" w:rsidRPr="00C4371F" w:rsidRDefault="0055152A" w:rsidP="00F76105">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1ED77" w14:textId="77777777" w:rsidR="0073056C" w:rsidRDefault="0073056C">
      <w:r>
        <w:separator/>
      </w:r>
    </w:p>
  </w:footnote>
  <w:footnote w:type="continuationSeparator" w:id="0">
    <w:p w14:paraId="752D6A57" w14:textId="77777777" w:rsidR="0073056C" w:rsidRDefault="00730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1B466" w14:textId="6D8215EB" w:rsidR="0055152A" w:rsidRPr="00C4371F" w:rsidRDefault="0055152A" w:rsidP="00593795">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DC/00008/2019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1D64B" w14:textId="3EB1BD8B" w:rsidR="0055152A" w:rsidRPr="00C4371F" w:rsidRDefault="0055152A">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53B00"/>
    <w:multiLevelType w:val="hybridMultilevel"/>
    <w:tmpl w:val="5FB41120"/>
    <w:lvl w:ilvl="0" w:tplc="4D9817DC">
      <w:start w:val="1"/>
      <w:numFmt w:val="decimal"/>
      <w:lvlText w:val="%1."/>
      <w:lvlJc w:val="left"/>
      <w:pPr>
        <w:ind w:left="720" w:hanging="360"/>
      </w:pPr>
    </w:lvl>
    <w:lvl w:ilvl="1" w:tplc="B532CF1C">
      <w:start w:val="1"/>
      <w:numFmt w:val="lowerLetter"/>
      <w:lvlText w:val="%2."/>
      <w:lvlJc w:val="left"/>
      <w:pPr>
        <w:ind w:left="1440" w:hanging="360"/>
      </w:pPr>
    </w:lvl>
    <w:lvl w:ilvl="2" w:tplc="1CDC93AE">
      <w:start w:val="1"/>
      <w:numFmt w:val="lowerRoman"/>
      <w:lvlText w:val="%3."/>
      <w:lvlJc w:val="right"/>
      <w:pPr>
        <w:ind w:left="2160" w:hanging="180"/>
      </w:pPr>
    </w:lvl>
    <w:lvl w:ilvl="3" w:tplc="F204094A">
      <w:start w:val="1"/>
      <w:numFmt w:val="decimal"/>
      <w:lvlText w:val="%4."/>
      <w:lvlJc w:val="left"/>
      <w:pPr>
        <w:ind w:left="2880" w:hanging="360"/>
      </w:pPr>
    </w:lvl>
    <w:lvl w:ilvl="4" w:tplc="BDFAD1D4">
      <w:start w:val="1"/>
      <w:numFmt w:val="lowerLetter"/>
      <w:lvlText w:val="%5."/>
      <w:lvlJc w:val="left"/>
      <w:pPr>
        <w:ind w:left="3600" w:hanging="360"/>
      </w:pPr>
    </w:lvl>
    <w:lvl w:ilvl="5" w:tplc="6E0C4084">
      <w:start w:val="1"/>
      <w:numFmt w:val="lowerRoman"/>
      <w:lvlText w:val="%6."/>
      <w:lvlJc w:val="right"/>
      <w:pPr>
        <w:ind w:left="4320" w:hanging="180"/>
      </w:pPr>
    </w:lvl>
    <w:lvl w:ilvl="6" w:tplc="8B166C80">
      <w:start w:val="1"/>
      <w:numFmt w:val="decimal"/>
      <w:lvlText w:val="%7."/>
      <w:lvlJc w:val="left"/>
      <w:pPr>
        <w:ind w:left="5040" w:hanging="360"/>
      </w:pPr>
    </w:lvl>
    <w:lvl w:ilvl="7" w:tplc="0AB05440">
      <w:start w:val="1"/>
      <w:numFmt w:val="lowerLetter"/>
      <w:lvlText w:val="%8."/>
      <w:lvlJc w:val="left"/>
      <w:pPr>
        <w:ind w:left="5760" w:hanging="360"/>
      </w:pPr>
    </w:lvl>
    <w:lvl w:ilvl="8" w:tplc="994A45C0">
      <w:start w:val="1"/>
      <w:numFmt w:val="lowerRoman"/>
      <w:lvlText w:val="%9."/>
      <w:lvlJc w:val="right"/>
      <w:pPr>
        <w:ind w:left="6480" w:hanging="180"/>
      </w:pPr>
    </w:lvl>
  </w:abstractNum>
  <w:abstractNum w:abstractNumId="1" w15:restartNumberingAfterBreak="0">
    <w:nsid w:val="6C5C59CC"/>
    <w:multiLevelType w:val="hybridMultilevel"/>
    <w:tmpl w:val="747AE4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70D909C8"/>
    <w:multiLevelType w:val="hybridMultilevel"/>
    <w:tmpl w:val="747AE4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5C"/>
    <w:rsid w:val="00000621"/>
    <w:rsid w:val="000036C2"/>
    <w:rsid w:val="00016B8A"/>
    <w:rsid w:val="00027A1F"/>
    <w:rsid w:val="00033D3D"/>
    <w:rsid w:val="00062F02"/>
    <w:rsid w:val="00071A7E"/>
    <w:rsid w:val="000746C0"/>
    <w:rsid w:val="00074D1D"/>
    <w:rsid w:val="00091A00"/>
    <w:rsid w:val="00092580"/>
    <w:rsid w:val="00092F08"/>
    <w:rsid w:val="00093D4D"/>
    <w:rsid w:val="000A7E8D"/>
    <w:rsid w:val="000B3594"/>
    <w:rsid w:val="000C2EAF"/>
    <w:rsid w:val="000D5D94"/>
    <w:rsid w:val="000E3202"/>
    <w:rsid w:val="000E3E2D"/>
    <w:rsid w:val="000F1A0E"/>
    <w:rsid w:val="000F665B"/>
    <w:rsid w:val="001165A7"/>
    <w:rsid w:val="001227DE"/>
    <w:rsid w:val="00145476"/>
    <w:rsid w:val="001515FF"/>
    <w:rsid w:val="001550AA"/>
    <w:rsid w:val="00167D3A"/>
    <w:rsid w:val="00185C9B"/>
    <w:rsid w:val="00193D1D"/>
    <w:rsid w:val="001949D4"/>
    <w:rsid w:val="001A3082"/>
    <w:rsid w:val="001A5B27"/>
    <w:rsid w:val="001B4D71"/>
    <w:rsid w:val="001F2716"/>
    <w:rsid w:val="00202467"/>
    <w:rsid w:val="00207617"/>
    <w:rsid w:val="00222802"/>
    <w:rsid w:val="0023134B"/>
    <w:rsid w:val="00237B91"/>
    <w:rsid w:val="0025557C"/>
    <w:rsid w:val="00271D39"/>
    <w:rsid w:val="00283659"/>
    <w:rsid w:val="00285462"/>
    <w:rsid w:val="00285D4A"/>
    <w:rsid w:val="00290A09"/>
    <w:rsid w:val="002931F7"/>
    <w:rsid w:val="002C0BB2"/>
    <w:rsid w:val="002C6BD4"/>
    <w:rsid w:val="002D006F"/>
    <w:rsid w:val="002D6783"/>
    <w:rsid w:val="002D68BF"/>
    <w:rsid w:val="002E4C93"/>
    <w:rsid w:val="002F01BD"/>
    <w:rsid w:val="002F6B98"/>
    <w:rsid w:val="003116D3"/>
    <w:rsid w:val="00315700"/>
    <w:rsid w:val="00325E41"/>
    <w:rsid w:val="003360D6"/>
    <w:rsid w:val="00336CBF"/>
    <w:rsid w:val="00336D46"/>
    <w:rsid w:val="00343FE3"/>
    <w:rsid w:val="003546C8"/>
    <w:rsid w:val="003567A1"/>
    <w:rsid w:val="003800C9"/>
    <w:rsid w:val="003A7CF2"/>
    <w:rsid w:val="003C5CE5"/>
    <w:rsid w:val="003E267B"/>
    <w:rsid w:val="003E4898"/>
    <w:rsid w:val="003E4F30"/>
    <w:rsid w:val="003E7CD1"/>
    <w:rsid w:val="003F53CF"/>
    <w:rsid w:val="00402B9E"/>
    <w:rsid w:val="00411957"/>
    <w:rsid w:val="0041341C"/>
    <w:rsid w:val="00416834"/>
    <w:rsid w:val="0042392A"/>
    <w:rsid w:val="004249CB"/>
    <w:rsid w:val="0044127D"/>
    <w:rsid w:val="004448DB"/>
    <w:rsid w:val="00446C9A"/>
    <w:rsid w:val="00452F2B"/>
    <w:rsid w:val="00457FBB"/>
    <w:rsid w:val="00460AF6"/>
    <w:rsid w:val="0046196D"/>
    <w:rsid w:val="00463EB0"/>
    <w:rsid w:val="00477193"/>
    <w:rsid w:val="00485E21"/>
    <w:rsid w:val="00495A63"/>
    <w:rsid w:val="004A1848"/>
    <w:rsid w:val="004A6F4A"/>
    <w:rsid w:val="004B108B"/>
    <w:rsid w:val="004E4717"/>
    <w:rsid w:val="004F3CB4"/>
    <w:rsid w:val="005038C0"/>
    <w:rsid w:val="00505E79"/>
    <w:rsid w:val="0050736B"/>
    <w:rsid w:val="00507FEC"/>
    <w:rsid w:val="00510F0E"/>
    <w:rsid w:val="00525B5E"/>
    <w:rsid w:val="005479E1"/>
    <w:rsid w:val="0055152A"/>
    <w:rsid w:val="005570FD"/>
    <w:rsid w:val="005575EA"/>
    <w:rsid w:val="00573FDB"/>
    <w:rsid w:val="0057790C"/>
    <w:rsid w:val="00580086"/>
    <w:rsid w:val="00593795"/>
    <w:rsid w:val="005A75FF"/>
    <w:rsid w:val="005B4741"/>
    <w:rsid w:val="005B6A3F"/>
    <w:rsid w:val="005D10AB"/>
    <w:rsid w:val="005F3D92"/>
    <w:rsid w:val="00601D8F"/>
    <w:rsid w:val="0060626C"/>
    <w:rsid w:val="00612816"/>
    <w:rsid w:val="00616E10"/>
    <w:rsid w:val="00621E66"/>
    <w:rsid w:val="0064675A"/>
    <w:rsid w:val="00653E97"/>
    <w:rsid w:val="00655399"/>
    <w:rsid w:val="0065610E"/>
    <w:rsid w:val="0065642A"/>
    <w:rsid w:val="00684576"/>
    <w:rsid w:val="006845C2"/>
    <w:rsid w:val="00684A74"/>
    <w:rsid w:val="00690B8A"/>
    <w:rsid w:val="006B4715"/>
    <w:rsid w:val="006C3BE0"/>
    <w:rsid w:val="006F2CF1"/>
    <w:rsid w:val="007038ED"/>
    <w:rsid w:val="00703BC3"/>
    <w:rsid w:val="00704B61"/>
    <w:rsid w:val="00711502"/>
    <w:rsid w:val="007135A9"/>
    <w:rsid w:val="00726852"/>
    <w:rsid w:val="0073056C"/>
    <w:rsid w:val="007552A9"/>
    <w:rsid w:val="007576E7"/>
    <w:rsid w:val="00761858"/>
    <w:rsid w:val="00766D2F"/>
    <w:rsid w:val="00767D59"/>
    <w:rsid w:val="00775216"/>
    <w:rsid w:val="00776E97"/>
    <w:rsid w:val="00780F86"/>
    <w:rsid w:val="00784FDA"/>
    <w:rsid w:val="007912AD"/>
    <w:rsid w:val="007A2CF2"/>
    <w:rsid w:val="007B0824"/>
    <w:rsid w:val="007B5D3C"/>
    <w:rsid w:val="007C1AB5"/>
    <w:rsid w:val="007D0FB3"/>
    <w:rsid w:val="007D662D"/>
    <w:rsid w:val="00812387"/>
    <w:rsid w:val="00815E5F"/>
    <w:rsid w:val="00821B72"/>
    <w:rsid w:val="00823EF2"/>
    <w:rsid w:val="008303B8"/>
    <w:rsid w:val="00831B39"/>
    <w:rsid w:val="00833DCE"/>
    <w:rsid w:val="008343A9"/>
    <w:rsid w:val="00857D7C"/>
    <w:rsid w:val="008629B8"/>
    <w:rsid w:val="00871D34"/>
    <w:rsid w:val="008A37BF"/>
    <w:rsid w:val="008B1812"/>
    <w:rsid w:val="008B270C"/>
    <w:rsid w:val="008B5078"/>
    <w:rsid w:val="008C3D3D"/>
    <w:rsid w:val="008D0D1E"/>
    <w:rsid w:val="008D394D"/>
    <w:rsid w:val="008D4131"/>
    <w:rsid w:val="008E086A"/>
    <w:rsid w:val="008F1932"/>
    <w:rsid w:val="008F7FE8"/>
    <w:rsid w:val="00901118"/>
    <w:rsid w:val="00902814"/>
    <w:rsid w:val="00921062"/>
    <w:rsid w:val="00921E77"/>
    <w:rsid w:val="009257D2"/>
    <w:rsid w:val="0095015F"/>
    <w:rsid w:val="00962E56"/>
    <w:rsid w:val="009722BC"/>
    <w:rsid w:val="009727A3"/>
    <w:rsid w:val="00987774"/>
    <w:rsid w:val="00994995"/>
    <w:rsid w:val="009A05C6"/>
    <w:rsid w:val="009A11E8"/>
    <w:rsid w:val="009B0B56"/>
    <w:rsid w:val="009F5220"/>
    <w:rsid w:val="00A14D67"/>
    <w:rsid w:val="00A15234"/>
    <w:rsid w:val="00A201AB"/>
    <w:rsid w:val="00A30809"/>
    <w:rsid w:val="00A31C8B"/>
    <w:rsid w:val="00A34E7A"/>
    <w:rsid w:val="00A3527A"/>
    <w:rsid w:val="00A35FE1"/>
    <w:rsid w:val="00A42214"/>
    <w:rsid w:val="00A509FA"/>
    <w:rsid w:val="00A51401"/>
    <w:rsid w:val="00A54E7F"/>
    <w:rsid w:val="00A644ED"/>
    <w:rsid w:val="00A845DC"/>
    <w:rsid w:val="00A94EBA"/>
    <w:rsid w:val="00AC1E91"/>
    <w:rsid w:val="00AC5155"/>
    <w:rsid w:val="00AC591F"/>
    <w:rsid w:val="00AC6AFF"/>
    <w:rsid w:val="00AE5911"/>
    <w:rsid w:val="00AF2DEB"/>
    <w:rsid w:val="00B140FF"/>
    <w:rsid w:val="00B1719E"/>
    <w:rsid w:val="00B26AA2"/>
    <w:rsid w:val="00B3119A"/>
    <w:rsid w:val="00B3524D"/>
    <w:rsid w:val="00B40F69"/>
    <w:rsid w:val="00B415C6"/>
    <w:rsid w:val="00B46616"/>
    <w:rsid w:val="00B5769A"/>
    <w:rsid w:val="00B64BE7"/>
    <w:rsid w:val="00B7040A"/>
    <w:rsid w:val="00B7224C"/>
    <w:rsid w:val="00B83391"/>
    <w:rsid w:val="00B83754"/>
    <w:rsid w:val="00B868EA"/>
    <w:rsid w:val="00B86965"/>
    <w:rsid w:val="00B95326"/>
    <w:rsid w:val="00BD2B7F"/>
    <w:rsid w:val="00BD34F9"/>
    <w:rsid w:val="00BD4196"/>
    <w:rsid w:val="00BF22CA"/>
    <w:rsid w:val="00BF23BB"/>
    <w:rsid w:val="00C00E82"/>
    <w:rsid w:val="00C07719"/>
    <w:rsid w:val="00C1222C"/>
    <w:rsid w:val="00C26032"/>
    <w:rsid w:val="00C345E1"/>
    <w:rsid w:val="00C424E2"/>
    <w:rsid w:val="00C4371F"/>
    <w:rsid w:val="00C43BFD"/>
    <w:rsid w:val="00C65A1C"/>
    <w:rsid w:val="00C66096"/>
    <w:rsid w:val="00C746A6"/>
    <w:rsid w:val="00C86818"/>
    <w:rsid w:val="00C919F3"/>
    <w:rsid w:val="00CB6E35"/>
    <w:rsid w:val="00CC2FF2"/>
    <w:rsid w:val="00CD06D5"/>
    <w:rsid w:val="00CE1A46"/>
    <w:rsid w:val="00CE4C85"/>
    <w:rsid w:val="00CF1AB0"/>
    <w:rsid w:val="00D005CD"/>
    <w:rsid w:val="00D049DC"/>
    <w:rsid w:val="00D06116"/>
    <w:rsid w:val="00D06EC9"/>
    <w:rsid w:val="00D0711A"/>
    <w:rsid w:val="00D20757"/>
    <w:rsid w:val="00D22636"/>
    <w:rsid w:val="00D40FD9"/>
    <w:rsid w:val="00D4606D"/>
    <w:rsid w:val="00D47536"/>
    <w:rsid w:val="00D53769"/>
    <w:rsid w:val="00D63616"/>
    <w:rsid w:val="00D67F4D"/>
    <w:rsid w:val="00D7391B"/>
    <w:rsid w:val="00D84095"/>
    <w:rsid w:val="00D85C13"/>
    <w:rsid w:val="00D9111A"/>
    <w:rsid w:val="00D91BE3"/>
    <w:rsid w:val="00D94AFC"/>
    <w:rsid w:val="00DA1C64"/>
    <w:rsid w:val="00DA4E2B"/>
    <w:rsid w:val="00DA5EE8"/>
    <w:rsid w:val="00DB70AE"/>
    <w:rsid w:val="00DD5071"/>
    <w:rsid w:val="00DD5C39"/>
    <w:rsid w:val="00DE5C20"/>
    <w:rsid w:val="00DE7DB7"/>
    <w:rsid w:val="00E00A0A"/>
    <w:rsid w:val="00E066DE"/>
    <w:rsid w:val="00E07F57"/>
    <w:rsid w:val="00E15441"/>
    <w:rsid w:val="00E1559B"/>
    <w:rsid w:val="00E404D0"/>
    <w:rsid w:val="00E453D8"/>
    <w:rsid w:val="00E5079D"/>
    <w:rsid w:val="00E50BCE"/>
    <w:rsid w:val="00E518ED"/>
    <w:rsid w:val="00E554C4"/>
    <w:rsid w:val="00E56137"/>
    <w:rsid w:val="00E574BF"/>
    <w:rsid w:val="00E61292"/>
    <w:rsid w:val="00E77C4D"/>
    <w:rsid w:val="00E81D01"/>
    <w:rsid w:val="00E84BEE"/>
    <w:rsid w:val="00E874F4"/>
    <w:rsid w:val="00E87E22"/>
    <w:rsid w:val="00E93951"/>
    <w:rsid w:val="00EA4CB4"/>
    <w:rsid w:val="00EC3070"/>
    <w:rsid w:val="00ED0CC5"/>
    <w:rsid w:val="00EE024C"/>
    <w:rsid w:val="00EE45D8"/>
    <w:rsid w:val="00EE5C05"/>
    <w:rsid w:val="00F22153"/>
    <w:rsid w:val="00F22EDA"/>
    <w:rsid w:val="00F275BD"/>
    <w:rsid w:val="00F370E8"/>
    <w:rsid w:val="00F46C26"/>
    <w:rsid w:val="00F552C5"/>
    <w:rsid w:val="00F55C53"/>
    <w:rsid w:val="00F56207"/>
    <w:rsid w:val="00F60B5C"/>
    <w:rsid w:val="00F7148F"/>
    <w:rsid w:val="00F76105"/>
    <w:rsid w:val="00F76AA5"/>
    <w:rsid w:val="00FA6010"/>
    <w:rsid w:val="00FB544C"/>
    <w:rsid w:val="00FD4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AA18A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Style1">
    <w:name w:val="Style1"/>
    <w:basedOn w:val="Normal"/>
    <w:rsid w:val="000A7E8D"/>
    <w:pPr>
      <w:spacing w:before="240"/>
      <w:ind w:left="1701" w:hanging="567"/>
      <w:jc w:val="both"/>
    </w:pPr>
    <w:rPr>
      <w:rFonts w:ascii="Book Antiqua" w:hAnsi="Book Antiqua" w:cs="Arial"/>
      <w:i/>
    </w:rPr>
  </w:style>
  <w:style w:type="paragraph" w:customStyle="1" w:styleId="legp2paratext">
    <w:name w:val="legp2paratext"/>
    <w:basedOn w:val="Normal"/>
    <w:rsid w:val="00B1719E"/>
    <w:pPr>
      <w:spacing w:before="100" w:beforeAutospacing="1" w:after="100" w:afterAutospacing="1"/>
    </w:pPr>
  </w:style>
  <w:style w:type="paragraph" w:customStyle="1" w:styleId="legclearfix">
    <w:name w:val="legclearfix"/>
    <w:basedOn w:val="Normal"/>
    <w:rsid w:val="00B1719E"/>
    <w:pPr>
      <w:spacing w:before="100" w:beforeAutospacing="1" w:after="100" w:afterAutospacing="1"/>
    </w:pPr>
  </w:style>
  <w:style w:type="character" w:customStyle="1" w:styleId="legds">
    <w:name w:val="legds"/>
    <w:basedOn w:val="DefaultParagraphFont"/>
    <w:rsid w:val="00B1719E"/>
  </w:style>
  <w:style w:type="paragraph" w:customStyle="1" w:styleId="legp1paratext">
    <w:name w:val="legp1paratext"/>
    <w:basedOn w:val="Normal"/>
    <w:rsid w:val="00B1719E"/>
    <w:pPr>
      <w:spacing w:before="100" w:beforeAutospacing="1" w:after="100" w:afterAutospacing="1"/>
    </w:pPr>
  </w:style>
  <w:style w:type="character" w:customStyle="1" w:styleId="legp1no">
    <w:name w:val="legp1no"/>
    <w:basedOn w:val="DefaultParagraphFont"/>
    <w:rsid w:val="00B1719E"/>
  </w:style>
  <w:style w:type="paragraph" w:styleId="ListParagraph">
    <w:name w:val="List Paragraph"/>
    <w:basedOn w:val="Normal"/>
    <w:uiPriority w:val="34"/>
    <w:qFormat/>
    <w:rsid w:val="00185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88096">
      <w:bodyDiv w:val="1"/>
      <w:marLeft w:val="0"/>
      <w:marRight w:val="0"/>
      <w:marTop w:val="0"/>
      <w:marBottom w:val="0"/>
      <w:divBdr>
        <w:top w:val="none" w:sz="0" w:space="0" w:color="auto"/>
        <w:left w:val="none" w:sz="0" w:space="0" w:color="auto"/>
        <w:bottom w:val="none" w:sz="0" w:space="0" w:color="auto"/>
        <w:right w:val="none" w:sz="0" w:space="0" w:color="auto"/>
      </w:divBdr>
    </w:div>
    <w:div w:id="1136800399">
      <w:bodyDiv w:val="1"/>
      <w:marLeft w:val="0"/>
      <w:marRight w:val="0"/>
      <w:marTop w:val="0"/>
      <w:marBottom w:val="0"/>
      <w:divBdr>
        <w:top w:val="none" w:sz="0" w:space="0" w:color="auto"/>
        <w:left w:val="none" w:sz="0" w:space="0" w:color="auto"/>
        <w:bottom w:val="none" w:sz="0" w:space="0" w:color="auto"/>
        <w:right w:val="none" w:sz="0" w:space="0" w:color="auto"/>
      </w:divBdr>
    </w:div>
    <w:div w:id="1194809256">
      <w:bodyDiv w:val="1"/>
      <w:marLeft w:val="0"/>
      <w:marRight w:val="0"/>
      <w:marTop w:val="0"/>
      <w:marBottom w:val="0"/>
      <w:divBdr>
        <w:top w:val="none" w:sz="0" w:space="0" w:color="auto"/>
        <w:left w:val="none" w:sz="0" w:space="0" w:color="auto"/>
        <w:bottom w:val="none" w:sz="0" w:space="0" w:color="auto"/>
        <w:right w:val="none" w:sz="0" w:space="0" w:color="auto"/>
      </w:divBdr>
    </w:div>
    <w:div w:id="1289387516">
      <w:bodyDiv w:val="1"/>
      <w:marLeft w:val="0"/>
      <w:marRight w:val="0"/>
      <w:marTop w:val="0"/>
      <w:marBottom w:val="0"/>
      <w:divBdr>
        <w:top w:val="none" w:sz="0" w:space="0" w:color="auto"/>
        <w:left w:val="none" w:sz="0" w:space="0" w:color="auto"/>
        <w:bottom w:val="none" w:sz="0" w:space="0" w:color="auto"/>
        <w:right w:val="none" w:sz="0" w:space="0" w:color="auto"/>
      </w:divBdr>
    </w:div>
    <w:div w:id="1582057128">
      <w:bodyDiv w:val="1"/>
      <w:marLeft w:val="0"/>
      <w:marRight w:val="0"/>
      <w:marTop w:val="0"/>
      <w:marBottom w:val="0"/>
      <w:divBdr>
        <w:top w:val="none" w:sz="0" w:space="0" w:color="auto"/>
        <w:left w:val="none" w:sz="0" w:space="0" w:color="auto"/>
        <w:bottom w:val="none" w:sz="0" w:space="0" w:color="auto"/>
        <w:right w:val="none" w:sz="0" w:space="0" w:color="auto"/>
      </w:divBdr>
    </w:div>
    <w:div w:id="17185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4103</Words>
  <Characters>20435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2020-12-09T13:00:00Z</dcterms:created>
  <dcterms:modified xsi:type="dcterms:W3CDTF">2020-12-09T13:01:00Z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