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AA16" w14:textId="3A636E3E" w:rsidR="008F063E" w:rsidRPr="00243E6F" w:rsidRDefault="000F1208" w:rsidP="00DE1C47">
      <w:pPr>
        <w:jc w:val="center"/>
        <w:rPr>
          <w:rFonts w:ascii="Book Antiqua" w:hAnsi="Book Antiqua"/>
          <w:color w:val="000000"/>
          <w:sz w:val="16"/>
          <w:szCs w:val="16"/>
        </w:rPr>
      </w:pPr>
      <w:r w:rsidRPr="00243E6F">
        <w:rPr>
          <w:noProof/>
          <w:sz w:val="16"/>
          <w:szCs w:val="16"/>
        </w:rPr>
        <w:drawing>
          <wp:inline distT="0" distB="0" distL="0" distR="0" wp14:anchorId="2EF6C4AE" wp14:editId="36BAE156">
            <wp:extent cx="1495425" cy="1133475"/>
            <wp:effectExtent l="0" t="0" r="0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780D" w14:textId="77777777" w:rsidR="00243E6F" w:rsidRPr="00243E6F" w:rsidRDefault="00243E6F" w:rsidP="00DE1C47">
      <w:pPr>
        <w:rPr>
          <w:rFonts w:ascii="Book Antiqua" w:hAnsi="Book Antiqua"/>
          <w:color w:val="000000"/>
          <w:sz w:val="16"/>
          <w:szCs w:val="16"/>
        </w:rPr>
      </w:pPr>
    </w:p>
    <w:p w14:paraId="6A0413BD" w14:textId="77777777" w:rsidR="008F063E" w:rsidRDefault="008F063E" w:rsidP="00DE1C47">
      <w:pPr>
        <w:rPr>
          <w:rFonts w:ascii="Book Antiqua" w:hAnsi="Book Antiqua"/>
          <w:b/>
          <w:bCs/>
          <w:color w:val="000000"/>
        </w:rPr>
      </w:pPr>
      <w:r>
        <w:rPr>
          <w:rFonts w:ascii="Book Antiqua" w:hAnsi="Book Antiqua"/>
          <w:b/>
          <w:bCs/>
          <w:color w:val="000000"/>
        </w:rPr>
        <w:t xml:space="preserve">Upper Tribunal </w:t>
      </w:r>
    </w:p>
    <w:p w14:paraId="39761C57" w14:textId="13A2A917" w:rsidR="002A2AC5" w:rsidRDefault="008F063E" w:rsidP="00DE1C47">
      <w:pPr>
        <w:tabs>
          <w:tab w:val="right" w:pos="9638"/>
        </w:tabs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bCs/>
          <w:color w:val="000000"/>
        </w:rPr>
        <w:t>(Immigration and Asylum Chamber)</w:t>
      </w:r>
      <w:r w:rsidR="00DE1C47">
        <w:rPr>
          <w:rFonts w:ascii="Book Antiqua" w:hAnsi="Book Antiqua"/>
          <w:b/>
          <w:bCs/>
          <w:color w:val="000000"/>
        </w:rPr>
        <w:tab/>
      </w:r>
      <w:r>
        <w:rPr>
          <w:rFonts w:ascii="Book Antiqua" w:hAnsi="Book Antiqua"/>
          <w:color w:val="000000"/>
        </w:rPr>
        <w:t>Appeal Number:</w:t>
      </w:r>
      <w:r w:rsidR="00DE1C47">
        <w:rPr>
          <w:rFonts w:ascii="Book Antiqua" w:hAnsi="Book Antiqua"/>
          <w:color w:val="000000"/>
        </w:rPr>
        <w:t xml:space="preserve"> </w:t>
      </w:r>
      <w:bookmarkStart w:id="0" w:name="_GoBack"/>
      <w:r w:rsidR="003F57A8">
        <w:rPr>
          <w:rFonts w:ascii="Book Antiqua" w:hAnsi="Book Antiqua" w:cs="Arial"/>
          <w:caps/>
          <w:color w:val="000000"/>
        </w:rPr>
        <w:t>EA/00013/2018</w:t>
      </w:r>
      <w:bookmarkEnd w:id="0"/>
    </w:p>
    <w:p w14:paraId="032A17EA" w14:textId="77777777" w:rsidR="008F063E" w:rsidRDefault="008F063E" w:rsidP="00DE1C47">
      <w:pPr>
        <w:jc w:val="center"/>
        <w:rPr>
          <w:rFonts w:ascii="Book Antiqua" w:hAnsi="Book Antiqua"/>
          <w:color w:val="000000"/>
        </w:rPr>
      </w:pPr>
    </w:p>
    <w:p w14:paraId="4C649507" w14:textId="23924525" w:rsidR="008F063E" w:rsidRDefault="008F063E" w:rsidP="00DE1C47">
      <w:pPr>
        <w:jc w:val="center"/>
        <w:rPr>
          <w:rFonts w:ascii="Book Antiqua" w:hAnsi="Book Antiqua"/>
          <w:b/>
          <w:bCs/>
          <w:color w:val="000000"/>
          <w:u w:val="single"/>
        </w:rPr>
      </w:pPr>
      <w:r>
        <w:rPr>
          <w:rFonts w:ascii="Book Antiqua" w:hAnsi="Book Antiqua"/>
          <w:b/>
          <w:bCs/>
          <w:color w:val="000000"/>
          <w:u w:val="single"/>
        </w:rPr>
        <w:t>THE IMMIGRATION ACTS</w:t>
      </w:r>
    </w:p>
    <w:p w14:paraId="3D73668C" w14:textId="77777777" w:rsidR="00DE1C47" w:rsidRDefault="00DE1C47" w:rsidP="00DE1C47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9"/>
        <w:gridCol w:w="4819"/>
      </w:tblGrid>
      <w:tr w:rsidR="00DE1C47" w14:paraId="67C12274" w14:textId="77777777" w:rsidTr="00DE1C47">
        <w:tc>
          <w:tcPr>
            <w:tcW w:w="2500" w:type="pct"/>
            <w:hideMark/>
          </w:tcPr>
          <w:p w14:paraId="303D3D15" w14:textId="77777777" w:rsidR="00DE1C47" w:rsidRDefault="00DE1C47" w:rsidP="00DE1C47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2500" w:type="pct"/>
            <w:hideMark/>
          </w:tcPr>
          <w:p w14:paraId="385D20D3" w14:textId="77777777" w:rsidR="00DE1C47" w:rsidRDefault="00DE1C47" w:rsidP="00DE1C47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DE1C47" w14:paraId="0694D12F" w14:textId="77777777" w:rsidTr="00DE1C47">
        <w:tc>
          <w:tcPr>
            <w:tcW w:w="2500" w:type="pct"/>
            <w:hideMark/>
          </w:tcPr>
          <w:p w14:paraId="7753BA3E" w14:textId="552A734F" w:rsidR="00DE1C47" w:rsidRDefault="00DE1C47" w:rsidP="00DE1C47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12 September 2018</w:t>
            </w:r>
          </w:p>
        </w:tc>
        <w:tc>
          <w:tcPr>
            <w:tcW w:w="2500" w:type="pct"/>
            <w:hideMark/>
          </w:tcPr>
          <w:p w14:paraId="621CD143" w14:textId="77777777" w:rsidR="00DE1C47" w:rsidRDefault="00DE1C47" w:rsidP="00DE1C47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13 September 2018</w:t>
            </w:r>
          </w:p>
        </w:tc>
      </w:tr>
      <w:tr w:rsidR="00DE1C47" w14:paraId="4B6B4180" w14:textId="77777777" w:rsidTr="00DE1C47">
        <w:tc>
          <w:tcPr>
            <w:tcW w:w="2500" w:type="pct"/>
          </w:tcPr>
          <w:p w14:paraId="1629A363" w14:textId="77777777" w:rsidR="00DE1C47" w:rsidRDefault="00DE1C47" w:rsidP="00DE1C47">
            <w:pPr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</w:tcPr>
          <w:p w14:paraId="566DBFFD" w14:textId="77777777" w:rsidR="00DE1C47" w:rsidRDefault="00DE1C47" w:rsidP="00DE1C47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14:paraId="6993184A" w14:textId="6A785E91" w:rsidR="00B423C3" w:rsidRDefault="00B423C3" w:rsidP="00DE1C47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4B17C199" w14:textId="77777777" w:rsidR="003F57A8" w:rsidRPr="00F97703" w:rsidRDefault="003F57A8" w:rsidP="00DE1C47">
      <w:pPr>
        <w:jc w:val="center"/>
        <w:rPr>
          <w:rFonts w:ascii="Book Antiqua" w:hAnsi="Book Antiqua" w:cs="Arial"/>
          <w:b/>
        </w:rPr>
      </w:pPr>
    </w:p>
    <w:p w14:paraId="696AE7F1" w14:textId="77777777" w:rsidR="00B423C3" w:rsidRPr="00F97703" w:rsidRDefault="00CE1DA4" w:rsidP="00DE1C47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GRUBB</w:t>
      </w:r>
    </w:p>
    <w:p w14:paraId="4550EED4" w14:textId="3208BAAF" w:rsidR="008F063E" w:rsidRDefault="008F063E" w:rsidP="00DE1C47">
      <w:pPr>
        <w:jc w:val="center"/>
        <w:rPr>
          <w:rFonts w:ascii="Book Antiqua" w:hAnsi="Book Antiqua"/>
          <w:b/>
          <w:bCs/>
        </w:rPr>
      </w:pPr>
    </w:p>
    <w:p w14:paraId="4CE71288" w14:textId="77777777" w:rsidR="008F063E" w:rsidRDefault="008F063E" w:rsidP="00DE1C47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Between</w:t>
      </w:r>
    </w:p>
    <w:p w14:paraId="57BECB3D" w14:textId="77777777" w:rsidR="008F063E" w:rsidRDefault="008F063E" w:rsidP="00DE1C47">
      <w:pPr>
        <w:jc w:val="center"/>
        <w:rPr>
          <w:rFonts w:ascii="Book Antiqua" w:hAnsi="Book Antiqua"/>
          <w:b/>
          <w:bCs/>
        </w:rPr>
      </w:pPr>
    </w:p>
    <w:p w14:paraId="4D87C936" w14:textId="77777777" w:rsidR="003F57A8" w:rsidRDefault="003F57A8" w:rsidP="00DE1C47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CHRISTI</w:t>
      </w:r>
      <w:r w:rsidR="00C50D2B">
        <w:rPr>
          <w:rFonts w:ascii="Book Antiqua" w:hAnsi="Book Antiqua"/>
          <w:b/>
          <w:bCs/>
        </w:rPr>
        <w:t>A</w:t>
      </w:r>
      <w:r>
        <w:rPr>
          <w:rFonts w:ascii="Book Antiqua" w:hAnsi="Book Antiqua"/>
          <w:b/>
          <w:bCs/>
        </w:rPr>
        <w:t>NA QUARTEY</w:t>
      </w:r>
    </w:p>
    <w:p w14:paraId="6D3F0597" w14:textId="77777777" w:rsidR="008F063E" w:rsidRDefault="00CE1DA4" w:rsidP="00DE1C47">
      <w:pPr>
        <w:jc w:val="right"/>
        <w:rPr>
          <w:rFonts w:ascii="Book Antiqua" w:hAnsi="Book Antiqua"/>
          <w:u w:val="single"/>
        </w:rPr>
      </w:pPr>
      <w:bookmarkStart w:id="1" w:name="Text6"/>
      <w:bookmarkEnd w:id="1"/>
      <w:r>
        <w:rPr>
          <w:rFonts w:ascii="Book Antiqua" w:hAnsi="Book Antiqua"/>
          <w:u w:val="single"/>
        </w:rPr>
        <w:t>Appellant</w:t>
      </w:r>
    </w:p>
    <w:p w14:paraId="25C65E0E" w14:textId="77777777" w:rsidR="008F063E" w:rsidRDefault="008F063E" w:rsidP="00DE1C47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and</w:t>
      </w:r>
    </w:p>
    <w:p w14:paraId="4612FDA7" w14:textId="77777777" w:rsidR="008F063E" w:rsidRDefault="008F063E" w:rsidP="00DE1C47">
      <w:pPr>
        <w:jc w:val="center"/>
        <w:rPr>
          <w:rFonts w:ascii="Book Antiqua" w:hAnsi="Book Antiqua"/>
          <w:b/>
          <w:bCs/>
        </w:rPr>
      </w:pPr>
    </w:p>
    <w:p w14:paraId="6199BCD8" w14:textId="77777777" w:rsidR="003F57A8" w:rsidRDefault="003F57A8" w:rsidP="00DE1C47">
      <w:pPr>
        <w:jc w:val="center"/>
        <w:rPr>
          <w:rFonts w:ascii="Book Antiqua" w:hAnsi="Book Antiqua"/>
          <w:b/>
          <w:bCs/>
        </w:rPr>
      </w:pPr>
      <w:bookmarkStart w:id="2" w:name="Text7"/>
      <w:bookmarkEnd w:id="2"/>
      <w:r>
        <w:rPr>
          <w:rFonts w:ascii="Book Antiqua" w:hAnsi="Book Antiqua"/>
          <w:b/>
          <w:bCs/>
        </w:rPr>
        <w:t>THE SECRETARY OF STATE FOR THE HOME DEPARTMENT</w:t>
      </w:r>
    </w:p>
    <w:p w14:paraId="6460C8DF" w14:textId="77777777" w:rsidR="008F063E" w:rsidRDefault="008F063E" w:rsidP="00DE1C47">
      <w:pPr>
        <w:jc w:val="right"/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Respondent</w:t>
      </w:r>
    </w:p>
    <w:p w14:paraId="7006F278" w14:textId="589674D7" w:rsidR="008F063E" w:rsidRDefault="008F063E" w:rsidP="00DE1C47">
      <w:pPr>
        <w:rPr>
          <w:rFonts w:ascii="Book Antiqua" w:hAnsi="Book Antiqua"/>
          <w:u w:val="single"/>
        </w:rPr>
      </w:pPr>
    </w:p>
    <w:p w14:paraId="5590CF2B" w14:textId="77777777" w:rsidR="008F063E" w:rsidRDefault="008F063E" w:rsidP="00DE1C47">
      <w:pPr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>Representation</w:t>
      </w:r>
      <w:r>
        <w:rPr>
          <w:rFonts w:ascii="Book Antiqua" w:hAnsi="Book Antiqua"/>
          <w:b/>
          <w:bCs/>
        </w:rPr>
        <w:t>:</w:t>
      </w:r>
    </w:p>
    <w:p w14:paraId="2F687BEA" w14:textId="77777777" w:rsidR="008F063E" w:rsidRDefault="008F063E" w:rsidP="00DE1C47">
      <w:pPr>
        <w:rPr>
          <w:rFonts w:ascii="Book Antiqua" w:hAnsi="Book Antiqua"/>
        </w:rPr>
      </w:pPr>
      <w:r>
        <w:rPr>
          <w:rFonts w:ascii="Book Antiqua" w:hAnsi="Book Antiqua"/>
        </w:rPr>
        <w:t>For the Appellant:      </w:t>
      </w:r>
      <w:r w:rsidR="00113804">
        <w:rPr>
          <w:rFonts w:ascii="Book Antiqua" w:hAnsi="Book Antiqua"/>
        </w:rPr>
        <w:t xml:space="preserve">  </w:t>
      </w:r>
      <w:r w:rsidR="00A62351">
        <w:rPr>
          <w:rFonts w:ascii="Book Antiqua" w:hAnsi="Book Antiqua"/>
        </w:rPr>
        <w:t>Mr R Khosla</w:t>
      </w:r>
      <w:r w:rsidR="00113804">
        <w:rPr>
          <w:rFonts w:ascii="Book Antiqua" w:hAnsi="Book Antiqua"/>
        </w:rPr>
        <w:t>,</w:t>
      </w:r>
      <w:r w:rsidR="00CE1DA4">
        <w:rPr>
          <w:rFonts w:ascii="Book Antiqua" w:hAnsi="Book Antiqua"/>
        </w:rPr>
        <w:t xml:space="preserve"> instructed by </w:t>
      </w:r>
      <w:r w:rsidR="00A62351">
        <w:rPr>
          <w:rFonts w:ascii="Book Antiqua" w:hAnsi="Book Antiqua"/>
        </w:rPr>
        <w:t>D J Webb</w:t>
      </w:r>
      <w:r w:rsidR="00CE1DA4">
        <w:rPr>
          <w:rFonts w:ascii="Book Antiqua" w:hAnsi="Book Antiqua"/>
        </w:rPr>
        <w:t xml:space="preserve"> Solicitors</w:t>
      </w:r>
      <w:r w:rsidR="002A2AC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    </w:t>
      </w:r>
      <w:bookmarkStart w:id="3" w:name="Text10"/>
      <w:bookmarkEnd w:id="3"/>
      <w:r>
        <w:rPr>
          <w:rFonts w:ascii="Arial" w:hAnsi="Arial" w:cs="Arial"/>
        </w:rPr>
        <w:t>     </w:t>
      </w:r>
    </w:p>
    <w:p w14:paraId="56668AEF" w14:textId="77777777" w:rsidR="008F063E" w:rsidRDefault="008F063E" w:rsidP="00DE1C47">
      <w:pPr>
        <w:rPr>
          <w:rFonts w:ascii="Book Antiqua" w:hAnsi="Book Antiqua"/>
        </w:rPr>
      </w:pPr>
      <w:r>
        <w:rPr>
          <w:rFonts w:ascii="Book Antiqua" w:hAnsi="Book Antiqua"/>
        </w:rPr>
        <w:t>For the Respondent:    </w:t>
      </w:r>
      <w:r w:rsidR="002A2AC5">
        <w:rPr>
          <w:rFonts w:ascii="Book Antiqua" w:hAnsi="Book Antiqua"/>
        </w:rPr>
        <w:t>M</w:t>
      </w:r>
      <w:bookmarkStart w:id="4" w:name="Text11"/>
      <w:bookmarkEnd w:id="4"/>
      <w:r w:rsidR="00A62351">
        <w:rPr>
          <w:rFonts w:ascii="Book Antiqua" w:hAnsi="Book Antiqua"/>
        </w:rPr>
        <w:t xml:space="preserve">s A </w:t>
      </w:r>
      <w:proofErr w:type="spellStart"/>
      <w:r w:rsidR="00A62351">
        <w:rPr>
          <w:rFonts w:ascii="Book Antiqua" w:hAnsi="Book Antiqua"/>
        </w:rPr>
        <w:t>Fijiwala</w:t>
      </w:r>
      <w:proofErr w:type="spellEnd"/>
      <w:r w:rsidR="00CE1DA4">
        <w:rPr>
          <w:rFonts w:ascii="Book Antiqua" w:hAnsi="Book Antiqua"/>
        </w:rPr>
        <w:t xml:space="preserve">, Senior </w:t>
      </w:r>
      <w:r w:rsidR="002A2AC5">
        <w:rPr>
          <w:rFonts w:ascii="Book Antiqua" w:hAnsi="Book Antiqua"/>
        </w:rPr>
        <w:t>Home Office Presenting</w:t>
      </w:r>
      <w:r w:rsidR="00CE1DA4">
        <w:rPr>
          <w:rFonts w:ascii="Book Antiqua" w:hAnsi="Book Antiqua"/>
        </w:rPr>
        <w:t xml:space="preserve"> </w:t>
      </w:r>
      <w:r w:rsidR="002A2AC5">
        <w:rPr>
          <w:rFonts w:ascii="Book Antiqua" w:hAnsi="Book Antiqua"/>
        </w:rPr>
        <w:t>Officer</w:t>
      </w:r>
      <w:r>
        <w:rPr>
          <w:rFonts w:ascii="Arial" w:hAnsi="Arial" w:cs="Arial"/>
        </w:rPr>
        <w:t>     </w:t>
      </w:r>
    </w:p>
    <w:p w14:paraId="36ECE53E" w14:textId="6B9DCDF3" w:rsidR="008F063E" w:rsidRDefault="008F063E" w:rsidP="00DE1C47">
      <w:pPr>
        <w:jc w:val="center"/>
        <w:rPr>
          <w:rFonts w:ascii="Book Antiqua" w:hAnsi="Book Antiqua"/>
        </w:rPr>
      </w:pPr>
    </w:p>
    <w:p w14:paraId="39233D03" w14:textId="77777777" w:rsidR="008F063E" w:rsidRDefault="00CE1DA4" w:rsidP="00DE1C47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 xml:space="preserve">NOTICE OF DECISION </w:t>
      </w:r>
    </w:p>
    <w:p w14:paraId="4A96CD6D" w14:textId="77777777" w:rsidR="00113804" w:rsidRPr="00243E6F" w:rsidRDefault="00113804" w:rsidP="00243E6F">
      <w:pPr>
        <w:numPr>
          <w:ilvl w:val="0"/>
          <w:numId w:val="3"/>
        </w:numPr>
        <w:spacing w:before="240"/>
        <w:jc w:val="both"/>
        <w:rPr>
          <w:rFonts w:ascii="Book Antiqua" w:hAnsi="Book Antiqua"/>
          <w:szCs w:val="22"/>
        </w:rPr>
      </w:pPr>
      <w:r w:rsidRPr="00243E6F">
        <w:rPr>
          <w:rFonts w:ascii="Book Antiqua" w:hAnsi="Book Antiqua" w:cs="Arial"/>
          <w:szCs w:val="22"/>
        </w:rPr>
        <w:t>Both subparagraphs of rule 40(3) apply to this decision.</w:t>
      </w:r>
    </w:p>
    <w:p w14:paraId="1653BC85" w14:textId="77777777" w:rsidR="00113804" w:rsidRPr="00243E6F" w:rsidRDefault="00CE1DA4" w:rsidP="00243E6F">
      <w:pPr>
        <w:numPr>
          <w:ilvl w:val="0"/>
          <w:numId w:val="3"/>
        </w:numPr>
        <w:spacing w:before="240"/>
        <w:jc w:val="both"/>
        <w:rPr>
          <w:rFonts w:ascii="Book Antiqua" w:hAnsi="Book Antiqua"/>
          <w:szCs w:val="22"/>
        </w:rPr>
      </w:pPr>
      <w:r w:rsidRPr="00243E6F">
        <w:rPr>
          <w:rFonts w:ascii="Book Antiqua" w:hAnsi="Book Antiqua" w:cs="Arial"/>
          <w:szCs w:val="22"/>
        </w:rPr>
        <w:t xml:space="preserve">The </w:t>
      </w:r>
      <w:r w:rsidR="00113804" w:rsidRPr="00243E6F">
        <w:rPr>
          <w:rFonts w:ascii="Book Antiqua" w:hAnsi="Book Antiqua" w:cs="Arial"/>
          <w:szCs w:val="22"/>
        </w:rPr>
        <w:t xml:space="preserve">decision of the First-tier Tribunal sent out on </w:t>
      </w:r>
      <w:r w:rsidR="00A62351" w:rsidRPr="00243E6F">
        <w:rPr>
          <w:rFonts w:ascii="Book Antiqua" w:hAnsi="Book Antiqua" w:cs="Arial"/>
          <w:szCs w:val="22"/>
        </w:rPr>
        <w:t>9 April 2018</w:t>
      </w:r>
      <w:r w:rsidR="00113804" w:rsidRPr="00243E6F">
        <w:rPr>
          <w:rFonts w:ascii="Book Antiqua" w:hAnsi="Book Antiqua" w:cs="Arial"/>
          <w:szCs w:val="22"/>
        </w:rPr>
        <w:t xml:space="preserve"> is erroneous in law.  </w:t>
      </w:r>
      <w:r w:rsidR="00A62351" w:rsidRPr="00243E6F">
        <w:rPr>
          <w:rFonts w:ascii="Book Antiqua" w:hAnsi="Book Antiqua" w:cs="Arial"/>
          <w:szCs w:val="22"/>
        </w:rPr>
        <w:t>I</w:t>
      </w:r>
      <w:r w:rsidR="00113804" w:rsidRPr="00243E6F">
        <w:rPr>
          <w:rFonts w:ascii="Book Antiqua" w:hAnsi="Book Antiqua" w:cs="Arial"/>
          <w:szCs w:val="22"/>
        </w:rPr>
        <w:t xml:space="preserve"> set it aside.</w:t>
      </w:r>
    </w:p>
    <w:p w14:paraId="2573FFB4" w14:textId="77777777" w:rsidR="0057712E" w:rsidRPr="00243E6F" w:rsidRDefault="00A62351" w:rsidP="00243E6F">
      <w:pPr>
        <w:numPr>
          <w:ilvl w:val="0"/>
          <w:numId w:val="3"/>
        </w:numPr>
        <w:spacing w:before="240"/>
        <w:jc w:val="both"/>
        <w:rPr>
          <w:rFonts w:ascii="Book Antiqua" w:hAnsi="Book Antiqua"/>
          <w:sz w:val="28"/>
        </w:rPr>
      </w:pPr>
      <w:r w:rsidRPr="00243E6F">
        <w:rPr>
          <w:rFonts w:ascii="Book Antiqua" w:hAnsi="Book Antiqua" w:cs="Arial"/>
          <w:szCs w:val="22"/>
        </w:rPr>
        <w:t>The</w:t>
      </w:r>
      <w:r w:rsidR="00113804" w:rsidRPr="00243E6F">
        <w:rPr>
          <w:rFonts w:ascii="Book Antiqua" w:hAnsi="Book Antiqua" w:cs="Arial"/>
          <w:szCs w:val="22"/>
        </w:rPr>
        <w:t xml:space="preserve"> appeal is remitted to be determined by the First-tier Tribunal </w:t>
      </w:r>
      <w:r w:rsidRPr="00243E6F">
        <w:rPr>
          <w:rFonts w:ascii="Book Antiqua" w:hAnsi="Book Antiqua" w:cs="Arial"/>
          <w:i/>
          <w:szCs w:val="22"/>
        </w:rPr>
        <w:t>de novo</w:t>
      </w:r>
      <w:r w:rsidRPr="00243E6F">
        <w:rPr>
          <w:rFonts w:ascii="Book Antiqua" w:hAnsi="Book Antiqua" w:cs="Arial"/>
          <w:szCs w:val="22"/>
        </w:rPr>
        <w:t xml:space="preserve"> at an oral hearing.</w:t>
      </w:r>
      <w:r w:rsidR="00FD045C" w:rsidRPr="00243E6F">
        <w:rPr>
          <w:rFonts w:ascii="Book Antiqua" w:hAnsi="Book Antiqua" w:cs="Arial"/>
          <w:szCs w:val="22"/>
        </w:rPr>
        <w:t xml:space="preserve"> </w:t>
      </w:r>
    </w:p>
    <w:p w14:paraId="6E255782" w14:textId="623D8223" w:rsidR="0057712E" w:rsidRDefault="0057712E" w:rsidP="008F063E">
      <w:pPr>
        <w:ind w:left="540" w:hanging="540"/>
        <w:jc w:val="both"/>
        <w:rPr>
          <w:rFonts w:ascii="Book Antiqua" w:hAnsi="Book Antiqua"/>
        </w:rPr>
      </w:pPr>
    </w:p>
    <w:p w14:paraId="39C75907" w14:textId="77777777" w:rsidR="00880957" w:rsidRDefault="002B559E" w:rsidP="00880957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</w:p>
    <w:p w14:paraId="2FAF2F9F" w14:textId="19441B3B" w:rsidR="002B559E" w:rsidRDefault="000F1208" w:rsidP="00880957">
      <w:pPr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4BE422C6" wp14:editId="7F84808A">
            <wp:extent cx="1943100" cy="45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59E">
        <w:rPr>
          <w:rFonts w:ascii="Book Antiqua" w:hAnsi="Book Antiqua" w:cs="Arial"/>
        </w:rPr>
        <w:tab/>
      </w:r>
      <w:r w:rsidR="002B559E">
        <w:rPr>
          <w:rFonts w:ascii="Book Antiqua" w:hAnsi="Book Antiqua" w:cs="Arial"/>
        </w:rPr>
        <w:tab/>
      </w:r>
      <w:r w:rsidR="002B559E">
        <w:rPr>
          <w:rFonts w:ascii="Book Antiqua" w:hAnsi="Book Antiqua" w:cs="Arial"/>
        </w:rPr>
        <w:tab/>
      </w:r>
      <w:r w:rsidR="002B559E">
        <w:rPr>
          <w:rFonts w:ascii="Book Antiqua" w:hAnsi="Book Antiqua" w:cs="Arial"/>
        </w:rPr>
        <w:tab/>
      </w:r>
    </w:p>
    <w:p w14:paraId="6EC2A493" w14:textId="77777777" w:rsidR="002B559E" w:rsidRDefault="001F4CF0" w:rsidP="00880957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A Grubb</w:t>
      </w:r>
    </w:p>
    <w:p w14:paraId="3C3095FC" w14:textId="77777777" w:rsidR="001F4CF0" w:rsidRDefault="001F4CF0" w:rsidP="00880957">
      <w:pPr>
        <w:tabs>
          <w:tab w:val="left" w:pos="25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Judge</w:t>
      </w:r>
      <w:r w:rsidR="002B559E">
        <w:rPr>
          <w:rFonts w:ascii="Book Antiqua" w:hAnsi="Book Antiqua" w:cs="Arial"/>
        </w:rPr>
        <w:t xml:space="preserve"> of the </w:t>
      </w:r>
      <w:r w:rsidR="002B559E">
        <w:rPr>
          <w:rFonts w:ascii="Book Antiqua" w:hAnsi="Book Antiqua" w:cs="Arial"/>
          <w:color w:val="000000"/>
        </w:rPr>
        <w:t xml:space="preserve">Upper Tribunal </w:t>
      </w:r>
      <w:r w:rsidR="00880957">
        <w:rPr>
          <w:rFonts w:ascii="Book Antiqua" w:hAnsi="Book Antiqua" w:cs="Arial"/>
          <w:color w:val="000000"/>
        </w:rPr>
        <w:t xml:space="preserve">                                                                    </w:t>
      </w:r>
      <w:r>
        <w:rPr>
          <w:rFonts w:ascii="Book Antiqua" w:hAnsi="Book Antiqua" w:cs="Arial"/>
          <w:color w:val="000000"/>
        </w:rPr>
        <w:t>12, September 2018</w:t>
      </w:r>
    </w:p>
    <w:sectPr w:rsidR="001F4CF0" w:rsidSect="00DE1C47">
      <w:footerReference w:type="first" r:id="rId9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0546E" w14:textId="77777777" w:rsidR="00413DA0" w:rsidRDefault="00413DA0">
      <w:r>
        <w:separator/>
      </w:r>
    </w:p>
  </w:endnote>
  <w:endnote w:type="continuationSeparator" w:id="0">
    <w:p w14:paraId="1B63B65B" w14:textId="77777777" w:rsidR="00413DA0" w:rsidRDefault="0041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9CD59" w14:textId="77777777" w:rsidR="00DE1C47" w:rsidRPr="00DE1C47" w:rsidRDefault="00DE1C47" w:rsidP="00DE1C47">
    <w:pPr>
      <w:pStyle w:val="Footer"/>
      <w:jc w:val="center"/>
      <w:rPr>
        <w:rFonts w:ascii="Book Antiqua" w:hAnsi="Book Antiqua"/>
        <w:b/>
      </w:rPr>
    </w:pPr>
    <w:r w:rsidRPr="00DE1C47">
      <w:rPr>
        <w:rFonts w:ascii="Book Antiqua" w:hAnsi="Book Antiqua"/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E47F" w14:textId="77777777" w:rsidR="00413DA0" w:rsidRDefault="00413DA0">
      <w:r>
        <w:separator/>
      </w:r>
    </w:p>
  </w:footnote>
  <w:footnote w:type="continuationSeparator" w:id="0">
    <w:p w14:paraId="439663BB" w14:textId="77777777" w:rsidR="00413DA0" w:rsidRDefault="0041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F9A"/>
    <w:multiLevelType w:val="hybridMultilevel"/>
    <w:tmpl w:val="B5D68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24220"/>
    <w:multiLevelType w:val="hybridMultilevel"/>
    <w:tmpl w:val="E00CCF92"/>
    <w:lvl w:ilvl="0" w:tplc="08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A5F9E"/>
    <w:multiLevelType w:val="hybridMultilevel"/>
    <w:tmpl w:val="E65C0E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B2CA9"/>
    <w:multiLevelType w:val="hybridMultilevel"/>
    <w:tmpl w:val="3AEA85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1A859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462C85"/>
    <w:multiLevelType w:val="multilevel"/>
    <w:tmpl w:val="5D9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36C14"/>
    <w:multiLevelType w:val="multilevel"/>
    <w:tmpl w:val="EF1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27F7B"/>
    <w:multiLevelType w:val="hybridMultilevel"/>
    <w:tmpl w:val="1CF443BE"/>
    <w:lvl w:ilvl="0" w:tplc="07ACC5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Book Antiqua" w:hAnsi="Book Antiqu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6C1F9E"/>
    <w:multiLevelType w:val="hybridMultilevel"/>
    <w:tmpl w:val="B5C242C4"/>
    <w:lvl w:ilvl="0" w:tplc="40E4FB28">
      <w:start w:val="3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5C200FAB"/>
    <w:multiLevelType w:val="multilevel"/>
    <w:tmpl w:val="3AE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  <w:lvlOverride w:ilvl="0">
      <w:startOverride w:val="23"/>
    </w:lvlOverride>
  </w:num>
  <w:num w:numId="5">
    <w:abstractNumId w:val="5"/>
    <w:lvlOverride w:ilvl="0">
      <w:startOverride w:val="28"/>
    </w:lvlOverride>
  </w:num>
  <w:num w:numId="6">
    <w:abstractNumId w:val="5"/>
    <w:lvlOverride w:ilvl="0">
      <w:startOverride w:val="29"/>
    </w:lvlOverride>
  </w:num>
  <w:num w:numId="7">
    <w:abstractNumId w:val="5"/>
    <w:lvlOverride w:ilvl="0">
      <w:startOverride w:val="30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92"/>
    <w:rsid w:val="00010847"/>
    <w:rsid w:val="00014CD4"/>
    <w:rsid w:val="00037F66"/>
    <w:rsid w:val="000B4E1D"/>
    <w:rsid w:val="000F1208"/>
    <w:rsid w:val="00113804"/>
    <w:rsid w:val="001362E5"/>
    <w:rsid w:val="00152CA4"/>
    <w:rsid w:val="001F4CF0"/>
    <w:rsid w:val="002261D8"/>
    <w:rsid w:val="002436EE"/>
    <w:rsid w:val="00243E6F"/>
    <w:rsid w:val="0029391C"/>
    <w:rsid w:val="002A2AC5"/>
    <w:rsid w:val="002B22F6"/>
    <w:rsid w:val="002B559E"/>
    <w:rsid w:val="002F1F34"/>
    <w:rsid w:val="00310105"/>
    <w:rsid w:val="003F57A8"/>
    <w:rsid w:val="00413DA0"/>
    <w:rsid w:val="004A3B2C"/>
    <w:rsid w:val="0057712E"/>
    <w:rsid w:val="005868C2"/>
    <w:rsid w:val="006E2E02"/>
    <w:rsid w:val="006F4620"/>
    <w:rsid w:val="0075081C"/>
    <w:rsid w:val="007837D1"/>
    <w:rsid w:val="007936E0"/>
    <w:rsid w:val="007B1D7D"/>
    <w:rsid w:val="007B2867"/>
    <w:rsid w:val="00823EF7"/>
    <w:rsid w:val="00880957"/>
    <w:rsid w:val="008F063E"/>
    <w:rsid w:val="008F7D29"/>
    <w:rsid w:val="00940C46"/>
    <w:rsid w:val="00A04E69"/>
    <w:rsid w:val="00A62351"/>
    <w:rsid w:val="00AB2392"/>
    <w:rsid w:val="00AF02E6"/>
    <w:rsid w:val="00B24F4F"/>
    <w:rsid w:val="00B423C3"/>
    <w:rsid w:val="00B86473"/>
    <w:rsid w:val="00BA3661"/>
    <w:rsid w:val="00BD1203"/>
    <w:rsid w:val="00C50D2B"/>
    <w:rsid w:val="00C64A7B"/>
    <w:rsid w:val="00CB0DDA"/>
    <w:rsid w:val="00CE1DA4"/>
    <w:rsid w:val="00D05148"/>
    <w:rsid w:val="00D45A50"/>
    <w:rsid w:val="00D74AEA"/>
    <w:rsid w:val="00D755B0"/>
    <w:rsid w:val="00DE1C47"/>
    <w:rsid w:val="00E05954"/>
    <w:rsid w:val="00F014B2"/>
    <w:rsid w:val="00F17BC4"/>
    <w:rsid w:val="00F32458"/>
    <w:rsid w:val="00F86480"/>
    <w:rsid w:val="00FB33AC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E50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7D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F7D2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B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E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802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2018-09-28T13:53:00Z</dcterms:created>
  <dcterms:modified xsi:type="dcterms:W3CDTF">2018-09-28T13:53:00Z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