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827" w:rsidRPr="005F7B5F" w:rsidRDefault="00255827" w:rsidP="00255827">
      <w:pPr>
        <w:jc w:val="center"/>
        <w:rPr>
          <w:rFonts w:ascii="Book Antiqua" w:hAnsi="Book Antiqua" w:cs="Arial"/>
          <w:sz w:val="16"/>
          <w:szCs w:val="16"/>
        </w:rPr>
      </w:pPr>
      <w:r w:rsidRPr="005F7B5F">
        <w:rPr>
          <w:noProof/>
          <w:sz w:val="16"/>
          <w:szCs w:val="16"/>
        </w:rPr>
        <w:drawing>
          <wp:inline distT="0" distB="0" distL="0" distR="0" wp14:anchorId="66D213B5" wp14:editId="244AE730">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rsidR="00255827" w:rsidRPr="005F7B5F" w:rsidRDefault="00255827" w:rsidP="00255827">
      <w:pPr>
        <w:rPr>
          <w:rFonts w:ascii="Book Antiqua" w:hAnsi="Book Antiqua" w:cs="Arial"/>
          <w:sz w:val="16"/>
          <w:szCs w:val="16"/>
        </w:rPr>
      </w:pPr>
    </w:p>
    <w:p w:rsidR="00255827" w:rsidRPr="005F7B5F" w:rsidRDefault="00255827" w:rsidP="00255827">
      <w:pPr>
        <w:tabs>
          <w:tab w:val="right" w:pos="9639"/>
        </w:tabs>
        <w:outlineLvl w:val="0"/>
        <w:rPr>
          <w:rFonts w:ascii="Book Antiqua" w:hAnsi="Book Antiqua" w:cs="Arial"/>
          <w:b/>
        </w:rPr>
      </w:pPr>
      <w:r w:rsidRPr="005F7B5F">
        <w:rPr>
          <w:rFonts w:ascii="Book Antiqua" w:hAnsi="Book Antiqua" w:cs="Arial"/>
          <w:b/>
        </w:rPr>
        <w:t xml:space="preserve">Upper Tribunal </w:t>
      </w:r>
    </w:p>
    <w:p w:rsidR="00255827" w:rsidRPr="005F7B5F" w:rsidRDefault="00255827" w:rsidP="00255827">
      <w:pPr>
        <w:tabs>
          <w:tab w:val="right" w:pos="9639"/>
        </w:tabs>
        <w:rPr>
          <w:rFonts w:ascii="Book Antiqua" w:hAnsi="Book Antiqua" w:cs="Arial"/>
        </w:rPr>
      </w:pPr>
      <w:r w:rsidRPr="005F7B5F">
        <w:rPr>
          <w:rFonts w:ascii="Book Antiqua" w:hAnsi="Book Antiqua" w:cs="Arial"/>
          <w:b/>
        </w:rPr>
        <w:t>(Immigration and Asylum Chamber)</w:t>
      </w:r>
      <w:r w:rsidRPr="005F7B5F">
        <w:rPr>
          <w:rFonts w:ascii="Book Antiqua" w:hAnsi="Book Antiqua" w:cs="Arial"/>
          <w:b/>
        </w:rPr>
        <w:tab/>
      </w:r>
      <w:r w:rsidRPr="005F7B5F">
        <w:rPr>
          <w:rFonts w:ascii="Book Antiqua" w:hAnsi="Book Antiqua" w:cs="Arial"/>
        </w:rPr>
        <w:t xml:space="preserve">Appeal Number: </w:t>
      </w:r>
      <w:bookmarkStart w:id="0" w:name="_Hlk519090313"/>
      <w:bookmarkStart w:id="1" w:name="_GoBack"/>
      <w:r w:rsidRPr="005F7B5F">
        <w:rPr>
          <w:rFonts w:ascii="Book Antiqua" w:hAnsi="Book Antiqua" w:cs="Arial"/>
        </w:rPr>
        <w:t>E</w:t>
      </w:r>
      <w:r w:rsidRPr="005F7B5F">
        <w:rPr>
          <w:rFonts w:ascii="Book Antiqua" w:hAnsi="Book Antiqua" w:cs="Arial"/>
          <w:caps/>
        </w:rPr>
        <w:t>A/00424/2016</w:t>
      </w:r>
      <w:bookmarkEnd w:id="0"/>
      <w:bookmarkEnd w:id="1"/>
    </w:p>
    <w:p w:rsidR="00255827" w:rsidRPr="005F7B5F" w:rsidRDefault="00255827" w:rsidP="00255827">
      <w:pPr>
        <w:jc w:val="center"/>
        <w:rPr>
          <w:rFonts w:ascii="Book Antiqua" w:hAnsi="Book Antiqua" w:cs="Arial"/>
        </w:rPr>
      </w:pPr>
    </w:p>
    <w:p w:rsidR="00255827" w:rsidRPr="005F7B5F" w:rsidRDefault="00255827" w:rsidP="00255827">
      <w:pPr>
        <w:jc w:val="center"/>
        <w:rPr>
          <w:rFonts w:ascii="Book Antiqua" w:hAnsi="Book Antiqua" w:cs="Arial"/>
        </w:rPr>
      </w:pPr>
    </w:p>
    <w:p w:rsidR="00255827" w:rsidRPr="005F7B5F" w:rsidRDefault="00255827" w:rsidP="00255827">
      <w:pPr>
        <w:jc w:val="center"/>
        <w:outlineLvl w:val="0"/>
        <w:rPr>
          <w:rFonts w:ascii="Book Antiqua" w:hAnsi="Book Antiqua" w:cs="Arial"/>
          <w:b/>
          <w:u w:val="single"/>
        </w:rPr>
      </w:pPr>
      <w:r w:rsidRPr="005F7B5F">
        <w:rPr>
          <w:rFonts w:ascii="Book Antiqua" w:hAnsi="Book Antiqua" w:cs="Arial"/>
          <w:b/>
          <w:u w:val="single"/>
        </w:rPr>
        <w:t>THE IMMIGRATION ACTS</w:t>
      </w:r>
    </w:p>
    <w:p w:rsidR="00255827" w:rsidRPr="005F7B5F" w:rsidRDefault="00255827" w:rsidP="00255827">
      <w:pPr>
        <w:jc w:val="center"/>
        <w:rPr>
          <w:rFonts w:ascii="Book Antiqua" w:hAnsi="Book Antiqua" w:cs="Arial"/>
          <w:b/>
          <w:u w:val="single"/>
        </w:rPr>
      </w:pPr>
    </w:p>
    <w:p w:rsidR="00255827" w:rsidRPr="005F7B5F" w:rsidRDefault="00255827" w:rsidP="00255827">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5F7B5F" w:rsidRPr="005F7B5F" w:rsidTr="0019558E">
        <w:tc>
          <w:tcPr>
            <w:tcW w:w="6048" w:type="dxa"/>
          </w:tcPr>
          <w:p w:rsidR="00255827" w:rsidRPr="005F7B5F" w:rsidRDefault="00255827" w:rsidP="0019558E">
            <w:pPr>
              <w:jc w:val="both"/>
              <w:rPr>
                <w:rFonts w:ascii="Book Antiqua" w:hAnsi="Book Antiqua" w:cs="Arial"/>
                <w:b/>
              </w:rPr>
            </w:pPr>
            <w:r w:rsidRPr="005F7B5F">
              <w:rPr>
                <w:rFonts w:ascii="Book Antiqua" w:hAnsi="Book Antiqua" w:cs="Arial"/>
                <w:b/>
              </w:rPr>
              <w:t>Heard at Field House</w:t>
            </w:r>
          </w:p>
        </w:tc>
        <w:tc>
          <w:tcPr>
            <w:tcW w:w="3960" w:type="dxa"/>
          </w:tcPr>
          <w:p w:rsidR="00255827" w:rsidRPr="005F7B5F" w:rsidRDefault="00255827" w:rsidP="0019558E">
            <w:pPr>
              <w:jc w:val="both"/>
              <w:rPr>
                <w:rFonts w:ascii="Book Antiqua" w:hAnsi="Book Antiqua" w:cs="Arial"/>
                <w:b/>
              </w:rPr>
            </w:pPr>
            <w:r w:rsidRPr="005F7B5F">
              <w:rPr>
                <w:rFonts w:ascii="Book Antiqua" w:hAnsi="Book Antiqua" w:cs="Arial"/>
                <w:b/>
              </w:rPr>
              <w:t>Decision &amp; Reasons Promulgated</w:t>
            </w:r>
          </w:p>
        </w:tc>
      </w:tr>
      <w:tr w:rsidR="005F7B5F" w:rsidRPr="005F7B5F" w:rsidTr="0019558E">
        <w:tc>
          <w:tcPr>
            <w:tcW w:w="6048" w:type="dxa"/>
          </w:tcPr>
          <w:p w:rsidR="00255827" w:rsidRPr="005F7B5F" w:rsidRDefault="00255827" w:rsidP="0019558E">
            <w:pPr>
              <w:jc w:val="both"/>
              <w:rPr>
                <w:rFonts w:ascii="Book Antiqua" w:hAnsi="Book Antiqua" w:cs="Arial"/>
                <w:b/>
              </w:rPr>
            </w:pPr>
            <w:r w:rsidRPr="005F7B5F">
              <w:rPr>
                <w:rFonts w:ascii="Book Antiqua" w:hAnsi="Book Antiqua" w:cs="Arial"/>
                <w:b/>
              </w:rPr>
              <w:t>On 2 July 2018</w:t>
            </w:r>
          </w:p>
        </w:tc>
        <w:tc>
          <w:tcPr>
            <w:tcW w:w="3960" w:type="dxa"/>
          </w:tcPr>
          <w:p w:rsidR="00255827" w:rsidRPr="005F7B5F" w:rsidRDefault="00CD5D51" w:rsidP="0019558E">
            <w:pPr>
              <w:jc w:val="both"/>
              <w:rPr>
                <w:rFonts w:ascii="Book Antiqua" w:hAnsi="Book Antiqua" w:cs="Arial"/>
                <w:b/>
              </w:rPr>
            </w:pPr>
            <w:r w:rsidRPr="005F7B5F">
              <w:rPr>
                <w:rFonts w:ascii="Book Antiqua" w:hAnsi="Book Antiqua" w:cs="Arial"/>
                <w:b/>
              </w:rPr>
              <w:t>On 13 July 2018</w:t>
            </w:r>
          </w:p>
        </w:tc>
      </w:tr>
      <w:tr w:rsidR="00255827" w:rsidRPr="005F7B5F" w:rsidTr="0019558E">
        <w:tc>
          <w:tcPr>
            <w:tcW w:w="6048" w:type="dxa"/>
          </w:tcPr>
          <w:p w:rsidR="00255827" w:rsidRPr="005F7B5F" w:rsidRDefault="00255827" w:rsidP="0019558E">
            <w:pPr>
              <w:jc w:val="both"/>
              <w:rPr>
                <w:rFonts w:ascii="Book Antiqua" w:hAnsi="Book Antiqua" w:cs="Arial"/>
                <w:b/>
              </w:rPr>
            </w:pPr>
          </w:p>
        </w:tc>
        <w:tc>
          <w:tcPr>
            <w:tcW w:w="3960" w:type="dxa"/>
          </w:tcPr>
          <w:p w:rsidR="00255827" w:rsidRPr="005F7B5F" w:rsidRDefault="00255827" w:rsidP="0019558E">
            <w:pPr>
              <w:jc w:val="both"/>
              <w:rPr>
                <w:rFonts w:ascii="Book Antiqua" w:hAnsi="Book Antiqua" w:cs="Arial"/>
                <w:b/>
              </w:rPr>
            </w:pPr>
          </w:p>
        </w:tc>
      </w:tr>
    </w:tbl>
    <w:p w:rsidR="00255827" w:rsidRPr="005F7B5F" w:rsidRDefault="00255827" w:rsidP="00255827">
      <w:pPr>
        <w:jc w:val="center"/>
        <w:rPr>
          <w:rFonts w:ascii="Book Antiqua" w:hAnsi="Book Antiqua" w:cs="Arial"/>
        </w:rPr>
      </w:pPr>
    </w:p>
    <w:p w:rsidR="00255827" w:rsidRPr="005F7B5F" w:rsidRDefault="00255827" w:rsidP="00255827">
      <w:pPr>
        <w:jc w:val="center"/>
        <w:outlineLvl w:val="0"/>
        <w:rPr>
          <w:rFonts w:ascii="Book Antiqua" w:hAnsi="Book Antiqua" w:cs="Arial"/>
          <w:b/>
        </w:rPr>
      </w:pPr>
      <w:r w:rsidRPr="005F7B5F">
        <w:rPr>
          <w:rFonts w:ascii="Book Antiqua" w:hAnsi="Book Antiqua" w:cs="Arial"/>
          <w:b/>
        </w:rPr>
        <w:t>Before</w:t>
      </w:r>
    </w:p>
    <w:p w:rsidR="00255827" w:rsidRPr="005F7B5F" w:rsidRDefault="00255827" w:rsidP="00255827">
      <w:pPr>
        <w:jc w:val="center"/>
        <w:rPr>
          <w:rFonts w:ascii="Book Antiqua" w:hAnsi="Book Antiqua" w:cs="Arial"/>
          <w:b/>
        </w:rPr>
      </w:pPr>
    </w:p>
    <w:p w:rsidR="00255827" w:rsidRPr="005F7B5F" w:rsidRDefault="00D920BA" w:rsidP="00255827">
      <w:pPr>
        <w:jc w:val="center"/>
        <w:outlineLvl w:val="0"/>
        <w:rPr>
          <w:rFonts w:ascii="Book Antiqua" w:hAnsi="Book Antiqua" w:cs="Arial"/>
          <w:b/>
        </w:rPr>
      </w:pPr>
      <w:r w:rsidRPr="005F7B5F">
        <w:rPr>
          <w:rFonts w:ascii="Book Antiqua" w:hAnsi="Book Antiqua" w:cs="Arial"/>
          <w:b/>
        </w:rPr>
        <w:t xml:space="preserve">DEPUTY </w:t>
      </w:r>
      <w:r w:rsidR="00255827" w:rsidRPr="005F7B5F">
        <w:rPr>
          <w:rFonts w:ascii="Book Antiqua" w:hAnsi="Book Antiqua" w:cs="Arial"/>
          <w:b/>
        </w:rPr>
        <w:t>UPPER TRIBUNAL JUDGE JORDAN</w:t>
      </w:r>
    </w:p>
    <w:p w:rsidR="00255827" w:rsidRDefault="00255827" w:rsidP="00255827">
      <w:pPr>
        <w:jc w:val="center"/>
        <w:rPr>
          <w:rFonts w:ascii="Book Antiqua" w:hAnsi="Book Antiqua" w:cs="Arial"/>
          <w:b/>
        </w:rPr>
      </w:pPr>
    </w:p>
    <w:p w:rsidR="005F7B5F" w:rsidRPr="005F7B5F" w:rsidRDefault="005F7B5F" w:rsidP="00255827">
      <w:pPr>
        <w:jc w:val="center"/>
        <w:rPr>
          <w:rFonts w:ascii="Book Antiqua" w:hAnsi="Book Antiqua" w:cs="Arial"/>
          <w:b/>
        </w:rPr>
      </w:pPr>
    </w:p>
    <w:p w:rsidR="00255827" w:rsidRPr="005F7B5F" w:rsidRDefault="00255827" w:rsidP="00255827">
      <w:pPr>
        <w:jc w:val="center"/>
        <w:outlineLvl w:val="0"/>
        <w:rPr>
          <w:rFonts w:ascii="Book Antiqua" w:hAnsi="Book Antiqua" w:cs="Arial"/>
          <w:b/>
        </w:rPr>
      </w:pPr>
      <w:r w:rsidRPr="005F7B5F">
        <w:rPr>
          <w:rFonts w:ascii="Book Antiqua" w:hAnsi="Book Antiqua" w:cs="Arial"/>
          <w:b/>
        </w:rPr>
        <w:t>Between</w:t>
      </w:r>
    </w:p>
    <w:p w:rsidR="00255827" w:rsidRPr="005F7B5F" w:rsidRDefault="00255827" w:rsidP="00255827">
      <w:pPr>
        <w:jc w:val="center"/>
        <w:rPr>
          <w:rFonts w:ascii="Book Antiqua" w:hAnsi="Book Antiqua" w:cs="Arial"/>
          <w:b/>
        </w:rPr>
      </w:pPr>
    </w:p>
    <w:p w:rsidR="00255827" w:rsidRPr="005F7B5F" w:rsidRDefault="00255827" w:rsidP="00255827">
      <w:pPr>
        <w:jc w:val="center"/>
        <w:outlineLvl w:val="0"/>
        <w:rPr>
          <w:rFonts w:ascii="Book Antiqua" w:hAnsi="Book Antiqua" w:cs="Arial"/>
          <w:b/>
          <w:caps/>
        </w:rPr>
      </w:pPr>
      <w:r w:rsidRPr="005F7B5F">
        <w:rPr>
          <w:rFonts w:ascii="Book Antiqua" w:hAnsi="Book Antiqua" w:cs="Arial"/>
          <w:b/>
          <w:caps/>
        </w:rPr>
        <w:t>Muhammad khalid</w:t>
      </w:r>
    </w:p>
    <w:p w:rsidR="00255827" w:rsidRPr="005F7B5F" w:rsidRDefault="00255827" w:rsidP="00255827">
      <w:pPr>
        <w:jc w:val="right"/>
        <w:outlineLvl w:val="0"/>
        <w:rPr>
          <w:rFonts w:ascii="Book Antiqua" w:hAnsi="Book Antiqua" w:cs="Arial"/>
          <w:u w:val="single"/>
        </w:rPr>
      </w:pPr>
      <w:r w:rsidRPr="005F7B5F">
        <w:rPr>
          <w:rFonts w:ascii="Book Antiqua" w:hAnsi="Book Antiqua" w:cs="Arial"/>
          <w:u w:val="single"/>
        </w:rPr>
        <w:t>Appellant</w:t>
      </w:r>
    </w:p>
    <w:p w:rsidR="00255827" w:rsidRPr="005F7B5F" w:rsidRDefault="00255827" w:rsidP="00255827">
      <w:pPr>
        <w:jc w:val="center"/>
        <w:rPr>
          <w:rFonts w:ascii="Book Antiqua" w:hAnsi="Book Antiqua" w:cs="Arial"/>
          <w:b/>
        </w:rPr>
      </w:pPr>
      <w:r w:rsidRPr="005F7B5F">
        <w:rPr>
          <w:rFonts w:ascii="Book Antiqua" w:hAnsi="Book Antiqua" w:cs="Arial"/>
          <w:b/>
        </w:rPr>
        <w:t>and</w:t>
      </w:r>
    </w:p>
    <w:p w:rsidR="00255827" w:rsidRPr="005F7B5F" w:rsidRDefault="00255827" w:rsidP="00255827">
      <w:pPr>
        <w:jc w:val="center"/>
        <w:rPr>
          <w:rFonts w:ascii="Book Antiqua" w:hAnsi="Book Antiqua" w:cs="Arial"/>
          <w:b/>
        </w:rPr>
      </w:pPr>
    </w:p>
    <w:p w:rsidR="00255827" w:rsidRPr="005F7B5F" w:rsidRDefault="00255827" w:rsidP="00255827">
      <w:pPr>
        <w:jc w:val="center"/>
        <w:outlineLvl w:val="0"/>
        <w:rPr>
          <w:rFonts w:ascii="Book Antiqua" w:hAnsi="Book Antiqua" w:cs="Arial"/>
          <w:b/>
          <w:caps/>
        </w:rPr>
      </w:pPr>
      <w:r w:rsidRPr="005F7B5F">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5F7B5F">
        <w:rPr>
          <w:rFonts w:ascii="Book Antiqua" w:hAnsi="Book Antiqua" w:cs="Arial"/>
          <w:b/>
          <w:caps/>
        </w:rPr>
        <w:instrText xml:space="preserve"> FORMTEXT </w:instrText>
      </w:r>
      <w:r w:rsidRPr="005F7B5F">
        <w:rPr>
          <w:rFonts w:ascii="Book Antiqua" w:hAnsi="Book Antiqua" w:cs="Arial"/>
          <w:b/>
          <w:caps/>
        </w:rPr>
      </w:r>
      <w:r w:rsidRPr="005F7B5F">
        <w:rPr>
          <w:rFonts w:ascii="Book Antiqua" w:hAnsi="Book Antiqua" w:cs="Arial"/>
          <w:b/>
          <w:caps/>
        </w:rPr>
        <w:fldChar w:fldCharType="separate"/>
      </w:r>
      <w:r w:rsidRPr="005F7B5F">
        <w:rPr>
          <w:rFonts w:ascii="Book Antiqua" w:hAnsi="Book Antiqua" w:cs="Arial"/>
          <w:b/>
          <w:caps/>
          <w:noProof/>
        </w:rPr>
        <w:t>THE SECRETARY OF STATE FOR THE HOME DEPARTMENT</w:t>
      </w:r>
      <w:r w:rsidRPr="005F7B5F">
        <w:rPr>
          <w:rFonts w:ascii="Book Antiqua" w:hAnsi="Book Antiqua" w:cs="Arial"/>
          <w:b/>
          <w:caps/>
        </w:rPr>
        <w:fldChar w:fldCharType="end"/>
      </w:r>
      <w:bookmarkEnd w:id="2"/>
    </w:p>
    <w:p w:rsidR="00255827" w:rsidRPr="005F7B5F" w:rsidRDefault="00255827" w:rsidP="00255827">
      <w:pPr>
        <w:jc w:val="right"/>
        <w:outlineLvl w:val="0"/>
        <w:rPr>
          <w:rFonts w:ascii="Book Antiqua" w:hAnsi="Book Antiqua" w:cs="Arial"/>
          <w:u w:val="single"/>
        </w:rPr>
      </w:pPr>
      <w:r w:rsidRPr="005F7B5F">
        <w:rPr>
          <w:rFonts w:ascii="Book Antiqua" w:hAnsi="Book Antiqua" w:cs="Arial"/>
          <w:u w:val="single"/>
        </w:rPr>
        <w:t>Respondent</w:t>
      </w:r>
    </w:p>
    <w:p w:rsidR="00255827" w:rsidRPr="005F7B5F" w:rsidRDefault="00255827" w:rsidP="00255827">
      <w:pPr>
        <w:rPr>
          <w:rFonts w:ascii="Book Antiqua" w:hAnsi="Book Antiqua" w:cs="Arial"/>
          <w:u w:val="single"/>
        </w:rPr>
      </w:pPr>
    </w:p>
    <w:p w:rsidR="00255827" w:rsidRPr="005F7B5F" w:rsidRDefault="00255827" w:rsidP="00255827">
      <w:pPr>
        <w:rPr>
          <w:rFonts w:ascii="Book Antiqua" w:hAnsi="Book Antiqua" w:cs="Arial"/>
          <w:u w:val="single"/>
        </w:rPr>
      </w:pPr>
    </w:p>
    <w:p w:rsidR="00255827" w:rsidRPr="005F7B5F" w:rsidRDefault="00255827" w:rsidP="00255827">
      <w:pPr>
        <w:outlineLvl w:val="0"/>
        <w:rPr>
          <w:rFonts w:ascii="Book Antiqua" w:hAnsi="Book Antiqua" w:cs="Arial"/>
        </w:rPr>
      </w:pPr>
      <w:r w:rsidRPr="005F7B5F">
        <w:rPr>
          <w:rFonts w:ascii="Book Antiqua" w:hAnsi="Book Antiqua" w:cs="Arial"/>
          <w:b/>
          <w:u w:val="single"/>
        </w:rPr>
        <w:t>Representation</w:t>
      </w:r>
      <w:r w:rsidRPr="005F7B5F">
        <w:rPr>
          <w:rFonts w:ascii="Book Antiqua" w:hAnsi="Book Antiqua" w:cs="Arial"/>
          <w:b/>
        </w:rPr>
        <w:t>:</w:t>
      </w:r>
    </w:p>
    <w:p w:rsidR="00255827" w:rsidRPr="005F7B5F" w:rsidRDefault="00255827" w:rsidP="00255827">
      <w:pPr>
        <w:tabs>
          <w:tab w:val="left" w:pos="2520"/>
        </w:tabs>
        <w:ind w:left="2520" w:hanging="2520"/>
        <w:outlineLvl w:val="0"/>
        <w:rPr>
          <w:rFonts w:ascii="Book Antiqua" w:hAnsi="Book Antiqua" w:cs="Arial"/>
        </w:rPr>
      </w:pPr>
      <w:r w:rsidRPr="005F7B5F">
        <w:rPr>
          <w:rFonts w:ascii="Book Antiqua" w:hAnsi="Book Antiqua" w:cs="Arial"/>
        </w:rPr>
        <w:t>For the Appellant:</w:t>
      </w:r>
      <w:r w:rsidRPr="005F7B5F">
        <w:rPr>
          <w:rFonts w:ascii="Book Antiqua" w:hAnsi="Book Antiqua" w:cs="Arial"/>
        </w:rPr>
        <w:tab/>
        <w:t xml:space="preserve">Mr R. </w:t>
      </w:r>
      <w:proofErr w:type="spellStart"/>
      <w:r w:rsidRPr="005F7B5F">
        <w:rPr>
          <w:rFonts w:ascii="Book Antiqua" w:hAnsi="Book Antiqua" w:cs="Arial"/>
        </w:rPr>
        <w:t>Jesuram</w:t>
      </w:r>
      <w:proofErr w:type="spellEnd"/>
      <w:r w:rsidRPr="005F7B5F">
        <w:rPr>
          <w:rFonts w:ascii="Book Antiqua" w:hAnsi="Book Antiqua" w:cs="Arial"/>
        </w:rPr>
        <w:t xml:space="preserve"> of Counsel instructed by DJ Webb &amp; Co., Solicitors</w:t>
      </w:r>
    </w:p>
    <w:p w:rsidR="00255827" w:rsidRPr="005F7B5F" w:rsidRDefault="00255827" w:rsidP="00255827">
      <w:pPr>
        <w:tabs>
          <w:tab w:val="left" w:pos="2520"/>
        </w:tabs>
        <w:outlineLvl w:val="0"/>
        <w:rPr>
          <w:rFonts w:ascii="Book Antiqua" w:hAnsi="Book Antiqua" w:cs="Arial"/>
        </w:rPr>
      </w:pPr>
      <w:r w:rsidRPr="005F7B5F">
        <w:rPr>
          <w:rFonts w:ascii="Book Antiqua" w:hAnsi="Book Antiqua" w:cs="Arial"/>
        </w:rPr>
        <w:t>For the Respondent:</w:t>
      </w:r>
      <w:r w:rsidRPr="005F7B5F">
        <w:rPr>
          <w:rFonts w:ascii="Book Antiqua" w:hAnsi="Book Antiqua" w:cs="Arial"/>
        </w:rPr>
        <w:tab/>
        <w:t>Ms J. Isherwood, Home Office Presenting Officer</w:t>
      </w:r>
    </w:p>
    <w:p w:rsidR="003643F7" w:rsidRPr="005F7B5F" w:rsidRDefault="003643F7"/>
    <w:p w:rsidR="005F7B5F" w:rsidRDefault="005F7B5F" w:rsidP="00255827">
      <w:pPr>
        <w:jc w:val="center"/>
        <w:rPr>
          <w:rFonts w:ascii="Book Antiqua" w:hAnsi="Book Antiqua"/>
          <w:b/>
        </w:rPr>
      </w:pPr>
    </w:p>
    <w:p w:rsidR="00255827" w:rsidRPr="005F7B5F" w:rsidRDefault="00255827" w:rsidP="00255827">
      <w:pPr>
        <w:jc w:val="center"/>
        <w:rPr>
          <w:rFonts w:ascii="Book Antiqua" w:hAnsi="Book Antiqua"/>
          <w:b/>
        </w:rPr>
      </w:pPr>
      <w:r w:rsidRPr="005F7B5F">
        <w:rPr>
          <w:rFonts w:ascii="Book Antiqua" w:hAnsi="Book Antiqua"/>
          <w:b/>
        </w:rPr>
        <w:t>DECISION AND REASONS</w:t>
      </w:r>
    </w:p>
    <w:p w:rsidR="00042F0D" w:rsidRPr="005F7B5F" w:rsidRDefault="00042F0D" w:rsidP="00255827">
      <w:pPr>
        <w:jc w:val="center"/>
        <w:rPr>
          <w:rFonts w:ascii="Book Antiqua" w:hAnsi="Book Antiqua"/>
        </w:rPr>
      </w:pPr>
    </w:p>
    <w:p w:rsidR="00255827" w:rsidRPr="005F7B5F" w:rsidRDefault="00042F0D" w:rsidP="0083380E">
      <w:pPr>
        <w:pStyle w:val="ListParagraph"/>
        <w:numPr>
          <w:ilvl w:val="0"/>
          <w:numId w:val="1"/>
        </w:numPr>
        <w:jc w:val="both"/>
        <w:rPr>
          <w:rFonts w:ascii="Book Antiqua" w:hAnsi="Book Antiqua"/>
        </w:rPr>
      </w:pPr>
      <w:r w:rsidRPr="005F7B5F">
        <w:rPr>
          <w:rFonts w:ascii="Book Antiqua" w:hAnsi="Book Antiqua"/>
        </w:rPr>
        <w:t>T</w:t>
      </w:r>
      <w:r w:rsidR="00255827" w:rsidRPr="005F7B5F">
        <w:rPr>
          <w:rFonts w:ascii="Book Antiqua" w:hAnsi="Book Antiqua"/>
        </w:rPr>
        <w:t>he appellant is a citizen of Pakistani</w:t>
      </w:r>
      <w:r w:rsidR="00BB6D24" w:rsidRPr="005F7B5F">
        <w:rPr>
          <w:rFonts w:ascii="Book Antiqua" w:hAnsi="Book Antiqua"/>
        </w:rPr>
        <w:t xml:space="preserve"> who was born on 21 April 1980. He appeals against the determi</w:t>
      </w:r>
      <w:r w:rsidRPr="005F7B5F">
        <w:rPr>
          <w:rFonts w:ascii="Book Antiqua" w:hAnsi="Book Antiqua"/>
        </w:rPr>
        <w:t>nation of F</w:t>
      </w:r>
      <w:r w:rsidR="00BB6D24" w:rsidRPr="005F7B5F">
        <w:rPr>
          <w:rFonts w:ascii="Book Antiqua" w:hAnsi="Book Antiqua"/>
        </w:rPr>
        <w:t>irst-tier Tribunal Judge Cassel promulgated on 17 July 2017 dismissing his appeal. The judge describes the decision as a refusal of a residence card and goes on, in paragraph 1 of the determination to make reference to reg</w:t>
      </w:r>
      <w:r w:rsidRPr="005F7B5F">
        <w:rPr>
          <w:rFonts w:ascii="Book Antiqua" w:hAnsi="Book Antiqua"/>
        </w:rPr>
        <w:t>.</w:t>
      </w:r>
      <w:r w:rsidR="00BB6D24" w:rsidRPr="005F7B5F">
        <w:rPr>
          <w:rFonts w:ascii="Book Antiqua" w:hAnsi="Book Antiqua"/>
        </w:rPr>
        <w:t>10 (</w:t>
      </w:r>
      <w:r w:rsidRPr="005F7B5F">
        <w:rPr>
          <w:rFonts w:ascii="Book Antiqua" w:hAnsi="Book Antiqua"/>
        </w:rPr>
        <w:t>5</w:t>
      </w:r>
      <w:r w:rsidR="00BB6D24" w:rsidRPr="005F7B5F">
        <w:rPr>
          <w:rFonts w:ascii="Book Antiqua" w:hAnsi="Book Antiqua"/>
        </w:rPr>
        <w:t>) of the</w:t>
      </w:r>
      <w:r w:rsidRPr="005F7B5F">
        <w:rPr>
          <w:rFonts w:ascii="Book Antiqua" w:hAnsi="Book Antiqua"/>
        </w:rPr>
        <w:t xml:space="preserve"> Immigration (European E</w:t>
      </w:r>
      <w:r w:rsidR="00BB6D24" w:rsidRPr="005F7B5F">
        <w:rPr>
          <w:rFonts w:ascii="Book Antiqua" w:hAnsi="Book Antiqua"/>
        </w:rPr>
        <w:t xml:space="preserve">conomic </w:t>
      </w:r>
      <w:r w:rsidRPr="005F7B5F">
        <w:rPr>
          <w:rFonts w:ascii="Book Antiqua" w:hAnsi="Book Antiqua"/>
        </w:rPr>
        <w:t>A</w:t>
      </w:r>
      <w:r w:rsidR="00BB6D24" w:rsidRPr="005F7B5F">
        <w:rPr>
          <w:rFonts w:ascii="Book Antiqua" w:hAnsi="Book Antiqua"/>
        </w:rPr>
        <w:t>rea) Regulations 2006.</w:t>
      </w:r>
    </w:p>
    <w:p w:rsidR="002A74B8" w:rsidRPr="005F7B5F" w:rsidRDefault="002A74B8" w:rsidP="0083380E">
      <w:pPr>
        <w:pStyle w:val="ListParagraph"/>
        <w:jc w:val="both"/>
        <w:rPr>
          <w:rFonts w:ascii="Book Antiqua" w:hAnsi="Book Antiqua"/>
        </w:rPr>
      </w:pPr>
    </w:p>
    <w:p w:rsidR="00BB6D24" w:rsidRPr="005F7B5F" w:rsidRDefault="00BB6D24" w:rsidP="0083380E">
      <w:pPr>
        <w:pStyle w:val="ListParagraph"/>
        <w:numPr>
          <w:ilvl w:val="0"/>
          <w:numId w:val="1"/>
        </w:numPr>
        <w:jc w:val="both"/>
        <w:rPr>
          <w:rFonts w:ascii="Book Antiqua" w:hAnsi="Book Antiqua"/>
        </w:rPr>
      </w:pPr>
      <w:r w:rsidRPr="005F7B5F">
        <w:rPr>
          <w:rFonts w:ascii="Book Antiqua" w:hAnsi="Book Antiqua"/>
        </w:rPr>
        <w:t>In p</w:t>
      </w:r>
      <w:r w:rsidR="00042F0D" w:rsidRPr="005F7B5F">
        <w:rPr>
          <w:rFonts w:ascii="Book Antiqua" w:hAnsi="Book Antiqua"/>
        </w:rPr>
        <w:t>a</w:t>
      </w:r>
      <w:r w:rsidRPr="005F7B5F">
        <w:rPr>
          <w:rFonts w:ascii="Book Antiqua" w:hAnsi="Book Antiqua"/>
        </w:rPr>
        <w:t>ragraph 2 of the determination</w:t>
      </w:r>
      <w:r w:rsidR="00042F0D" w:rsidRPr="005F7B5F">
        <w:rPr>
          <w:rFonts w:ascii="Book Antiqua" w:hAnsi="Book Antiqua"/>
        </w:rPr>
        <w:t>, the j</w:t>
      </w:r>
      <w:r w:rsidRPr="005F7B5F">
        <w:rPr>
          <w:rFonts w:ascii="Book Antiqua" w:hAnsi="Book Antiqua"/>
        </w:rPr>
        <w:t>udge stated:</w:t>
      </w:r>
    </w:p>
    <w:p w:rsidR="00042F0D" w:rsidRPr="005F7B5F" w:rsidRDefault="00042F0D" w:rsidP="0083380E">
      <w:pPr>
        <w:pStyle w:val="ListParagraph"/>
        <w:ind w:left="1440"/>
        <w:jc w:val="both"/>
        <w:rPr>
          <w:rFonts w:ascii="Book Antiqua" w:hAnsi="Book Antiqua"/>
        </w:rPr>
      </w:pPr>
    </w:p>
    <w:p w:rsidR="00BB6D24" w:rsidRPr="005F7B5F" w:rsidRDefault="007156E2" w:rsidP="0083380E">
      <w:pPr>
        <w:pStyle w:val="ListParagraph"/>
        <w:ind w:left="1440"/>
        <w:jc w:val="both"/>
        <w:rPr>
          <w:rFonts w:ascii="Book Antiqua" w:hAnsi="Book Antiqua"/>
          <w:sz w:val="22"/>
          <w:szCs w:val="22"/>
        </w:rPr>
      </w:pPr>
      <w:r w:rsidRPr="005F7B5F">
        <w:rPr>
          <w:rFonts w:ascii="Book Antiqua" w:hAnsi="Book Antiqua"/>
          <w:sz w:val="22"/>
          <w:szCs w:val="22"/>
        </w:rPr>
        <w:t>H</w:t>
      </w:r>
      <w:r w:rsidR="00BB6D24" w:rsidRPr="005F7B5F">
        <w:rPr>
          <w:rFonts w:ascii="Book Antiqua" w:hAnsi="Book Antiqua"/>
          <w:sz w:val="22"/>
          <w:szCs w:val="22"/>
        </w:rPr>
        <w:t xml:space="preserve">e was told that in order to meet the requirements of </w:t>
      </w:r>
      <w:r w:rsidR="00042F0D" w:rsidRPr="005F7B5F">
        <w:rPr>
          <w:rFonts w:ascii="Book Antiqua" w:hAnsi="Book Antiqua"/>
          <w:sz w:val="22"/>
          <w:szCs w:val="22"/>
        </w:rPr>
        <w:t>reg. 10(6),</w:t>
      </w:r>
      <w:r w:rsidR="00BB6D24" w:rsidRPr="005F7B5F">
        <w:rPr>
          <w:rFonts w:ascii="Book Antiqua" w:hAnsi="Book Antiqua"/>
          <w:sz w:val="22"/>
          <w:szCs w:val="22"/>
        </w:rPr>
        <w:t xml:space="preserve"> he also needed to provide evidence that since the date of his divorce he had been a worker, a self-employed person or a self-sufficient per person and a decision to refuse his application was made under </w:t>
      </w:r>
      <w:r w:rsidR="00042F0D" w:rsidRPr="005F7B5F">
        <w:rPr>
          <w:rFonts w:ascii="Book Antiqua" w:hAnsi="Book Antiqua"/>
          <w:sz w:val="22"/>
          <w:szCs w:val="22"/>
        </w:rPr>
        <w:t>reg.</w:t>
      </w:r>
      <w:r w:rsidR="00BB6D24" w:rsidRPr="005F7B5F">
        <w:rPr>
          <w:rFonts w:ascii="Book Antiqua" w:hAnsi="Book Antiqua"/>
          <w:sz w:val="22"/>
          <w:szCs w:val="22"/>
        </w:rPr>
        <w:t xml:space="preserve"> 15 (</w:t>
      </w:r>
      <w:r w:rsidR="00042F0D" w:rsidRPr="005F7B5F">
        <w:rPr>
          <w:rFonts w:ascii="Book Antiqua" w:hAnsi="Book Antiqua"/>
          <w:sz w:val="22"/>
          <w:szCs w:val="22"/>
        </w:rPr>
        <w:t>1) (f) with reference to reg.</w:t>
      </w:r>
      <w:r w:rsidR="00BB6D24" w:rsidRPr="005F7B5F">
        <w:rPr>
          <w:rFonts w:ascii="Book Antiqua" w:hAnsi="Book Antiqua"/>
          <w:sz w:val="22"/>
          <w:szCs w:val="22"/>
        </w:rPr>
        <w:t xml:space="preserve"> 10 (</w:t>
      </w:r>
      <w:r w:rsidR="00042F0D" w:rsidRPr="005F7B5F">
        <w:rPr>
          <w:rFonts w:ascii="Book Antiqua" w:hAnsi="Book Antiqua"/>
          <w:sz w:val="22"/>
          <w:szCs w:val="22"/>
        </w:rPr>
        <w:t>5</w:t>
      </w:r>
      <w:r w:rsidR="00BB6D24" w:rsidRPr="005F7B5F">
        <w:rPr>
          <w:rFonts w:ascii="Book Antiqua" w:hAnsi="Book Antiqua"/>
          <w:sz w:val="22"/>
          <w:szCs w:val="22"/>
        </w:rPr>
        <w:t>).</w:t>
      </w:r>
    </w:p>
    <w:p w:rsidR="00042F0D" w:rsidRPr="005F7B5F" w:rsidRDefault="00042F0D" w:rsidP="0083380E">
      <w:pPr>
        <w:pStyle w:val="ListParagraph"/>
        <w:ind w:left="1440"/>
        <w:jc w:val="both"/>
        <w:rPr>
          <w:rFonts w:ascii="Book Antiqua" w:hAnsi="Book Antiqua"/>
        </w:rPr>
      </w:pPr>
    </w:p>
    <w:p w:rsidR="00BB6D24" w:rsidRPr="005F7B5F" w:rsidRDefault="00BB6D24" w:rsidP="0083380E">
      <w:pPr>
        <w:pStyle w:val="ListParagraph"/>
        <w:numPr>
          <w:ilvl w:val="0"/>
          <w:numId w:val="1"/>
        </w:numPr>
        <w:jc w:val="both"/>
        <w:rPr>
          <w:rFonts w:ascii="Book Antiqua" w:hAnsi="Book Antiqua"/>
        </w:rPr>
      </w:pPr>
      <w:r w:rsidRPr="005F7B5F">
        <w:rPr>
          <w:rFonts w:ascii="Book Antiqua" w:hAnsi="Book Antiqua"/>
        </w:rPr>
        <w:t xml:space="preserve">In appearing to elide the terms of </w:t>
      </w:r>
      <w:r w:rsidR="00042F0D" w:rsidRPr="005F7B5F">
        <w:rPr>
          <w:rFonts w:ascii="Book Antiqua" w:hAnsi="Book Antiqua"/>
        </w:rPr>
        <w:t>reg.</w:t>
      </w:r>
      <w:r w:rsidRPr="005F7B5F">
        <w:rPr>
          <w:rFonts w:ascii="Book Antiqua" w:hAnsi="Book Antiqua"/>
        </w:rPr>
        <w:t xml:space="preserve"> 10 (a retained right </w:t>
      </w:r>
      <w:r w:rsidR="00042F0D" w:rsidRPr="005F7B5F">
        <w:rPr>
          <w:rFonts w:ascii="Book Antiqua" w:hAnsi="Book Antiqua"/>
        </w:rPr>
        <w:t>of residence) and the terms of r</w:t>
      </w:r>
      <w:r w:rsidRPr="005F7B5F">
        <w:rPr>
          <w:rFonts w:ascii="Book Antiqua" w:hAnsi="Book Antiqua"/>
        </w:rPr>
        <w:t>eg</w:t>
      </w:r>
      <w:r w:rsidR="00042F0D" w:rsidRPr="005F7B5F">
        <w:rPr>
          <w:rFonts w:ascii="Book Antiqua" w:hAnsi="Book Antiqua"/>
        </w:rPr>
        <w:t>.</w:t>
      </w:r>
      <w:r w:rsidRPr="005F7B5F">
        <w:rPr>
          <w:rFonts w:ascii="Book Antiqua" w:hAnsi="Book Antiqua"/>
        </w:rPr>
        <w:t xml:space="preserve"> 15 (a permanent right of residence), the judge appears to have misunderstood the nature of the appeals that he had before him.</w:t>
      </w:r>
      <w:r w:rsidR="00042F0D" w:rsidRPr="005F7B5F">
        <w:rPr>
          <w:rFonts w:ascii="Book Antiqua" w:hAnsi="Book Antiqua"/>
        </w:rPr>
        <w:t xml:space="preserve">  That amounted to an error of law.</w:t>
      </w:r>
    </w:p>
    <w:p w:rsidR="00042F0D" w:rsidRPr="005F7B5F" w:rsidRDefault="00042F0D" w:rsidP="0083380E">
      <w:pPr>
        <w:pStyle w:val="ListParagraph"/>
        <w:jc w:val="both"/>
        <w:rPr>
          <w:rFonts w:ascii="Book Antiqua" w:hAnsi="Book Antiqua"/>
        </w:rPr>
      </w:pPr>
    </w:p>
    <w:p w:rsidR="00BB6D24" w:rsidRPr="005F7B5F" w:rsidRDefault="00BB6D24" w:rsidP="0083380E">
      <w:pPr>
        <w:pStyle w:val="ListParagraph"/>
        <w:numPr>
          <w:ilvl w:val="0"/>
          <w:numId w:val="1"/>
        </w:numPr>
        <w:jc w:val="both"/>
        <w:rPr>
          <w:rFonts w:ascii="Book Antiqua" w:hAnsi="Book Antiqua"/>
        </w:rPr>
      </w:pPr>
      <w:r w:rsidRPr="005F7B5F">
        <w:rPr>
          <w:rFonts w:ascii="Book Antiqua" w:hAnsi="Book Antiqua"/>
        </w:rPr>
        <w:t xml:space="preserve">It would have been helpful if the judge had set out the relevant regulations in which event he would have immediately seen that a retained right of residence is quite </w:t>
      </w:r>
      <w:r w:rsidR="00D920BA" w:rsidRPr="005F7B5F">
        <w:rPr>
          <w:rFonts w:ascii="Book Antiqua" w:hAnsi="Book Antiqua"/>
        </w:rPr>
        <w:t>distinct</w:t>
      </w:r>
      <w:r w:rsidRPr="005F7B5F">
        <w:rPr>
          <w:rFonts w:ascii="Book Antiqua" w:hAnsi="Book Antiqua"/>
        </w:rPr>
        <w:t xml:space="preserve"> from a permanent right of residence. A retained right of residence has nothing to do with the requirements of reg</w:t>
      </w:r>
      <w:r w:rsidR="00042F0D" w:rsidRPr="005F7B5F">
        <w:rPr>
          <w:rFonts w:ascii="Book Antiqua" w:hAnsi="Book Antiqua"/>
        </w:rPr>
        <w:t>.</w:t>
      </w:r>
      <w:r w:rsidRPr="005F7B5F">
        <w:rPr>
          <w:rFonts w:ascii="Book Antiqua" w:hAnsi="Book Antiqua"/>
        </w:rPr>
        <w:t xml:space="preserve"> 15 and the requirement to have spent five years in the United Kingdom either in the capacity of a qualified person, as defined, or as a dependent spouse of such a person. In contrast, a permanent right of residence </w:t>
      </w:r>
      <w:r w:rsidR="002A74B8" w:rsidRPr="005F7B5F">
        <w:rPr>
          <w:rFonts w:ascii="Book Antiqua" w:hAnsi="Book Antiqua"/>
        </w:rPr>
        <w:t>is a distinct right acquired by a 5-year presence in the UK (albeit the relevant period may include a period spent as the beneficiary of a retained right of residence</w:t>
      </w:r>
      <w:r w:rsidR="00D920BA" w:rsidRPr="005F7B5F">
        <w:rPr>
          <w:rFonts w:ascii="Book Antiqua" w:hAnsi="Book Antiqua"/>
        </w:rPr>
        <w:t>)</w:t>
      </w:r>
      <w:r w:rsidR="002A74B8" w:rsidRPr="005F7B5F">
        <w:rPr>
          <w:rFonts w:ascii="Book Antiqua" w:hAnsi="Book Antiqua"/>
        </w:rPr>
        <w:t>.</w:t>
      </w:r>
    </w:p>
    <w:p w:rsidR="00042F0D" w:rsidRPr="005F7B5F" w:rsidRDefault="00042F0D" w:rsidP="0083380E">
      <w:pPr>
        <w:pStyle w:val="ListParagraph"/>
        <w:jc w:val="both"/>
        <w:rPr>
          <w:rFonts w:ascii="Book Antiqua" w:hAnsi="Book Antiqua"/>
        </w:rPr>
      </w:pPr>
    </w:p>
    <w:p w:rsidR="00BB6D24" w:rsidRPr="005F7B5F" w:rsidRDefault="00BB6D24" w:rsidP="0083380E">
      <w:pPr>
        <w:pStyle w:val="ListParagraph"/>
        <w:numPr>
          <w:ilvl w:val="0"/>
          <w:numId w:val="1"/>
        </w:numPr>
        <w:jc w:val="both"/>
        <w:rPr>
          <w:rFonts w:ascii="Book Antiqua" w:hAnsi="Book Antiqua"/>
        </w:rPr>
      </w:pPr>
      <w:r w:rsidRPr="005F7B5F">
        <w:rPr>
          <w:rFonts w:ascii="Book Antiqua" w:hAnsi="Book Antiqua"/>
        </w:rPr>
        <w:t>Reg</w:t>
      </w:r>
      <w:r w:rsidR="00042F0D" w:rsidRPr="005F7B5F">
        <w:rPr>
          <w:rFonts w:ascii="Book Antiqua" w:hAnsi="Book Antiqua"/>
        </w:rPr>
        <w:t>.</w:t>
      </w:r>
      <w:r w:rsidRPr="005F7B5F">
        <w:rPr>
          <w:rFonts w:ascii="Book Antiqua" w:hAnsi="Book Antiqua"/>
        </w:rPr>
        <w:t xml:space="preserve"> 10 (</w:t>
      </w:r>
      <w:r w:rsidR="00042F0D" w:rsidRPr="005F7B5F">
        <w:rPr>
          <w:rFonts w:ascii="Book Antiqua" w:hAnsi="Book Antiqua"/>
        </w:rPr>
        <w:t>5)</w:t>
      </w:r>
      <w:r w:rsidRPr="005F7B5F">
        <w:rPr>
          <w:rFonts w:ascii="Book Antiqua" w:hAnsi="Book Antiqua"/>
        </w:rPr>
        <w:t xml:space="preserve"> and (</w:t>
      </w:r>
      <w:r w:rsidR="00042F0D" w:rsidRPr="005F7B5F">
        <w:rPr>
          <w:rFonts w:ascii="Book Antiqua" w:hAnsi="Book Antiqua"/>
        </w:rPr>
        <w:t>6</w:t>
      </w:r>
      <w:r w:rsidRPr="005F7B5F">
        <w:rPr>
          <w:rFonts w:ascii="Book Antiqua" w:hAnsi="Book Antiqua"/>
        </w:rPr>
        <w:t>) set out the requirements for a retained right of residence notwithstanding the fact that the claimant is no longer</w:t>
      </w:r>
      <w:r w:rsidR="00042F0D" w:rsidRPr="005F7B5F">
        <w:rPr>
          <w:rFonts w:ascii="Book Antiqua" w:hAnsi="Book Antiqua"/>
        </w:rPr>
        <w:t>,</w:t>
      </w:r>
      <w:r w:rsidRPr="005F7B5F">
        <w:rPr>
          <w:rFonts w:ascii="Book Antiqua" w:hAnsi="Book Antiqua"/>
        </w:rPr>
        <w:t xml:space="preserve"> </w:t>
      </w:r>
      <w:r w:rsidR="002A74B8" w:rsidRPr="005F7B5F">
        <w:rPr>
          <w:rFonts w:ascii="Book Antiqua" w:hAnsi="Book Antiqua"/>
        </w:rPr>
        <w:t>after</w:t>
      </w:r>
      <w:r w:rsidRPr="005F7B5F">
        <w:rPr>
          <w:rFonts w:ascii="Book Antiqua" w:hAnsi="Book Antiqua"/>
        </w:rPr>
        <w:t xml:space="preserve"> his divorce </w:t>
      </w:r>
      <w:r w:rsidR="002A74B8" w:rsidRPr="005F7B5F">
        <w:rPr>
          <w:rFonts w:ascii="Book Antiqua" w:hAnsi="Book Antiqua"/>
        </w:rPr>
        <w:t xml:space="preserve">from </w:t>
      </w:r>
      <w:r w:rsidRPr="005F7B5F">
        <w:rPr>
          <w:rFonts w:ascii="Book Antiqua" w:hAnsi="Book Antiqua"/>
        </w:rPr>
        <w:t>a Union citizen</w:t>
      </w:r>
      <w:r w:rsidR="00042F0D" w:rsidRPr="005F7B5F">
        <w:rPr>
          <w:rFonts w:ascii="Book Antiqua" w:hAnsi="Book Antiqua"/>
        </w:rPr>
        <w:t>, able to rely upon her</w:t>
      </w:r>
      <w:r w:rsidRPr="005F7B5F">
        <w:rPr>
          <w:rFonts w:ascii="Book Antiqua" w:hAnsi="Book Antiqua"/>
        </w:rPr>
        <w:t xml:space="preserve"> </w:t>
      </w:r>
      <w:r w:rsidR="00D920BA" w:rsidRPr="005F7B5F">
        <w:rPr>
          <w:rFonts w:ascii="Book Antiqua" w:hAnsi="Book Antiqua"/>
        </w:rPr>
        <w:t>exercise of</w:t>
      </w:r>
      <w:r w:rsidR="00042F0D" w:rsidRPr="005F7B5F">
        <w:rPr>
          <w:rFonts w:ascii="Book Antiqua" w:hAnsi="Book Antiqua"/>
        </w:rPr>
        <w:t xml:space="preserve"> T</w:t>
      </w:r>
      <w:r w:rsidRPr="005F7B5F">
        <w:rPr>
          <w:rFonts w:ascii="Book Antiqua" w:hAnsi="Book Antiqua"/>
        </w:rPr>
        <w:t>reaty rights</w:t>
      </w:r>
      <w:r w:rsidR="00042F0D" w:rsidRPr="005F7B5F">
        <w:rPr>
          <w:rFonts w:ascii="Book Antiqua" w:hAnsi="Book Antiqua"/>
        </w:rPr>
        <w:t xml:space="preserve"> as the means </w:t>
      </w:r>
      <w:r w:rsidR="002A74B8" w:rsidRPr="005F7B5F">
        <w:rPr>
          <w:rFonts w:ascii="Book Antiqua" w:hAnsi="Book Antiqua"/>
        </w:rPr>
        <w:t>of</w:t>
      </w:r>
      <w:r w:rsidR="00042F0D" w:rsidRPr="005F7B5F">
        <w:rPr>
          <w:rFonts w:ascii="Book Antiqua" w:hAnsi="Book Antiqua"/>
        </w:rPr>
        <w:t xml:space="preserve"> remain</w:t>
      </w:r>
      <w:r w:rsidR="002A74B8" w:rsidRPr="005F7B5F">
        <w:rPr>
          <w:rFonts w:ascii="Book Antiqua" w:hAnsi="Book Antiqua"/>
        </w:rPr>
        <w:t>ing</w:t>
      </w:r>
      <w:r w:rsidR="00042F0D" w:rsidRPr="005F7B5F">
        <w:rPr>
          <w:rFonts w:ascii="Book Antiqua" w:hAnsi="Book Antiqua"/>
        </w:rPr>
        <w:t xml:space="preserve"> lawfully within the United Kingdom</w:t>
      </w:r>
      <w:r w:rsidRPr="005F7B5F">
        <w:rPr>
          <w:rFonts w:ascii="Book Antiqua" w:hAnsi="Book Antiqua"/>
        </w:rPr>
        <w:t xml:space="preserve">: </w:t>
      </w:r>
    </w:p>
    <w:p w:rsidR="00BA27BD" w:rsidRPr="005F7B5F" w:rsidRDefault="00BA27BD" w:rsidP="0083380E">
      <w:pPr>
        <w:pStyle w:val="NoSpacing"/>
        <w:jc w:val="both"/>
        <w:rPr>
          <w:rFonts w:ascii="Book Antiqua" w:hAnsi="Book Antiqua"/>
        </w:rPr>
      </w:pPr>
    </w:p>
    <w:p w:rsidR="00BA27BD" w:rsidRPr="005F7B5F" w:rsidRDefault="00BA27BD" w:rsidP="0083380E">
      <w:pPr>
        <w:pStyle w:val="NoSpacing"/>
        <w:ind w:left="1134"/>
        <w:jc w:val="both"/>
        <w:rPr>
          <w:rFonts w:ascii="Book Antiqua" w:hAnsi="Book Antiqua" w:cs="Arial"/>
          <w:b/>
          <w:bCs/>
        </w:rPr>
      </w:pPr>
      <w:r w:rsidRPr="005F7B5F">
        <w:rPr>
          <w:rFonts w:ascii="Book Antiqua" w:hAnsi="Book Antiqua" w:cs="Arial"/>
          <w:b/>
          <w:bCs/>
        </w:rPr>
        <w:t>“Family member who has retained the right of residence”</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b/>
          <w:bCs/>
        </w:rPr>
        <w:t>10.</w:t>
      </w:r>
      <w:proofErr w:type="gramStart"/>
      <w:r w:rsidRPr="005F7B5F">
        <w:rPr>
          <w:rFonts w:ascii="Book Antiqua" w:hAnsi="Book Antiqua" w:cs="Arial"/>
        </w:rPr>
        <w:t>—(</w:t>
      </w:r>
      <w:proofErr w:type="gramEnd"/>
      <w:r w:rsidRPr="005F7B5F">
        <w:rPr>
          <w:rFonts w:ascii="Book Antiqua" w:hAnsi="Book Antiqua" w:cs="Arial"/>
        </w:rPr>
        <w:t xml:space="preserve">1) In these Regulations, “family member who has retained the right of residence” means, subject to paragraph (8), a person who satisfies the conditions in paragraph (2), (3), (4) or (5). </w:t>
      </w:r>
    </w:p>
    <w:p w:rsidR="00BA27BD" w:rsidRPr="005F7B5F" w:rsidRDefault="00421BCC" w:rsidP="0083380E">
      <w:pPr>
        <w:pStyle w:val="NoSpacing"/>
        <w:ind w:left="1134"/>
        <w:jc w:val="both"/>
        <w:rPr>
          <w:rFonts w:ascii="Book Antiqua" w:hAnsi="Book Antiqua" w:cs="Arial"/>
        </w:rPr>
      </w:pPr>
      <w:r w:rsidRPr="005F7B5F">
        <w:rPr>
          <w:rFonts w:ascii="Book Antiqua" w:hAnsi="Book Antiqua" w:cs="Arial"/>
        </w:rPr>
        <w:t xml:space="preserve"> </w:t>
      </w:r>
      <w:r w:rsidR="00BA27BD" w:rsidRPr="005F7B5F">
        <w:rPr>
          <w:rFonts w:ascii="Book Antiqua" w:hAnsi="Book Antiqua" w:cs="Arial"/>
        </w:rPr>
        <w:t xml:space="preserve">(5) A person satisfies the conditions in this paragraph if— </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(a)he ceased to be a family member of a qualified person on the termination of the marriage or civil partnership of the qualified person;</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(b)he was residing in the United Kingdom in accordance with these Regulations at the date of the termination;</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(c)he satisfies the condition in paragraph (6); and</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(d)either—</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w:t>
      </w:r>
      <w:proofErr w:type="spellStart"/>
      <w:r w:rsidRPr="005F7B5F">
        <w:rPr>
          <w:rFonts w:ascii="Book Antiqua" w:hAnsi="Book Antiqua" w:cs="Arial"/>
        </w:rPr>
        <w:t>i</w:t>
      </w:r>
      <w:proofErr w:type="spellEnd"/>
      <w:r w:rsidRPr="005F7B5F">
        <w:rPr>
          <w:rFonts w:ascii="Book Antiqua" w:hAnsi="Book Antiqua" w:cs="Arial"/>
        </w:rPr>
        <w:t>)prior to the initiation of the proceedings for the termination of the marriage or the civil partnership the marriage or civil partnership had lasted for at least three years and the parties to the marriage or civil partnership had resided in the United Kingdom for at least one year during its duration;</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 xml:space="preserve">(6) The condition in this paragraph is that the person— </w:t>
      </w:r>
    </w:p>
    <w:p w:rsidR="00BA27BD" w:rsidRPr="005F7B5F" w:rsidRDefault="00BA27BD" w:rsidP="0083380E">
      <w:pPr>
        <w:pStyle w:val="NoSpacing"/>
        <w:ind w:left="1134"/>
        <w:jc w:val="both"/>
        <w:rPr>
          <w:rFonts w:ascii="Book Antiqua" w:hAnsi="Book Antiqua" w:cs="Arial"/>
        </w:rPr>
      </w:pPr>
      <w:r w:rsidRPr="005F7B5F">
        <w:rPr>
          <w:rFonts w:ascii="Book Antiqua" w:hAnsi="Book Antiqua" w:cs="Arial"/>
        </w:rPr>
        <w:t>(a)is not an EEA national but would, if he were an EEA national, be a worker, a self-employed person or a self-sufficient person under regulation 6; </w:t>
      </w:r>
    </w:p>
    <w:p w:rsidR="00E67A1B" w:rsidRPr="005F7B5F" w:rsidRDefault="00E67A1B" w:rsidP="0083380E">
      <w:pPr>
        <w:ind w:left="1440"/>
        <w:jc w:val="both"/>
        <w:rPr>
          <w:rFonts w:ascii="Book Antiqua" w:hAnsi="Book Antiqua"/>
        </w:rPr>
      </w:pPr>
    </w:p>
    <w:p w:rsidR="00E67A1B" w:rsidRPr="005F7B5F" w:rsidRDefault="00BD0C47" w:rsidP="0083380E">
      <w:pPr>
        <w:pStyle w:val="ListParagraph"/>
        <w:numPr>
          <w:ilvl w:val="0"/>
          <w:numId w:val="1"/>
        </w:numPr>
        <w:jc w:val="both"/>
        <w:rPr>
          <w:rFonts w:ascii="Book Antiqua" w:hAnsi="Book Antiqua"/>
        </w:rPr>
      </w:pPr>
      <w:r w:rsidRPr="005F7B5F">
        <w:rPr>
          <w:rFonts w:ascii="Book Antiqua" w:hAnsi="Book Antiqua"/>
        </w:rPr>
        <w:t>I</w:t>
      </w:r>
      <w:r w:rsidR="00BB6D24" w:rsidRPr="005F7B5F">
        <w:rPr>
          <w:rFonts w:ascii="Book Antiqua" w:hAnsi="Book Antiqua"/>
        </w:rPr>
        <w:t>n contrast, reg</w:t>
      </w:r>
      <w:r w:rsidRPr="005F7B5F">
        <w:rPr>
          <w:rFonts w:ascii="Book Antiqua" w:hAnsi="Book Antiqua"/>
        </w:rPr>
        <w:t>.</w:t>
      </w:r>
      <w:r w:rsidR="005F7065" w:rsidRPr="005F7B5F">
        <w:rPr>
          <w:rFonts w:ascii="Book Antiqua" w:hAnsi="Book Antiqua"/>
        </w:rPr>
        <w:t xml:space="preserve"> </w:t>
      </w:r>
      <w:r w:rsidR="00BB6D24" w:rsidRPr="005F7B5F">
        <w:rPr>
          <w:rFonts w:ascii="Book Antiqua" w:hAnsi="Book Antiqua"/>
        </w:rPr>
        <w:t xml:space="preserve">15 sets out the requirements for a permanent right of residence crystallising in a state of permanency </w:t>
      </w:r>
      <w:r w:rsidR="00E67A1B" w:rsidRPr="005F7B5F">
        <w:rPr>
          <w:rFonts w:ascii="Book Antiqua" w:hAnsi="Book Antiqua"/>
        </w:rPr>
        <w:t xml:space="preserve">the right of residence that the spouse of a Union citizen acquires after five years </w:t>
      </w:r>
      <w:r w:rsidR="002A74B8" w:rsidRPr="005F7B5F">
        <w:rPr>
          <w:rFonts w:ascii="Book Antiqua" w:hAnsi="Book Antiqua"/>
        </w:rPr>
        <w:t>lawful EU presence in the United Kingdom</w:t>
      </w:r>
      <w:r w:rsidR="00E67A1B" w:rsidRPr="005F7B5F">
        <w:rPr>
          <w:rFonts w:ascii="Book Antiqua" w:hAnsi="Book Antiqua"/>
        </w:rPr>
        <w:t>:</w:t>
      </w:r>
    </w:p>
    <w:p w:rsidR="00BD0C47" w:rsidRPr="005F7B5F" w:rsidRDefault="00BD0C47" w:rsidP="0083380E">
      <w:pPr>
        <w:pStyle w:val="ListParagraph"/>
        <w:jc w:val="both"/>
        <w:rPr>
          <w:rFonts w:ascii="Book Antiqua" w:hAnsi="Book Antiqua"/>
        </w:rPr>
      </w:pPr>
    </w:p>
    <w:p w:rsidR="00BD0C47" w:rsidRPr="005F7B5F" w:rsidRDefault="00BD0C47" w:rsidP="0083380E">
      <w:pPr>
        <w:pStyle w:val="NoSpacing"/>
        <w:ind w:left="1134"/>
        <w:jc w:val="both"/>
        <w:rPr>
          <w:rFonts w:ascii="Book Antiqua" w:hAnsi="Book Antiqua"/>
          <w:b/>
          <w:sz w:val="22"/>
          <w:szCs w:val="22"/>
        </w:rPr>
      </w:pPr>
      <w:r w:rsidRPr="005F7B5F">
        <w:rPr>
          <w:rFonts w:ascii="Book Antiqua" w:hAnsi="Book Antiqua"/>
          <w:b/>
          <w:sz w:val="22"/>
          <w:szCs w:val="22"/>
        </w:rPr>
        <w:t>Permanent right of residence</w:t>
      </w:r>
    </w:p>
    <w:p w:rsidR="00BD0C47" w:rsidRPr="005F7B5F" w:rsidRDefault="00BD0C47" w:rsidP="0083380E">
      <w:pPr>
        <w:pStyle w:val="NoSpacing"/>
        <w:ind w:left="1134"/>
        <w:jc w:val="both"/>
        <w:rPr>
          <w:rFonts w:ascii="Book Antiqua" w:hAnsi="Book Antiqua"/>
          <w:sz w:val="22"/>
          <w:szCs w:val="22"/>
        </w:rPr>
      </w:pPr>
      <w:r w:rsidRPr="005F7B5F">
        <w:rPr>
          <w:rStyle w:val="legp1no"/>
          <w:rFonts w:ascii="Book Antiqua" w:hAnsi="Book Antiqua" w:cs="Arial"/>
          <w:b/>
          <w:bCs/>
          <w:sz w:val="22"/>
          <w:szCs w:val="22"/>
        </w:rPr>
        <w:t>15.</w:t>
      </w:r>
      <w:proofErr w:type="gramStart"/>
      <w:r w:rsidRPr="005F7B5F">
        <w:rPr>
          <w:rFonts w:ascii="Book Antiqua" w:hAnsi="Book Antiqua"/>
          <w:sz w:val="22"/>
          <w:szCs w:val="22"/>
        </w:rPr>
        <w:t>—(</w:t>
      </w:r>
      <w:proofErr w:type="gramEnd"/>
      <w:r w:rsidRPr="005F7B5F">
        <w:rPr>
          <w:rFonts w:ascii="Book Antiqua" w:hAnsi="Book Antiqua"/>
          <w:sz w:val="22"/>
          <w:szCs w:val="22"/>
        </w:rPr>
        <w:t xml:space="preserve">1) The following persons shall acquire the right to reside in the United Kingdom permanently— </w:t>
      </w:r>
    </w:p>
    <w:p w:rsidR="00BD0C47" w:rsidRPr="005F7B5F" w:rsidRDefault="00BD0C47" w:rsidP="0083380E">
      <w:pPr>
        <w:pStyle w:val="NoSpacing"/>
        <w:ind w:left="1134"/>
        <w:jc w:val="both"/>
        <w:rPr>
          <w:rFonts w:ascii="Book Antiqua" w:hAnsi="Book Antiqua"/>
          <w:sz w:val="22"/>
          <w:szCs w:val="22"/>
        </w:rPr>
      </w:pPr>
      <w:r w:rsidRPr="005F7B5F">
        <w:rPr>
          <w:rStyle w:val="legds"/>
          <w:rFonts w:ascii="Book Antiqua" w:hAnsi="Book Antiqua" w:cs="Arial"/>
          <w:sz w:val="22"/>
          <w:szCs w:val="22"/>
        </w:rPr>
        <w:t xml:space="preserve"> (b)a family member of an EEA national who is not himself an EEA national but who has resided in the United Kingdom with the EEA national in accordance with these Regulations for a continuous period of five years;</w:t>
      </w:r>
    </w:p>
    <w:p w:rsidR="00BD0C47" w:rsidRPr="005F7B5F" w:rsidRDefault="00BD0C47" w:rsidP="0083380E">
      <w:pPr>
        <w:pStyle w:val="NoSpacing"/>
        <w:ind w:left="1134"/>
        <w:jc w:val="both"/>
        <w:rPr>
          <w:rFonts w:ascii="Book Antiqua" w:hAnsi="Book Antiqua"/>
          <w:sz w:val="22"/>
          <w:szCs w:val="22"/>
        </w:rPr>
      </w:pPr>
      <w:r w:rsidRPr="005F7B5F">
        <w:rPr>
          <w:rStyle w:val="legds"/>
          <w:rFonts w:ascii="Book Antiqua" w:hAnsi="Book Antiqua" w:cs="Arial"/>
          <w:sz w:val="22"/>
          <w:szCs w:val="22"/>
        </w:rPr>
        <w:t>(f)a person who—</w:t>
      </w:r>
    </w:p>
    <w:p w:rsidR="00BD0C47" w:rsidRPr="005F7B5F" w:rsidRDefault="00BD0C47" w:rsidP="0083380E">
      <w:pPr>
        <w:pStyle w:val="NoSpacing"/>
        <w:ind w:left="1134"/>
        <w:jc w:val="both"/>
        <w:rPr>
          <w:rFonts w:ascii="Book Antiqua" w:hAnsi="Book Antiqua"/>
          <w:sz w:val="22"/>
          <w:szCs w:val="22"/>
        </w:rPr>
      </w:pPr>
      <w:r w:rsidRPr="005F7B5F">
        <w:rPr>
          <w:rStyle w:val="legds"/>
          <w:rFonts w:ascii="Book Antiqua" w:hAnsi="Book Antiqua" w:cs="Arial"/>
          <w:sz w:val="22"/>
          <w:szCs w:val="22"/>
        </w:rPr>
        <w:t>(</w:t>
      </w:r>
      <w:proofErr w:type="spellStart"/>
      <w:r w:rsidRPr="005F7B5F">
        <w:rPr>
          <w:rStyle w:val="legds"/>
          <w:rFonts w:ascii="Book Antiqua" w:hAnsi="Book Antiqua" w:cs="Arial"/>
          <w:sz w:val="22"/>
          <w:szCs w:val="22"/>
        </w:rPr>
        <w:t>i</w:t>
      </w:r>
      <w:proofErr w:type="spellEnd"/>
      <w:r w:rsidRPr="005F7B5F">
        <w:rPr>
          <w:rStyle w:val="legds"/>
          <w:rFonts w:ascii="Book Antiqua" w:hAnsi="Book Antiqua" w:cs="Arial"/>
          <w:sz w:val="22"/>
          <w:szCs w:val="22"/>
        </w:rPr>
        <w:t>)has resided in the United Kingdom in accordance with these Regulations for a continuous period of five years; and</w:t>
      </w:r>
    </w:p>
    <w:p w:rsidR="00BD0C47" w:rsidRPr="005F7B5F" w:rsidRDefault="00BD0C47" w:rsidP="0083380E">
      <w:pPr>
        <w:pStyle w:val="NoSpacing"/>
        <w:ind w:left="1134"/>
        <w:jc w:val="both"/>
        <w:rPr>
          <w:rFonts w:ascii="Book Antiqua" w:hAnsi="Book Antiqua"/>
          <w:sz w:val="22"/>
          <w:szCs w:val="22"/>
        </w:rPr>
      </w:pPr>
      <w:r w:rsidRPr="005F7B5F">
        <w:rPr>
          <w:rStyle w:val="legds"/>
          <w:rFonts w:ascii="Book Antiqua" w:hAnsi="Book Antiqua" w:cs="Arial"/>
          <w:sz w:val="22"/>
          <w:szCs w:val="22"/>
        </w:rPr>
        <w:t>(ii)was, at the end of that period, a family member who has retained the right of residence.</w:t>
      </w:r>
    </w:p>
    <w:p w:rsidR="005F7065" w:rsidRPr="005F7B5F" w:rsidRDefault="00E67A1B" w:rsidP="0083380E">
      <w:pPr>
        <w:pStyle w:val="ListParagraph"/>
        <w:jc w:val="both"/>
        <w:rPr>
          <w:rFonts w:ascii="Book Antiqua" w:hAnsi="Book Antiqua"/>
        </w:rPr>
      </w:pPr>
      <w:r w:rsidRPr="005F7B5F">
        <w:rPr>
          <w:rFonts w:ascii="Book Antiqua" w:hAnsi="Book Antiqua"/>
        </w:rPr>
        <w:t xml:space="preserve"> </w:t>
      </w:r>
    </w:p>
    <w:p w:rsidR="002A74B8" w:rsidRPr="005F7B5F" w:rsidRDefault="002A74B8" w:rsidP="0083380E">
      <w:pPr>
        <w:pStyle w:val="ListParagraph"/>
        <w:jc w:val="both"/>
        <w:rPr>
          <w:rFonts w:ascii="Book Antiqua" w:hAnsi="Book Antiqua"/>
        </w:rPr>
      </w:pPr>
      <w:r w:rsidRPr="005F7B5F">
        <w:rPr>
          <w:rFonts w:ascii="Book Antiqua" w:hAnsi="Book Antiqua"/>
        </w:rPr>
        <w:t xml:space="preserve">Note that the 5-year period may include a period during which the claimant </w:t>
      </w:r>
      <w:r w:rsidR="00C26CFB" w:rsidRPr="005F7B5F">
        <w:rPr>
          <w:rFonts w:ascii="Book Antiqua" w:hAnsi="Book Antiqua"/>
        </w:rPr>
        <w:t>enjoy</w:t>
      </w:r>
      <w:r w:rsidRPr="005F7B5F">
        <w:rPr>
          <w:rFonts w:ascii="Book Antiqua" w:hAnsi="Book Antiqua"/>
        </w:rPr>
        <w:t>ed a retained right of residence.</w:t>
      </w:r>
    </w:p>
    <w:p w:rsidR="002A74B8" w:rsidRPr="005F7B5F" w:rsidRDefault="002A74B8" w:rsidP="0083380E">
      <w:pPr>
        <w:pStyle w:val="ListParagraph"/>
        <w:jc w:val="both"/>
        <w:rPr>
          <w:rFonts w:ascii="Book Antiqua" w:hAnsi="Book Antiqua"/>
        </w:rPr>
      </w:pPr>
    </w:p>
    <w:p w:rsidR="00E67A1B" w:rsidRPr="005F7B5F" w:rsidRDefault="005F7065" w:rsidP="0083380E">
      <w:pPr>
        <w:pStyle w:val="ListParagraph"/>
        <w:numPr>
          <w:ilvl w:val="0"/>
          <w:numId w:val="1"/>
        </w:numPr>
        <w:jc w:val="both"/>
        <w:rPr>
          <w:rFonts w:ascii="Book Antiqua" w:hAnsi="Book Antiqua"/>
        </w:rPr>
      </w:pPr>
      <w:r w:rsidRPr="005F7B5F">
        <w:rPr>
          <w:rFonts w:ascii="Book Antiqua" w:hAnsi="Book Antiqua"/>
        </w:rPr>
        <w:t>T</w:t>
      </w:r>
      <w:r w:rsidR="00E67A1B" w:rsidRPr="005F7B5F">
        <w:rPr>
          <w:rFonts w:ascii="Book Antiqua" w:hAnsi="Book Antiqua"/>
        </w:rPr>
        <w:t xml:space="preserve">he </w:t>
      </w:r>
      <w:r w:rsidR="004A56A7" w:rsidRPr="005F7B5F">
        <w:rPr>
          <w:rFonts w:ascii="Book Antiqua" w:hAnsi="Book Antiqua"/>
        </w:rPr>
        <w:t>omission in drawing</w:t>
      </w:r>
      <w:r w:rsidR="00C26CFB" w:rsidRPr="005F7B5F">
        <w:rPr>
          <w:rFonts w:ascii="Book Antiqua" w:hAnsi="Book Antiqua"/>
        </w:rPr>
        <w:t xml:space="preserve"> this distinction led the F</w:t>
      </w:r>
      <w:r w:rsidR="00E67A1B" w:rsidRPr="005F7B5F">
        <w:rPr>
          <w:rFonts w:ascii="Book Antiqua" w:hAnsi="Book Antiqua"/>
        </w:rPr>
        <w:t>irst-tier Tribunal Judge</w:t>
      </w:r>
      <w:r w:rsidR="004A56A7" w:rsidRPr="005F7B5F">
        <w:rPr>
          <w:rFonts w:ascii="Book Antiqua" w:hAnsi="Book Antiqua"/>
        </w:rPr>
        <w:t>’s failure</w:t>
      </w:r>
      <w:r w:rsidR="00E67A1B" w:rsidRPr="005F7B5F">
        <w:rPr>
          <w:rFonts w:ascii="Book Antiqua" w:hAnsi="Book Antiqua"/>
        </w:rPr>
        <w:t xml:space="preserve"> to</w:t>
      </w:r>
      <w:r w:rsidR="00C26CFB" w:rsidRPr="005F7B5F">
        <w:rPr>
          <w:rFonts w:ascii="Book Antiqua" w:hAnsi="Book Antiqua"/>
        </w:rPr>
        <w:t xml:space="preserve"> recognise that</w:t>
      </w:r>
      <w:r w:rsidR="00E67A1B" w:rsidRPr="005F7B5F">
        <w:rPr>
          <w:rFonts w:ascii="Book Antiqua" w:hAnsi="Book Antiqua"/>
        </w:rPr>
        <w:t xml:space="preserve"> the appeal before him </w:t>
      </w:r>
      <w:r w:rsidR="00C26CFB" w:rsidRPr="005F7B5F">
        <w:rPr>
          <w:rFonts w:ascii="Book Antiqua" w:hAnsi="Book Antiqua"/>
        </w:rPr>
        <w:t xml:space="preserve">contained two distinct appeals, each being </w:t>
      </w:r>
      <w:r w:rsidR="00E67A1B" w:rsidRPr="005F7B5F">
        <w:rPr>
          <w:rFonts w:ascii="Book Antiqua" w:hAnsi="Book Antiqua"/>
        </w:rPr>
        <w:t xml:space="preserve">satisfied by different criteria or requirements. </w:t>
      </w:r>
    </w:p>
    <w:p w:rsidR="005F7065" w:rsidRPr="005F7B5F" w:rsidRDefault="005F7065" w:rsidP="0083380E">
      <w:pPr>
        <w:pStyle w:val="ListParagraph"/>
        <w:jc w:val="both"/>
        <w:rPr>
          <w:rFonts w:ascii="Book Antiqua" w:hAnsi="Book Antiqua"/>
        </w:rPr>
      </w:pPr>
    </w:p>
    <w:p w:rsidR="004A56A7" w:rsidRPr="005F7B5F" w:rsidRDefault="00E67A1B" w:rsidP="0083380E">
      <w:pPr>
        <w:pStyle w:val="ListParagraph"/>
        <w:numPr>
          <w:ilvl w:val="0"/>
          <w:numId w:val="1"/>
        </w:numPr>
        <w:jc w:val="both"/>
        <w:rPr>
          <w:rFonts w:ascii="Book Antiqua" w:hAnsi="Book Antiqua"/>
        </w:rPr>
      </w:pPr>
      <w:r w:rsidRPr="005F7B5F">
        <w:rPr>
          <w:rFonts w:ascii="Book Antiqua" w:hAnsi="Book Antiqua"/>
        </w:rPr>
        <w:t>Si</w:t>
      </w:r>
      <w:r w:rsidR="005F7065" w:rsidRPr="005F7B5F">
        <w:rPr>
          <w:rFonts w:ascii="Book Antiqua" w:hAnsi="Book Antiqua"/>
        </w:rPr>
        <w:t>ght</w:t>
      </w:r>
      <w:r w:rsidRPr="005F7B5F">
        <w:rPr>
          <w:rFonts w:ascii="Book Antiqua" w:hAnsi="Book Antiqua"/>
        </w:rPr>
        <w:t xml:space="preserve"> of the two decision letters each dated 22 December 2015 makes it clear that the Secretary of State drew the proper distinction although, regrettably, one of the decision letters contains at least one passage which may have caused confusion. The longer</w:t>
      </w:r>
      <w:r w:rsidR="00C26CFB" w:rsidRPr="005F7B5F">
        <w:rPr>
          <w:rFonts w:ascii="Book Antiqua" w:hAnsi="Book Antiqua"/>
        </w:rPr>
        <w:t xml:space="preserve"> of</w:t>
      </w:r>
      <w:r w:rsidRPr="005F7B5F">
        <w:rPr>
          <w:rFonts w:ascii="Book Antiqua" w:hAnsi="Book Antiqua"/>
        </w:rPr>
        <w:t xml:space="preserve"> the two decision letters refers expressly to the appellant’s application to be recognised as a person who qualified for a retained right of residence following his divorce from a </w:t>
      </w:r>
      <w:r w:rsidR="004A56A7" w:rsidRPr="005F7B5F">
        <w:rPr>
          <w:rFonts w:ascii="Book Antiqua" w:hAnsi="Book Antiqua"/>
        </w:rPr>
        <w:t>U</w:t>
      </w:r>
      <w:r w:rsidRPr="005F7B5F">
        <w:rPr>
          <w:rFonts w:ascii="Book Antiqua" w:hAnsi="Book Antiqua"/>
        </w:rPr>
        <w:t>nion citizen in accordance with reg</w:t>
      </w:r>
      <w:r w:rsidR="004A56A7" w:rsidRPr="005F7B5F">
        <w:rPr>
          <w:rFonts w:ascii="Book Antiqua" w:hAnsi="Book Antiqua"/>
        </w:rPr>
        <w:t>.</w:t>
      </w:r>
      <w:r w:rsidRPr="005F7B5F">
        <w:rPr>
          <w:rFonts w:ascii="Book Antiqua" w:hAnsi="Book Antiqua"/>
        </w:rPr>
        <w:t xml:space="preserve"> 10 (</w:t>
      </w:r>
      <w:r w:rsidR="004A56A7" w:rsidRPr="005F7B5F">
        <w:rPr>
          <w:rFonts w:ascii="Book Antiqua" w:hAnsi="Book Antiqua"/>
        </w:rPr>
        <w:t>5) of the 2006 R</w:t>
      </w:r>
      <w:r w:rsidRPr="005F7B5F">
        <w:rPr>
          <w:rFonts w:ascii="Book Antiqua" w:hAnsi="Book Antiqua"/>
        </w:rPr>
        <w:t xml:space="preserve">egulations. It was accepted that the applicant had produced a decree absolute determining his marriage on 5 May 2015. No issue was made that the marriage had lasted for three years and that 12 months of that period had been spent residing in the United Kingdom. It remains common ground that the appellant was married to </w:t>
      </w:r>
      <w:r w:rsidR="001A7D43" w:rsidRPr="005F7B5F">
        <w:rPr>
          <w:rFonts w:ascii="Book Antiqua" w:hAnsi="Book Antiqua"/>
        </w:rPr>
        <w:t xml:space="preserve">a Romanian citizen on 31 August 2011. </w:t>
      </w:r>
    </w:p>
    <w:p w:rsidR="004A56A7" w:rsidRPr="005F7B5F" w:rsidRDefault="004A56A7" w:rsidP="004A56A7">
      <w:pPr>
        <w:pStyle w:val="ListParagraph"/>
        <w:rPr>
          <w:rFonts w:ascii="Book Antiqua" w:hAnsi="Book Antiqua"/>
        </w:rPr>
      </w:pPr>
    </w:p>
    <w:p w:rsidR="001A7D43" w:rsidRPr="005F7B5F" w:rsidRDefault="001A7D43" w:rsidP="0083380E">
      <w:pPr>
        <w:pStyle w:val="ListParagraph"/>
        <w:numPr>
          <w:ilvl w:val="0"/>
          <w:numId w:val="1"/>
        </w:numPr>
        <w:jc w:val="both"/>
        <w:rPr>
          <w:rFonts w:ascii="Book Antiqua" w:hAnsi="Book Antiqua"/>
        </w:rPr>
      </w:pPr>
      <w:r w:rsidRPr="005F7B5F">
        <w:rPr>
          <w:rFonts w:ascii="Book Antiqua" w:hAnsi="Book Antiqua"/>
        </w:rPr>
        <w:t>The reg</w:t>
      </w:r>
      <w:r w:rsidR="004A56A7" w:rsidRPr="005F7B5F">
        <w:rPr>
          <w:rFonts w:ascii="Book Antiqua" w:hAnsi="Book Antiqua"/>
        </w:rPr>
        <w:t xml:space="preserve">. </w:t>
      </w:r>
      <w:r w:rsidRPr="005F7B5F">
        <w:rPr>
          <w:rFonts w:ascii="Book Antiqua" w:hAnsi="Book Antiqua"/>
        </w:rPr>
        <w:t xml:space="preserve">10 decision records (page 2 of </w:t>
      </w:r>
      <w:r w:rsidR="004A56A7" w:rsidRPr="005F7B5F">
        <w:rPr>
          <w:rFonts w:ascii="Book Antiqua" w:hAnsi="Book Antiqua"/>
        </w:rPr>
        <w:t>5</w:t>
      </w:r>
      <w:r w:rsidRPr="005F7B5F">
        <w:rPr>
          <w:rFonts w:ascii="Book Antiqua" w:hAnsi="Book Antiqua"/>
        </w:rPr>
        <w:t>) that the appellant had provided evidence of his wife’s employment in the form of P 60s for the years 2013, 2014 and 2015 but had failed to provide evidence of her employment from 1 April 2012 to 31 March 2013</w:t>
      </w:r>
      <w:r w:rsidR="004A56A7" w:rsidRPr="005F7B5F">
        <w:rPr>
          <w:rFonts w:ascii="Book Antiqua" w:hAnsi="Book Antiqua"/>
        </w:rPr>
        <w:t>, a</w:t>
      </w:r>
      <w:r w:rsidRPr="005F7B5F">
        <w:rPr>
          <w:rFonts w:ascii="Book Antiqua" w:hAnsi="Book Antiqua"/>
        </w:rPr>
        <w:t>lthough a P60 had been provided. The focus of an application under reg</w:t>
      </w:r>
      <w:r w:rsidR="004A56A7" w:rsidRPr="005F7B5F">
        <w:rPr>
          <w:rFonts w:ascii="Book Antiqua" w:hAnsi="Book Antiqua"/>
        </w:rPr>
        <w:t xml:space="preserve">. </w:t>
      </w:r>
      <w:r w:rsidRPr="005F7B5F">
        <w:rPr>
          <w:rFonts w:ascii="Book Antiqua" w:hAnsi="Book Antiqua"/>
        </w:rPr>
        <w:t>10, however, is whether the appellant’s wife was exercising treaty rights at the date of divorce, 5 May 2015. The decision letter went on to consider the requirement of reg</w:t>
      </w:r>
      <w:r w:rsidR="004A56A7" w:rsidRPr="005F7B5F">
        <w:rPr>
          <w:rFonts w:ascii="Book Antiqua" w:hAnsi="Book Antiqua"/>
        </w:rPr>
        <w:t>.</w:t>
      </w:r>
      <w:r w:rsidRPr="005F7B5F">
        <w:rPr>
          <w:rFonts w:ascii="Book Antiqua" w:hAnsi="Book Antiqua"/>
        </w:rPr>
        <w:t xml:space="preserve"> 10 (</w:t>
      </w:r>
      <w:r w:rsidR="004A56A7" w:rsidRPr="005F7B5F">
        <w:rPr>
          <w:rFonts w:ascii="Book Antiqua" w:hAnsi="Book Antiqua"/>
        </w:rPr>
        <w:t>6</w:t>
      </w:r>
      <w:r w:rsidRPr="005F7B5F">
        <w:rPr>
          <w:rFonts w:ascii="Book Antiqua" w:hAnsi="Book Antiqua"/>
        </w:rPr>
        <w:t>) that the appellant needed to provide evidence that, since the date of his divorce, the appellant had been a qualified person. In fact, as we have seen, the requirement of reg</w:t>
      </w:r>
      <w:r w:rsidR="004A56A7" w:rsidRPr="005F7B5F">
        <w:rPr>
          <w:rFonts w:ascii="Book Antiqua" w:hAnsi="Book Antiqua"/>
        </w:rPr>
        <w:t xml:space="preserve">. </w:t>
      </w:r>
      <w:r w:rsidRPr="005F7B5F">
        <w:rPr>
          <w:rFonts w:ascii="Book Antiqua" w:hAnsi="Book Antiqua"/>
        </w:rPr>
        <w:t>10 (</w:t>
      </w:r>
      <w:r w:rsidR="004A56A7" w:rsidRPr="005F7B5F">
        <w:rPr>
          <w:rFonts w:ascii="Book Antiqua" w:hAnsi="Book Antiqua"/>
        </w:rPr>
        <w:t>6</w:t>
      </w:r>
      <w:r w:rsidRPr="005F7B5F">
        <w:rPr>
          <w:rFonts w:ascii="Book Antiqua" w:hAnsi="Book Antiqua"/>
        </w:rPr>
        <w:t xml:space="preserve">) is somewhat different: </w:t>
      </w:r>
      <w:r w:rsidR="004A56A7" w:rsidRPr="005F7B5F">
        <w:rPr>
          <w:rFonts w:ascii="Book Antiqua" w:hAnsi="Book Antiqua"/>
        </w:rPr>
        <w:t>‘</w:t>
      </w:r>
      <w:r w:rsidR="004A56A7" w:rsidRPr="005F7B5F">
        <w:rPr>
          <w:rFonts w:ascii="Book Antiqua" w:hAnsi="Book Antiqua" w:cs="Arial"/>
          <w:i/>
        </w:rPr>
        <w:t>is not an EEA national but would, if he were an EEA national, be a worker, a self-employed person or a self-sufficient person under regulation 6’.</w:t>
      </w:r>
    </w:p>
    <w:p w:rsidR="005F7065" w:rsidRPr="005F7B5F" w:rsidRDefault="005F7065" w:rsidP="0083380E">
      <w:pPr>
        <w:pStyle w:val="ListParagraph"/>
        <w:jc w:val="both"/>
        <w:rPr>
          <w:rFonts w:ascii="Book Antiqua" w:hAnsi="Book Antiqua"/>
        </w:rPr>
      </w:pPr>
    </w:p>
    <w:p w:rsidR="001A7D43" w:rsidRPr="005F7B5F" w:rsidRDefault="004A56A7" w:rsidP="0083380E">
      <w:pPr>
        <w:pStyle w:val="ListParagraph"/>
        <w:numPr>
          <w:ilvl w:val="0"/>
          <w:numId w:val="1"/>
        </w:numPr>
        <w:jc w:val="both"/>
        <w:rPr>
          <w:rFonts w:ascii="Book Antiqua" w:hAnsi="Book Antiqua"/>
        </w:rPr>
      </w:pPr>
      <w:r w:rsidRPr="005F7B5F">
        <w:rPr>
          <w:rFonts w:ascii="Book Antiqua" w:hAnsi="Book Antiqua"/>
        </w:rPr>
        <w:t>T</w:t>
      </w:r>
      <w:r w:rsidR="001A7D43" w:rsidRPr="005F7B5F">
        <w:rPr>
          <w:rFonts w:ascii="Book Antiqua" w:hAnsi="Book Antiqua"/>
        </w:rPr>
        <w:t xml:space="preserve">he decision-maker then goes on to make the further misleading elision between </w:t>
      </w:r>
      <w:proofErr w:type="spellStart"/>
      <w:r w:rsidR="001A7D43" w:rsidRPr="005F7B5F">
        <w:rPr>
          <w:rFonts w:ascii="Book Antiqua" w:hAnsi="Book Antiqua"/>
        </w:rPr>
        <w:t>reg</w:t>
      </w:r>
      <w:r w:rsidRPr="005F7B5F">
        <w:rPr>
          <w:rFonts w:ascii="Book Antiqua" w:hAnsi="Book Antiqua"/>
        </w:rPr>
        <w:t>s</w:t>
      </w:r>
      <w:proofErr w:type="spellEnd"/>
      <w:r w:rsidRPr="005F7B5F">
        <w:rPr>
          <w:rFonts w:ascii="Book Antiqua" w:hAnsi="Book Antiqua"/>
        </w:rPr>
        <w:t>.</w:t>
      </w:r>
      <w:r w:rsidR="001A7D43" w:rsidRPr="005F7B5F">
        <w:rPr>
          <w:rFonts w:ascii="Book Antiqua" w:hAnsi="Book Antiqua"/>
        </w:rPr>
        <w:t xml:space="preserve"> 10 (</w:t>
      </w:r>
      <w:r w:rsidRPr="005F7B5F">
        <w:rPr>
          <w:rFonts w:ascii="Book Antiqua" w:hAnsi="Book Antiqua"/>
        </w:rPr>
        <w:t>5</w:t>
      </w:r>
      <w:r w:rsidR="001A7D43" w:rsidRPr="005F7B5F">
        <w:rPr>
          <w:rFonts w:ascii="Book Antiqua" w:hAnsi="Book Antiqua"/>
        </w:rPr>
        <w:t xml:space="preserve">) </w:t>
      </w:r>
      <w:r w:rsidRPr="005F7B5F">
        <w:rPr>
          <w:rFonts w:ascii="Book Antiqua" w:hAnsi="Book Antiqua"/>
        </w:rPr>
        <w:t xml:space="preserve">and 15 </w:t>
      </w:r>
      <w:r w:rsidR="001A7D43" w:rsidRPr="005F7B5F">
        <w:rPr>
          <w:rFonts w:ascii="Book Antiqua" w:hAnsi="Book Antiqua"/>
        </w:rPr>
        <w:t xml:space="preserve">by saying </w:t>
      </w:r>
    </w:p>
    <w:p w:rsidR="00D920BA" w:rsidRPr="005F7B5F" w:rsidRDefault="00D920BA" w:rsidP="0083380E">
      <w:pPr>
        <w:pStyle w:val="ListParagraph"/>
        <w:jc w:val="both"/>
        <w:rPr>
          <w:rFonts w:ascii="Book Antiqua" w:hAnsi="Book Antiqua"/>
        </w:rPr>
      </w:pPr>
    </w:p>
    <w:p w:rsidR="005F7065" w:rsidRPr="005F7B5F" w:rsidRDefault="004A56A7" w:rsidP="004A56A7">
      <w:pPr>
        <w:pStyle w:val="ListParagraph"/>
        <w:ind w:left="1440"/>
        <w:jc w:val="both"/>
        <w:rPr>
          <w:rFonts w:ascii="Book Antiqua" w:hAnsi="Book Antiqua"/>
          <w:sz w:val="22"/>
          <w:szCs w:val="22"/>
        </w:rPr>
      </w:pPr>
      <w:r w:rsidRPr="005F7B5F">
        <w:rPr>
          <w:rFonts w:ascii="Book Antiqua" w:hAnsi="Book Antiqua"/>
          <w:sz w:val="22"/>
          <w:szCs w:val="22"/>
        </w:rPr>
        <w:t>Y</w:t>
      </w:r>
      <w:r w:rsidR="001A7D43" w:rsidRPr="005F7B5F">
        <w:rPr>
          <w:rFonts w:ascii="Book Antiqua" w:hAnsi="Book Antiqua"/>
          <w:sz w:val="22"/>
          <w:szCs w:val="22"/>
        </w:rPr>
        <w:t xml:space="preserve">ou have failed to provide evidence that you meet the requirements of regulation 10 (5) and you have therefore not retained the right of residence following divorce, or that you have resided under the regulations for five continuous years to qualify for permanent residence. </w:t>
      </w:r>
      <w:proofErr w:type="gramStart"/>
      <w:r w:rsidR="001A7D43" w:rsidRPr="005F7B5F">
        <w:rPr>
          <w:rFonts w:ascii="Book Antiqua" w:hAnsi="Book Antiqua"/>
          <w:sz w:val="22"/>
          <w:szCs w:val="22"/>
        </w:rPr>
        <w:t>Therefore</w:t>
      </w:r>
      <w:proofErr w:type="gramEnd"/>
      <w:r w:rsidR="001A7D43" w:rsidRPr="005F7B5F">
        <w:rPr>
          <w:rFonts w:ascii="Book Antiqua" w:hAnsi="Book Antiqua"/>
          <w:sz w:val="22"/>
          <w:szCs w:val="22"/>
        </w:rPr>
        <w:t xml:space="preserve"> it has been decided to refuse to issue the confirmation that you seek under regulation 15 (</w:t>
      </w:r>
      <w:r w:rsidRPr="005F7B5F">
        <w:rPr>
          <w:rFonts w:ascii="Book Antiqua" w:hAnsi="Book Antiqua"/>
          <w:sz w:val="22"/>
          <w:szCs w:val="22"/>
        </w:rPr>
        <w:t>1</w:t>
      </w:r>
      <w:r w:rsidR="001A7D43" w:rsidRPr="005F7B5F">
        <w:rPr>
          <w:rFonts w:ascii="Book Antiqua" w:hAnsi="Book Antiqua"/>
          <w:sz w:val="22"/>
          <w:szCs w:val="22"/>
        </w:rPr>
        <w:t>) (f), with reference to regulation 10 (</w:t>
      </w:r>
      <w:r w:rsidRPr="005F7B5F">
        <w:rPr>
          <w:rFonts w:ascii="Book Antiqua" w:hAnsi="Book Antiqua"/>
          <w:sz w:val="22"/>
          <w:szCs w:val="22"/>
        </w:rPr>
        <w:t>5</w:t>
      </w:r>
      <w:r w:rsidR="001A7D43" w:rsidRPr="005F7B5F">
        <w:rPr>
          <w:rFonts w:ascii="Book Antiqua" w:hAnsi="Book Antiqua"/>
          <w:sz w:val="22"/>
          <w:szCs w:val="22"/>
        </w:rPr>
        <w:t xml:space="preserve">). </w:t>
      </w:r>
    </w:p>
    <w:p w:rsidR="005F7065" w:rsidRPr="005F7B5F" w:rsidRDefault="005F7065" w:rsidP="00D920BA">
      <w:pPr>
        <w:jc w:val="both"/>
        <w:rPr>
          <w:rFonts w:ascii="Book Antiqua" w:hAnsi="Book Antiqua"/>
        </w:rPr>
      </w:pPr>
    </w:p>
    <w:p w:rsidR="00D336A2" w:rsidRPr="005F7B5F" w:rsidRDefault="005F7065" w:rsidP="0083380E">
      <w:pPr>
        <w:pStyle w:val="ListParagraph"/>
        <w:numPr>
          <w:ilvl w:val="0"/>
          <w:numId w:val="1"/>
        </w:numPr>
        <w:jc w:val="both"/>
        <w:rPr>
          <w:rFonts w:ascii="Book Antiqua" w:hAnsi="Book Antiqua"/>
        </w:rPr>
      </w:pPr>
      <w:r w:rsidRPr="005F7B5F">
        <w:rPr>
          <w:rFonts w:ascii="Book Antiqua" w:hAnsi="Book Antiqua"/>
        </w:rPr>
        <w:t>As I have said earlier, this fails to appreciate that there were two different applications and in a decision which was expressly made under reg</w:t>
      </w:r>
      <w:r w:rsidR="00D336A2" w:rsidRPr="005F7B5F">
        <w:rPr>
          <w:rFonts w:ascii="Book Antiqua" w:hAnsi="Book Antiqua"/>
        </w:rPr>
        <w:t xml:space="preserve">. </w:t>
      </w:r>
      <w:r w:rsidRPr="005F7B5F">
        <w:rPr>
          <w:rFonts w:ascii="Book Antiqua" w:hAnsi="Book Antiqua"/>
        </w:rPr>
        <w:t>10 (</w:t>
      </w:r>
      <w:r w:rsidR="00D336A2" w:rsidRPr="005F7B5F">
        <w:rPr>
          <w:rFonts w:ascii="Book Antiqua" w:hAnsi="Book Antiqua"/>
        </w:rPr>
        <w:t>5</w:t>
      </w:r>
      <w:r w:rsidRPr="005F7B5F">
        <w:rPr>
          <w:rFonts w:ascii="Book Antiqua" w:hAnsi="Book Antiqua"/>
        </w:rPr>
        <w:t>), an application for a retained right of residence</w:t>
      </w:r>
      <w:r w:rsidR="00D336A2" w:rsidRPr="005F7B5F">
        <w:rPr>
          <w:rFonts w:ascii="Book Antiqua" w:hAnsi="Book Antiqua"/>
        </w:rPr>
        <w:t>,</w:t>
      </w:r>
      <w:r w:rsidRPr="005F7B5F">
        <w:rPr>
          <w:rFonts w:ascii="Book Antiqua" w:hAnsi="Book Antiqua"/>
        </w:rPr>
        <w:t xml:space="preserve"> any reference to an application for a permanent right of residence had no place. Indeed, by a separate decision entitled a refusal to issue a permanent residence card also dated 22 December 2015 the decision-maker stated that in December 2015 the appellant had failed to establish that he had resided in the United Kingdom with the EEA national in accordance with the 2006 regulations for a continuous period of five years. </w:t>
      </w:r>
    </w:p>
    <w:p w:rsidR="00D336A2" w:rsidRPr="005F7B5F" w:rsidRDefault="00D336A2" w:rsidP="00D336A2">
      <w:pPr>
        <w:pStyle w:val="ListParagraph"/>
        <w:jc w:val="both"/>
        <w:rPr>
          <w:rFonts w:ascii="Book Antiqua" w:hAnsi="Book Antiqua"/>
        </w:rPr>
      </w:pPr>
    </w:p>
    <w:p w:rsidR="005F7065" w:rsidRPr="005F7B5F" w:rsidRDefault="005F7065" w:rsidP="0083380E">
      <w:pPr>
        <w:pStyle w:val="ListParagraph"/>
        <w:numPr>
          <w:ilvl w:val="0"/>
          <w:numId w:val="1"/>
        </w:numPr>
        <w:jc w:val="both"/>
        <w:rPr>
          <w:rFonts w:ascii="Book Antiqua" w:hAnsi="Book Antiqua"/>
        </w:rPr>
      </w:pPr>
      <w:r w:rsidRPr="005F7B5F">
        <w:rPr>
          <w:rFonts w:ascii="Book Antiqua" w:hAnsi="Book Antiqua"/>
        </w:rPr>
        <w:t>Given that the appellant was married to his spouse on 31 August 201</w:t>
      </w:r>
      <w:r w:rsidR="00D336A2" w:rsidRPr="005F7B5F">
        <w:rPr>
          <w:rFonts w:ascii="Book Antiqua" w:hAnsi="Book Antiqua"/>
        </w:rPr>
        <w:t>1</w:t>
      </w:r>
      <w:r w:rsidRPr="005F7B5F">
        <w:rPr>
          <w:rFonts w:ascii="Book Antiqua" w:hAnsi="Book Antiqua"/>
        </w:rPr>
        <w:t>, it was indeed correct that the appellant did not qualify for a permanent right of residence at the date of the decision made by the Secretary of State. However, w</w:t>
      </w:r>
      <w:r w:rsidR="00D336A2" w:rsidRPr="005F7B5F">
        <w:rPr>
          <w:rFonts w:ascii="Book Antiqua" w:hAnsi="Book Antiqua"/>
        </w:rPr>
        <w:t>hen the appeal came before the F</w:t>
      </w:r>
      <w:r w:rsidRPr="005F7B5F">
        <w:rPr>
          <w:rFonts w:ascii="Book Antiqua" w:hAnsi="Book Antiqua"/>
        </w:rPr>
        <w:t xml:space="preserve">irst-tier Tribunal Judge on 29 June 2017 a period of five years had indeed elapsed </w:t>
      </w:r>
      <w:r w:rsidR="00D336A2" w:rsidRPr="005F7B5F">
        <w:rPr>
          <w:rFonts w:ascii="Book Antiqua" w:hAnsi="Book Antiqua"/>
        </w:rPr>
        <w:t xml:space="preserve">since the marriage </w:t>
      </w:r>
      <w:r w:rsidRPr="005F7B5F">
        <w:rPr>
          <w:rFonts w:ascii="Book Antiqua" w:hAnsi="Book Antiqua"/>
        </w:rPr>
        <w:t xml:space="preserve">and it was then necessary for the judge to consider whether during any period of the marriage the appellant had acquired a permanent right of residence either as the dependent of his spouse or in his own right as a qualified person with a retained right of residence or a combination of the two. </w:t>
      </w:r>
    </w:p>
    <w:p w:rsidR="005F7065" w:rsidRPr="005F7B5F" w:rsidRDefault="005F7065" w:rsidP="00D336A2">
      <w:pPr>
        <w:pStyle w:val="ListParagraph"/>
        <w:jc w:val="both"/>
        <w:rPr>
          <w:rFonts w:ascii="Book Antiqua" w:hAnsi="Book Antiqua"/>
        </w:rPr>
      </w:pPr>
    </w:p>
    <w:p w:rsidR="00D336A2" w:rsidRPr="005F7B5F" w:rsidRDefault="002B7BEA" w:rsidP="00D336A2">
      <w:pPr>
        <w:pStyle w:val="ListParagraph"/>
        <w:numPr>
          <w:ilvl w:val="0"/>
          <w:numId w:val="1"/>
        </w:numPr>
        <w:jc w:val="both"/>
        <w:rPr>
          <w:rFonts w:ascii="Book Antiqua" w:hAnsi="Book Antiqua"/>
        </w:rPr>
      </w:pPr>
      <w:r w:rsidRPr="005F7B5F">
        <w:rPr>
          <w:rFonts w:ascii="Book Antiqua" w:hAnsi="Book Antiqua"/>
        </w:rPr>
        <w:t>The difficulties presented with the dete</w:t>
      </w:r>
      <w:r w:rsidR="00D336A2" w:rsidRPr="005F7B5F">
        <w:rPr>
          <w:rFonts w:ascii="Book Antiqua" w:hAnsi="Book Antiqua"/>
        </w:rPr>
        <w:t>rmination of the F</w:t>
      </w:r>
      <w:r w:rsidRPr="005F7B5F">
        <w:rPr>
          <w:rFonts w:ascii="Book Antiqua" w:hAnsi="Book Antiqua"/>
        </w:rPr>
        <w:t>irst-tier Tribunal stem from the judge</w:t>
      </w:r>
      <w:r w:rsidR="00D336A2" w:rsidRPr="005F7B5F">
        <w:rPr>
          <w:rFonts w:ascii="Book Antiqua" w:hAnsi="Book Antiqua"/>
        </w:rPr>
        <w:t>’</w:t>
      </w:r>
      <w:r w:rsidRPr="005F7B5F">
        <w:rPr>
          <w:rFonts w:ascii="Book Antiqua" w:hAnsi="Book Antiqua"/>
        </w:rPr>
        <w:t>s failure to draw the distinction between the two applications. Furthermore, whilst Mr Chaudhry, on behalf of the Secretary of State</w:t>
      </w:r>
      <w:r w:rsidR="00D336A2" w:rsidRPr="005F7B5F">
        <w:rPr>
          <w:rFonts w:ascii="Book Antiqua" w:hAnsi="Book Antiqua"/>
        </w:rPr>
        <w:t>,</w:t>
      </w:r>
      <w:r w:rsidRPr="005F7B5F">
        <w:rPr>
          <w:rFonts w:ascii="Book Antiqua" w:hAnsi="Book Antiqua"/>
        </w:rPr>
        <w:t xml:space="preserve"> pointed out that there were no original payslips that covered 5 May 2015, this was in error as there was such a payslip. He also pointed out that there were no bank statements showing payments into the account. However, it is not a requirement of the regulations that a bank statement was required. If, by the production of payslips and P60s the relevant employment is demonstrated, that is an end of the matter. In my judgement, Mr Chaudhry was simply wrong in submitting that little weight should be given to the payslips without any supporting information, presumably in the form of bank statements showing the receipt of income. Unless it was suggested that the relevant payslips and </w:t>
      </w:r>
      <w:r w:rsidR="00D336A2" w:rsidRPr="005F7B5F">
        <w:rPr>
          <w:rFonts w:ascii="Book Antiqua" w:hAnsi="Book Antiqua"/>
        </w:rPr>
        <w:t>P</w:t>
      </w:r>
      <w:r w:rsidRPr="005F7B5F">
        <w:rPr>
          <w:rFonts w:ascii="Book Antiqua" w:hAnsi="Book Antiqua"/>
        </w:rPr>
        <w:t xml:space="preserve">60s were forgeries </w:t>
      </w:r>
      <w:r w:rsidR="005C4288" w:rsidRPr="005F7B5F">
        <w:rPr>
          <w:rFonts w:ascii="Book Antiqua" w:hAnsi="Book Antiqua"/>
        </w:rPr>
        <w:t xml:space="preserve">(presumably requiring the issue of deceit to be put to the appellant in cross examination) there was little reason to doubt the authenticity of the payslips. Of course, payslips may be forged but so too, banknotes. That is not generally a reason to refuse a banknote unless there is some </w:t>
      </w:r>
      <w:r w:rsidR="00D336A2" w:rsidRPr="005F7B5F">
        <w:rPr>
          <w:rFonts w:ascii="Book Antiqua" w:hAnsi="Book Antiqua"/>
        </w:rPr>
        <w:t>other reason for doing so. The First-tier Tribunal J</w:t>
      </w:r>
      <w:r w:rsidR="005C4288" w:rsidRPr="005F7B5F">
        <w:rPr>
          <w:rFonts w:ascii="Book Antiqua" w:hAnsi="Book Antiqua"/>
        </w:rPr>
        <w:t>udge does not appear to have considered whether he could properly reject the authenticity of the payslips (the “originals” of which were produced to him)</w:t>
      </w:r>
      <w:r w:rsidR="00D336A2" w:rsidRPr="005F7B5F">
        <w:rPr>
          <w:rFonts w:ascii="Book Antiqua" w:hAnsi="Book Antiqua"/>
        </w:rPr>
        <w:t>.</w:t>
      </w:r>
    </w:p>
    <w:p w:rsidR="005C4288" w:rsidRPr="005F7B5F" w:rsidRDefault="005C4288" w:rsidP="00D336A2">
      <w:pPr>
        <w:pStyle w:val="ListParagraph"/>
        <w:jc w:val="both"/>
        <w:rPr>
          <w:rFonts w:ascii="Book Antiqua" w:hAnsi="Book Antiqua"/>
        </w:rPr>
      </w:pPr>
      <w:r w:rsidRPr="005F7B5F">
        <w:rPr>
          <w:rFonts w:ascii="Book Antiqua" w:hAnsi="Book Antiqua"/>
        </w:rPr>
        <w:t xml:space="preserve"> </w:t>
      </w:r>
    </w:p>
    <w:p w:rsidR="00D336A2" w:rsidRPr="005F7B5F" w:rsidRDefault="00D336A2" w:rsidP="0083380E">
      <w:pPr>
        <w:pStyle w:val="ListParagraph"/>
        <w:numPr>
          <w:ilvl w:val="0"/>
          <w:numId w:val="1"/>
        </w:numPr>
        <w:jc w:val="both"/>
        <w:rPr>
          <w:rFonts w:ascii="Book Antiqua" w:hAnsi="Book Antiqua"/>
        </w:rPr>
      </w:pPr>
      <w:r w:rsidRPr="005F7B5F">
        <w:rPr>
          <w:rFonts w:ascii="Book Antiqua" w:hAnsi="Book Antiqua"/>
        </w:rPr>
        <w:t>T</w:t>
      </w:r>
      <w:r w:rsidR="005C4288" w:rsidRPr="005F7B5F">
        <w:rPr>
          <w:rFonts w:ascii="Book Antiqua" w:hAnsi="Book Antiqua"/>
        </w:rPr>
        <w:t>he judge rejected the appeal notwithstanding the wage slips and p 60s because there was “</w:t>
      </w:r>
      <w:r w:rsidR="005C4288" w:rsidRPr="005F7B5F">
        <w:rPr>
          <w:rFonts w:ascii="Book Antiqua" w:hAnsi="Book Antiqua"/>
          <w:i/>
        </w:rPr>
        <w:t>no evidence that it relates to genuine employment on the part of the sponsor at the time of their divorce in May 2015</w:t>
      </w:r>
      <w:r w:rsidR="005C4288" w:rsidRPr="005F7B5F">
        <w:rPr>
          <w:rFonts w:ascii="Book Antiqua" w:hAnsi="Book Antiqua"/>
        </w:rPr>
        <w:t>”.</w:t>
      </w:r>
    </w:p>
    <w:p w:rsidR="00D336A2" w:rsidRPr="005F7B5F" w:rsidRDefault="00D336A2" w:rsidP="00D336A2">
      <w:pPr>
        <w:pStyle w:val="ListParagraph"/>
        <w:rPr>
          <w:rFonts w:ascii="Book Antiqua" w:hAnsi="Book Antiqua"/>
        </w:rPr>
      </w:pPr>
    </w:p>
    <w:p w:rsidR="005C4288" w:rsidRPr="005F7B5F" w:rsidRDefault="005C4288" w:rsidP="00D336A2">
      <w:pPr>
        <w:pStyle w:val="ListParagraph"/>
        <w:numPr>
          <w:ilvl w:val="0"/>
          <w:numId w:val="1"/>
        </w:numPr>
        <w:jc w:val="both"/>
        <w:rPr>
          <w:rFonts w:ascii="Book Antiqua" w:hAnsi="Book Antiqua"/>
        </w:rPr>
      </w:pPr>
      <w:r w:rsidRPr="005F7B5F">
        <w:rPr>
          <w:rFonts w:ascii="Book Antiqua" w:hAnsi="Book Antiqua"/>
        </w:rPr>
        <w:t xml:space="preserve"> I have seen the relevant P 60s and payslips and </w:t>
      </w:r>
      <w:r w:rsidR="00D336A2" w:rsidRPr="005F7B5F">
        <w:rPr>
          <w:rFonts w:ascii="Book Antiqua" w:hAnsi="Book Antiqua"/>
        </w:rPr>
        <w:t xml:space="preserve">have </w:t>
      </w:r>
      <w:r w:rsidRPr="005F7B5F">
        <w:rPr>
          <w:rFonts w:ascii="Book Antiqua" w:hAnsi="Book Antiqua"/>
        </w:rPr>
        <w:t>considered the evidence provided by the appellant that he had managed to obtain these documents from his former mother-in-law who had supplied them to him but had felt that she could not provide bank statements demonstrating the contents of her daughter</w:t>
      </w:r>
      <w:r w:rsidR="00D336A2" w:rsidRPr="005F7B5F">
        <w:rPr>
          <w:rFonts w:ascii="Book Antiqua" w:hAnsi="Book Antiqua"/>
        </w:rPr>
        <w:t>’</w:t>
      </w:r>
      <w:r w:rsidRPr="005F7B5F">
        <w:rPr>
          <w:rFonts w:ascii="Book Antiqua" w:hAnsi="Book Antiqua"/>
        </w:rPr>
        <w:t>s bank account without compromising her privacy. Doubtless, there may have been applications that the appellant might have made for a witness summ</w:t>
      </w:r>
      <w:r w:rsidR="00D336A2" w:rsidRPr="005F7B5F">
        <w:rPr>
          <w:rFonts w:ascii="Book Antiqua" w:hAnsi="Book Antiqua"/>
        </w:rPr>
        <w:t>ons or for an order that the HM</w:t>
      </w:r>
      <w:r w:rsidRPr="005F7B5F">
        <w:rPr>
          <w:rFonts w:ascii="Book Antiqua" w:hAnsi="Book Antiqua"/>
        </w:rPr>
        <w:t xml:space="preserve">RC produce documentation. Accordingly, it is undoubtedly the case that further evidence might have been obtained using </w:t>
      </w:r>
      <w:r w:rsidR="00D336A2" w:rsidRPr="005F7B5F">
        <w:rPr>
          <w:rFonts w:ascii="Book Antiqua" w:hAnsi="Book Antiqua"/>
        </w:rPr>
        <w:t>p</w:t>
      </w:r>
      <w:r w:rsidRPr="005F7B5F">
        <w:rPr>
          <w:rFonts w:ascii="Book Antiqua" w:hAnsi="Book Antiqua"/>
        </w:rPr>
        <w:t>rocedural measures available under the Rules. However, the issue before the judge was whether the material that had been produced and the evidence of the appellant as to its provenance could properly be rejected without adverse credibility findings</w:t>
      </w:r>
      <w:r w:rsidR="00D336A2" w:rsidRPr="005F7B5F">
        <w:rPr>
          <w:rFonts w:ascii="Book Antiqua" w:hAnsi="Book Antiqua"/>
        </w:rPr>
        <w:t>,</w:t>
      </w:r>
      <w:r w:rsidRPr="005F7B5F">
        <w:rPr>
          <w:rFonts w:ascii="Book Antiqua" w:hAnsi="Book Antiqua"/>
        </w:rPr>
        <w:t xml:space="preserve"> none of which were made. The internal evidence of the payslips contains no suggestion that they were inauthentic. </w:t>
      </w:r>
    </w:p>
    <w:p w:rsidR="00D336A2" w:rsidRPr="005F7B5F" w:rsidRDefault="00D336A2" w:rsidP="00D336A2">
      <w:pPr>
        <w:pStyle w:val="ListParagraph"/>
        <w:jc w:val="both"/>
        <w:rPr>
          <w:rFonts w:ascii="Book Antiqua" w:hAnsi="Book Antiqua"/>
        </w:rPr>
      </w:pPr>
    </w:p>
    <w:p w:rsidR="00F139D6" w:rsidRPr="005F7B5F" w:rsidRDefault="007E3425" w:rsidP="0083380E">
      <w:pPr>
        <w:pStyle w:val="ListParagraph"/>
        <w:numPr>
          <w:ilvl w:val="0"/>
          <w:numId w:val="1"/>
        </w:numPr>
        <w:jc w:val="both"/>
        <w:rPr>
          <w:rFonts w:ascii="Book Antiqua" w:hAnsi="Book Antiqua"/>
        </w:rPr>
      </w:pPr>
      <w:r w:rsidRPr="005F7B5F">
        <w:rPr>
          <w:rFonts w:ascii="Book Antiqua" w:hAnsi="Book Antiqua"/>
        </w:rPr>
        <w:t xml:space="preserve">In the Immigration </w:t>
      </w:r>
      <w:r w:rsidRPr="005F7B5F">
        <w:rPr>
          <w:rFonts w:ascii="Book Antiqua" w:hAnsi="Book Antiqua"/>
          <w:i/>
        </w:rPr>
        <w:t>pro forma</w:t>
      </w:r>
      <w:r w:rsidRPr="005F7B5F">
        <w:rPr>
          <w:rFonts w:ascii="Book Antiqua" w:hAnsi="Book Antiqua"/>
        </w:rPr>
        <w:t xml:space="preserve"> </w:t>
      </w:r>
      <w:r w:rsidR="00D336A2" w:rsidRPr="005F7B5F">
        <w:rPr>
          <w:rFonts w:ascii="Book Antiqua" w:hAnsi="Book Antiqua"/>
        </w:rPr>
        <w:t>(the ECD</w:t>
      </w:r>
      <w:r w:rsidRPr="005F7B5F">
        <w:rPr>
          <w:rFonts w:ascii="Book Antiqua" w:hAnsi="Book Antiqua"/>
        </w:rPr>
        <w:t>.3138</w:t>
      </w:r>
      <w:r w:rsidR="00D336A2" w:rsidRPr="005F7B5F">
        <w:rPr>
          <w:rFonts w:ascii="Book Antiqua" w:hAnsi="Book Antiqua"/>
        </w:rPr>
        <w:t>)</w:t>
      </w:r>
      <w:r w:rsidRPr="005F7B5F">
        <w:rPr>
          <w:rFonts w:ascii="Book Antiqua" w:hAnsi="Book Antiqua"/>
        </w:rPr>
        <w:t xml:space="preserve"> it is recorded that the appellant applied for a residence card on 5 September 2011. The application was refused but his appeal against that decision was allowed on 12 March 2012. Given the apparent acceptance that the appellant was married on 31 August 2011, it</w:t>
      </w:r>
      <w:r w:rsidR="00D336A2" w:rsidRPr="005F7B5F">
        <w:rPr>
          <w:rFonts w:ascii="Book Antiqua" w:hAnsi="Book Antiqua"/>
        </w:rPr>
        <w:t xml:space="preserve"> is possible to infer that th</w:t>
      </w:r>
      <w:r w:rsidR="00F139D6" w:rsidRPr="005F7B5F">
        <w:rPr>
          <w:rFonts w:ascii="Book Antiqua" w:hAnsi="Book Antiqua"/>
        </w:rPr>
        <w:t>is</w:t>
      </w:r>
      <w:r w:rsidR="00D336A2" w:rsidRPr="005F7B5F">
        <w:rPr>
          <w:rFonts w:ascii="Book Antiqua" w:hAnsi="Book Antiqua"/>
        </w:rPr>
        <w:t xml:space="preserve"> F</w:t>
      </w:r>
      <w:r w:rsidRPr="005F7B5F">
        <w:rPr>
          <w:rFonts w:ascii="Book Antiqua" w:hAnsi="Book Antiqua"/>
        </w:rPr>
        <w:t xml:space="preserve">irst-tier Tribunal judge was satisfied this was a genuine marriage and </w:t>
      </w:r>
      <w:r w:rsidR="00F139D6" w:rsidRPr="005F7B5F">
        <w:rPr>
          <w:rFonts w:ascii="Book Antiqua" w:hAnsi="Book Antiqua"/>
        </w:rPr>
        <w:t>that his spouse was exercising T</w:t>
      </w:r>
      <w:r w:rsidRPr="005F7B5F">
        <w:rPr>
          <w:rFonts w:ascii="Book Antiqua" w:hAnsi="Book Antiqua"/>
        </w:rPr>
        <w:t>reaty rights</w:t>
      </w:r>
      <w:r w:rsidR="00F139D6" w:rsidRPr="005F7B5F">
        <w:rPr>
          <w:rFonts w:ascii="Book Antiqua" w:hAnsi="Book Antiqua"/>
        </w:rPr>
        <w:t>,</w:t>
      </w:r>
      <w:r w:rsidRPr="005F7B5F">
        <w:rPr>
          <w:rFonts w:ascii="Book Antiqua" w:hAnsi="Book Antiqua"/>
        </w:rPr>
        <w:t xml:space="preserve"> at least at the date the appeal was allowed. The result must have been that the appellant was granted with a residence card in accordance with the judgment. </w:t>
      </w:r>
    </w:p>
    <w:p w:rsidR="00F139D6" w:rsidRPr="005F7B5F" w:rsidRDefault="00F139D6" w:rsidP="00F139D6">
      <w:pPr>
        <w:pStyle w:val="ListParagraph"/>
        <w:rPr>
          <w:rFonts w:ascii="Book Antiqua" w:hAnsi="Book Antiqua"/>
        </w:rPr>
      </w:pPr>
    </w:p>
    <w:p w:rsidR="00631BA5" w:rsidRPr="005F7B5F" w:rsidRDefault="007E3425" w:rsidP="0083380E">
      <w:pPr>
        <w:pStyle w:val="ListParagraph"/>
        <w:numPr>
          <w:ilvl w:val="0"/>
          <w:numId w:val="1"/>
        </w:numPr>
        <w:jc w:val="both"/>
        <w:rPr>
          <w:rFonts w:ascii="Book Antiqua" w:hAnsi="Book Antiqua"/>
        </w:rPr>
      </w:pPr>
      <w:r w:rsidRPr="005F7B5F">
        <w:rPr>
          <w:rFonts w:ascii="Book Antiqua" w:hAnsi="Book Antiqua"/>
        </w:rPr>
        <w:t>Thereafter, the bundle befo</w:t>
      </w:r>
      <w:r w:rsidR="00F139D6" w:rsidRPr="005F7B5F">
        <w:rPr>
          <w:rFonts w:ascii="Book Antiqua" w:hAnsi="Book Antiqua"/>
        </w:rPr>
        <w:t>re the First-tier Tribunal J</w:t>
      </w:r>
      <w:r w:rsidRPr="005F7B5F">
        <w:rPr>
          <w:rFonts w:ascii="Book Antiqua" w:hAnsi="Book Antiqua"/>
        </w:rPr>
        <w:t xml:space="preserve">udge </w:t>
      </w:r>
      <w:r w:rsidR="00F139D6" w:rsidRPr="005F7B5F">
        <w:rPr>
          <w:rFonts w:ascii="Book Antiqua" w:hAnsi="Book Antiqua"/>
        </w:rPr>
        <w:t xml:space="preserve">in the appeal before me </w:t>
      </w:r>
      <w:r w:rsidRPr="005F7B5F">
        <w:rPr>
          <w:rFonts w:ascii="Book Antiqua" w:hAnsi="Book Antiqua"/>
        </w:rPr>
        <w:t>contains payslips which cover the uninterrupted period from</w:t>
      </w:r>
      <w:r w:rsidR="00E27A6F" w:rsidRPr="005F7B5F">
        <w:rPr>
          <w:rFonts w:ascii="Book Antiqua" w:hAnsi="Book Antiqua"/>
        </w:rPr>
        <w:t xml:space="preserve"> 30 April 2012 to 31 May 2015.  It would have been a formidable task for a forger to create the sequence of these documents, making appropriate calculations for total pay, taxable pay, NI contributions from employer and employee, deductions for tax, NI, gross pay, net pay, applying a stated tax code, </w:t>
      </w:r>
      <w:r w:rsidRPr="005F7B5F">
        <w:rPr>
          <w:rFonts w:ascii="Book Antiqua" w:hAnsi="Book Antiqua"/>
        </w:rPr>
        <w:t xml:space="preserve">[pages </w:t>
      </w:r>
      <w:r w:rsidR="00E27A6F" w:rsidRPr="005F7B5F">
        <w:rPr>
          <w:rFonts w:ascii="Book Antiqua" w:hAnsi="Book Antiqua"/>
        </w:rPr>
        <w:t xml:space="preserve">30 </w:t>
      </w:r>
      <w:r w:rsidRPr="005F7B5F">
        <w:rPr>
          <w:rFonts w:ascii="Book Antiqua" w:hAnsi="Book Antiqua"/>
        </w:rPr>
        <w:t xml:space="preserve">to </w:t>
      </w:r>
      <w:r w:rsidR="00E27A6F" w:rsidRPr="005F7B5F">
        <w:rPr>
          <w:rFonts w:ascii="Book Antiqua" w:hAnsi="Book Antiqua"/>
        </w:rPr>
        <w:t>69</w:t>
      </w:r>
      <w:r w:rsidRPr="005F7B5F">
        <w:rPr>
          <w:rFonts w:ascii="Book Antiqua" w:hAnsi="Book Antiqua"/>
        </w:rPr>
        <w:t xml:space="preserve">]. </w:t>
      </w:r>
      <w:r w:rsidR="00E27A6F" w:rsidRPr="005F7B5F">
        <w:rPr>
          <w:rFonts w:ascii="Book Antiqua" w:hAnsi="Book Antiqua"/>
        </w:rPr>
        <w:t xml:space="preserve">Each of the 39 pages would then have to be carried over to the next with adjustments to the cumulative totals.  </w:t>
      </w:r>
      <w:r w:rsidRPr="005F7B5F">
        <w:rPr>
          <w:rFonts w:ascii="Book Antiqua" w:hAnsi="Book Antiqua"/>
        </w:rPr>
        <w:t xml:space="preserve">Relevant </w:t>
      </w:r>
      <w:r w:rsidR="00F139D6" w:rsidRPr="005F7B5F">
        <w:rPr>
          <w:rFonts w:ascii="Book Antiqua" w:hAnsi="Book Antiqua"/>
        </w:rPr>
        <w:t>P</w:t>
      </w:r>
      <w:r w:rsidRPr="005F7B5F">
        <w:rPr>
          <w:rFonts w:ascii="Book Antiqua" w:hAnsi="Book Antiqua"/>
        </w:rPr>
        <w:t>60s cover the period 5 April 2012 to 5 April 2015</w:t>
      </w:r>
      <w:r w:rsidR="00476332" w:rsidRPr="005F7B5F">
        <w:rPr>
          <w:rFonts w:ascii="Book Antiqua" w:hAnsi="Book Antiqua"/>
        </w:rPr>
        <w:t>, [pages 57, 44 and 29]</w:t>
      </w:r>
      <w:r w:rsidRPr="005F7B5F">
        <w:rPr>
          <w:rFonts w:ascii="Book Antiqua" w:hAnsi="Book Antiqua"/>
        </w:rPr>
        <w:t xml:space="preserve">. </w:t>
      </w:r>
      <w:r w:rsidR="00476332" w:rsidRPr="005F7B5F">
        <w:rPr>
          <w:rFonts w:ascii="Book Antiqua" w:hAnsi="Book Antiqua"/>
        </w:rPr>
        <w:t xml:space="preserve">There were tax returns and, at p.90, a document from HMRC.  </w:t>
      </w:r>
    </w:p>
    <w:p w:rsidR="00F139D6" w:rsidRPr="005F7B5F" w:rsidRDefault="00F139D6" w:rsidP="00F139D6">
      <w:pPr>
        <w:pStyle w:val="ListParagraph"/>
        <w:jc w:val="both"/>
        <w:rPr>
          <w:rFonts w:ascii="Book Antiqua" w:hAnsi="Book Antiqua"/>
        </w:rPr>
      </w:pPr>
    </w:p>
    <w:p w:rsidR="00631BA5" w:rsidRPr="005F7B5F" w:rsidRDefault="00631BA5" w:rsidP="0083380E">
      <w:pPr>
        <w:pStyle w:val="ListParagraph"/>
        <w:numPr>
          <w:ilvl w:val="0"/>
          <w:numId w:val="1"/>
        </w:numPr>
        <w:jc w:val="both"/>
        <w:rPr>
          <w:rFonts w:ascii="Book Antiqua" w:hAnsi="Book Antiqua"/>
        </w:rPr>
      </w:pPr>
      <w:r w:rsidRPr="005F7B5F">
        <w:rPr>
          <w:rFonts w:ascii="Book Antiqua" w:hAnsi="Book Antiqua"/>
        </w:rPr>
        <w:t xml:space="preserve">In the circumstances I am satisfied that the reasoning of the </w:t>
      </w:r>
      <w:r w:rsidR="00F139D6" w:rsidRPr="005F7B5F">
        <w:rPr>
          <w:rFonts w:ascii="Book Antiqua" w:hAnsi="Book Antiqua"/>
        </w:rPr>
        <w:t>First-tier Tribunal J</w:t>
      </w:r>
      <w:r w:rsidRPr="005F7B5F">
        <w:rPr>
          <w:rFonts w:ascii="Book Antiqua" w:hAnsi="Book Antiqua"/>
        </w:rPr>
        <w:t xml:space="preserve">udge discloses an error of law and I set aside the determination. </w:t>
      </w:r>
    </w:p>
    <w:p w:rsidR="00476332" w:rsidRPr="005F7B5F" w:rsidRDefault="00476332" w:rsidP="00476332">
      <w:pPr>
        <w:pStyle w:val="ListParagraph"/>
        <w:jc w:val="both"/>
        <w:rPr>
          <w:rFonts w:ascii="Book Antiqua" w:hAnsi="Book Antiqua"/>
        </w:rPr>
      </w:pPr>
    </w:p>
    <w:p w:rsidR="00631BA5" w:rsidRPr="005F7B5F" w:rsidRDefault="00631BA5" w:rsidP="0083380E">
      <w:pPr>
        <w:pStyle w:val="ListParagraph"/>
        <w:numPr>
          <w:ilvl w:val="0"/>
          <w:numId w:val="1"/>
        </w:numPr>
        <w:jc w:val="both"/>
        <w:rPr>
          <w:rFonts w:ascii="Book Antiqua" w:hAnsi="Book Antiqua"/>
        </w:rPr>
      </w:pPr>
      <w:r w:rsidRPr="005F7B5F">
        <w:rPr>
          <w:rFonts w:ascii="Book Antiqua" w:hAnsi="Book Antiqua"/>
        </w:rPr>
        <w:t xml:space="preserve">Properly, Ms Isherwood did not suggest that the relevant payslips were forgeries or that there was </w:t>
      </w:r>
      <w:proofErr w:type="spellStart"/>
      <w:r w:rsidRPr="005F7B5F">
        <w:rPr>
          <w:rFonts w:ascii="Book Antiqua" w:hAnsi="Book Antiqua"/>
        </w:rPr>
        <w:t>not</w:t>
      </w:r>
      <w:proofErr w:type="spellEnd"/>
      <w:r w:rsidRPr="005F7B5F">
        <w:rPr>
          <w:rFonts w:ascii="Book Antiqua" w:hAnsi="Book Antiqua"/>
        </w:rPr>
        <w:t xml:space="preserve"> evidence that covered the appellant’s wife’s employment on 5 May 2015. Looking at the totality of the evidence in support of the appellant’s claim that his wife was employed continuously until the date of divorce and</w:t>
      </w:r>
      <w:r w:rsidR="00F139D6" w:rsidRPr="005F7B5F">
        <w:rPr>
          <w:rFonts w:ascii="Book Antiqua" w:hAnsi="Book Antiqua"/>
        </w:rPr>
        <w:t>,</w:t>
      </w:r>
      <w:r w:rsidRPr="005F7B5F">
        <w:rPr>
          <w:rFonts w:ascii="Book Antiqua" w:hAnsi="Book Antiqua"/>
        </w:rPr>
        <w:t xml:space="preserve"> absent any suggestion that the entirety of this document</w:t>
      </w:r>
      <w:r w:rsidR="00F139D6" w:rsidRPr="005F7B5F">
        <w:rPr>
          <w:rFonts w:ascii="Book Antiqua" w:hAnsi="Book Antiqua"/>
        </w:rPr>
        <w:t xml:space="preserve">ation was </w:t>
      </w:r>
      <w:r w:rsidRPr="005F7B5F">
        <w:rPr>
          <w:rFonts w:ascii="Book Antiqua" w:hAnsi="Book Antiqua"/>
        </w:rPr>
        <w:t xml:space="preserve">a forgery, it is not permissible to reject the material as unreliable. It is nothing to the point that other evidence might have been provided. Accordingly, the only live issue before the first-tier Tribunal and for me in relation to </w:t>
      </w:r>
      <w:proofErr w:type="spellStart"/>
      <w:r w:rsidRPr="005F7B5F">
        <w:rPr>
          <w:rFonts w:ascii="Book Antiqua" w:hAnsi="Book Antiqua"/>
        </w:rPr>
        <w:t>reg</w:t>
      </w:r>
      <w:r w:rsidR="00F139D6" w:rsidRPr="005F7B5F">
        <w:rPr>
          <w:rFonts w:ascii="Book Antiqua" w:hAnsi="Book Antiqua"/>
        </w:rPr>
        <w:t>s</w:t>
      </w:r>
      <w:proofErr w:type="spellEnd"/>
      <w:r w:rsidR="00F139D6" w:rsidRPr="005F7B5F">
        <w:rPr>
          <w:rFonts w:ascii="Book Antiqua" w:hAnsi="Book Antiqua"/>
        </w:rPr>
        <w:t xml:space="preserve">. 10 (5) </w:t>
      </w:r>
      <w:r w:rsidRPr="005F7B5F">
        <w:rPr>
          <w:rFonts w:ascii="Book Antiqua" w:hAnsi="Book Antiqua"/>
        </w:rPr>
        <w:t>and 10</w:t>
      </w:r>
      <w:r w:rsidR="00F139D6" w:rsidRPr="005F7B5F">
        <w:rPr>
          <w:rFonts w:ascii="Book Antiqua" w:hAnsi="Book Antiqua"/>
        </w:rPr>
        <w:t>(6)</w:t>
      </w:r>
      <w:r w:rsidRPr="005F7B5F">
        <w:rPr>
          <w:rFonts w:ascii="Book Antiqua" w:hAnsi="Book Antiqua"/>
        </w:rPr>
        <w:t xml:space="preserve"> is whether the appellant established on balance of probabilities that his wife was working on 5 May 20</w:t>
      </w:r>
      <w:r w:rsidR="00F139D6" w:rsidRPr="005F7B5F">
        <w:rPr>
          <w:rFonts w:ascii="Book Antiqua" w:hAnsi="Book Antiqua"/>
        </w:rPr>
        <w:t>15. I am satisfied that she was.  T</w:t>
      </w:r>
      <w:r w:rsidRPr="005F7B5F">
        <w:rPr>
          <w:rFonts w:ascii="Book Antiqua" w:hAnsi="Book Antiqua"/>
        </w:rPr>
        <w:t>he appeal is accordingly allowed under reg</w:t>
      </w:r>
      <w:r w:rsidR="00F139D6" w:rsidRPr="005F7B5F">
        <w:rPr>
          <w:rFonts w:ascii="Book Antiqua" w:hAnsi="Book Antiqua"/>
        </w:rPr>
        <w:t xml:space="preserve">. </w:t>
      </w:r>
      <w:r w:rsidRPr="005F7B5F">
        <w:rPr>
          <w:rFonts w:ascii="Book Antiqua" w:hAnsi="Book Antiqua"/>
        </w:rPr>
        <w:t>10 (</w:t>
      </w:r>
      <w:r w:rsidR="00F139D6" w:rsidRPr="005F7B5F">
        <w:rPr>
          <w:rFonts w:ascii="Book Antiqua" w:hAnsi="Book Antiqua"/>
        </w:rPr>
        <w:t>5</w:t>
      </w:r>
      <w:r w:rsidRPr="005F7B5F">
        <w:rPr>
          <w:rFonts w:ascii="Book Antiqua" w:hAnsi="Book Antiqua"/>
        </w:rPr>
        <w:t>).</w:t>
      </w:r>
    </w:p>
    <w:p w:rsidR="00F139D6" w:rsidRPr="005F7B5F" w:rsidRDefault="00F139D6" w:rsidP="00F139D6">
      <w:pPr>
        <w:pStyle w:val="ListParagraph"/>
        <w:jc w:val="both"/>
        <w:rPr>
          <w:rFonts w:ascii="Book Antiqua" w:hAnsi="Book Antiqua"/>
        </w:rPr>
      </w:pPr>
    </w:p>
    <w:p w:rsidR="00A865C7" w:rsidRPr="005F7B5F" w:rsidRDefault="00631BA5" w:rsidP="0083380E">
      <w:pPr>
        <w:pStyle w:val="ListParagraph"/>
        <w:numPr>
          <w:ilvl w:val="0"/>
          <w:numId w:val="1"/>
        </w:numPr>
        <w:jc w:val="both"/>
        <w:rPr>
          <w:rFonts w:ascii="Book Antiqua" w:hAnsi="Book Antiqua"/>
        </w:rPr>
      </w:pPr>
      <w:r w:rsidRPr="005F7B5F">
        <w:rPr>
          <w:rFonts w:ascii="Book Antiqua" w:hAnsi="Book Antiqua"/>
        </w:rPr>
        <w:t>This has a positive impact upon his claim under reg</w:t>
      </w:r>
      <w:r w:rsidR="00F139D6" w:rsidRPr="005F7B5F">
        <w:rPr>
          <w:rFonts w:ascii="Book Antiqua" w:hAnsi="Book Antiqua"/>
        </w:rPr>
        <w:t>.</w:t>
      </w:r>
      <w:r w:rsidRPr="005F7B5F">
        <w:rPr>
          <w:rFonts w:ascii="Book Antiqua" w:hAnsi="Book Antiqua"/>
        </w:rPr>
        <w:t xml:space="preserve">15. The appellant is able to rely upon the previous determination and the continuous record of employment of his spouse to cover the period 31 August 2011 to 5 May 2015, a period of less than four years. Thereafter, he was entitled to a retained right of residence whether or not he had been granted the residence card </w:t>
      </w:r>
      <w:r w:rsidR="00F139D6" w:rsidRPr="005F7B5F">
        <w:rPr>
          <w:rFonts w:ascii="Book Antiqua" w:hAnsi="Book Antiqua"/>
        </w:rPr>
        <w:t>(</w:t>
      </w:r>
      <w:r w:rsidRPr="005F7B5F">
        <w:rPr>
          <w:rFonts w:ascii="Book Antiqua" w:hAnsi="Book Antiqua"/>
        </w:rPr>
        <w:t>which</w:t>
      </w:r>
      <w:r w:rsidR="00F139D6" w:rsidRPr="005F7B5F">
        <w:rPr>
          <w:rFonts w:ascii="Book Antiqua" w:hAnsi="Book Antiqua"/>
        </w:rPr>
        <w:t xml:space="preserve"> recognises</w:t>
      </w:r>
      <w:r w:rsidRPr="005F7B5F">
        <w:rPr>
          <w:rFonts w:ascii="Book Antiqua" w:hAnsi="Book Antiqua"/>
        </w:rPr>
        <w:t xml:space="preserve"> that entitlement but does not create it). Consequently, his work which is fully documented between the period 5 May 2015 and 31 August 2016 </w:t>
      </w:r>
      <w:r w:rsidR="00F139D6" w:rsidRPr="005F7B5F">
        <w:rPr>
          <w:rFonts w:ascii="Book Antiqua" w:hAnsi="Book Antiqua"/>
        </w:rPr>
        <w:t>(on which date</w:t>
      </w:r>
      <w:r w:rsidRPr="005F7B5F">
        <w:rPr>
          <w:rFonts w:ascii="Book Antiqua" w:hAnsi="Book Antiqua"/>
        </w:rPr>
        <w:t xml:space="preserve"> he had spent five years in the United Kingdom exercising rights</w:t>
      </w:r>
      <w:r w:rsidR="00F139D6" w:rsidRPr="005F7B5F">
        <w:rPr>
          <w:rFonts w:ascii="Book Antiqua" w:hAnsi="Book Antiqua"/>
        </w:rPr>
        <w:t>)</w:t>
      </w:r>
      <w:r w:rsidRPr="005F7B5F">
        <w:rPr>
          <w:rFonts w:ascii="Book Antiqua" w:hAnsi="Book Antiqua"/>
        </w:rPr>
        <w:t xml:space="preserve"> </w:t>
      </w:r>
      <w:r w:rsidR="004662D5" w:rsidRPr="005F7B5F">
        <w:rPr>
          <w:rFonts w:ascii="Book Antiqua" w:hAnsi="Book Antiqua"/>
        </w:rPr>
        <w:t>resulted in his acquiring</w:t>
      </w:r>
      <w:r w:rsidRPr="005F7B5F">
        <w:rPr>
          <w:rFonts w:ascii="Book Antiqua" w:hAnsi="Book Antiqua"/>
        </w:rPr>
        <w:t xml:space="preserve"> a permanent right of residence</w:t>
      </w:r>
      <w:r w:rsidR="004662D5" w:rsidRPr="005F7B5F">
        <w:rPr>
          <w:rFonts w:ascii="Book Antiqua" w:hAnsi="Book Antiqua"/>
        </w:rPr>
        <w:t>.  T</w:t>
      </w:r>
      <w:r w:rsidRPr="005F7B5F">
        <w:rPr>
          <w:rFonts w:ascii="Book Antiqua" w:hAnsi="Book Antiqua"/>
        </w:rPr>
        <w:t>his was clear from the material before</w:t>
      </w:r>
      <w:r w:rsidR="004662D5" w:rsidRPr="005F7B5F">
        <w:rPr>
          <w:rFonts w:ascii="Book Antiqua" w:hAnsi="Book Antiqua"/>
        </w:rPr>
        <w:t xml:space="preserve"> the First-tier Tribunal J</w:t>
      </w:r>
      <w:r w:rsidRPr="005F7B5F">
        <w:rPr>
          <w:rFonts w:ascii="Book Antiqua" w:hAnsi="Book Antiqua"/>
        </w:rPr>
        <w:t xml:space="preserve">udge when he determined the </w:t>
      </w:r>
      <w:r w:rsidR="00A865C7" w:rsidRPr="005F7B5F">
        <w:rPr>
          <w:rFonts w:ascii="Book Antiqua" w:hAnsi="Book Antiqua"/>
        </w:rPr>
        <w:t>appeal on 29 June 2017.</w:t>
      </w:r>
    </w:p>
    <w:p w:rsidR="004662D5" w:rsidRPr="005F7B5F" w:rsidRDefault="004662D5" w:rsidP="004662D5">
      <w:pPr>
        <w:pStyle w:val="ListParagraph"/>
        <w:jc w:val="both"/>
        <w:rPr>
          <w:rFonts w:ascii="Book Antiqua" w:hAnsi="Book Antiqua"/>
        </w:rPr>
      </w:pPr>
    </w:p>
    <w:p w:rsidR="00A865C7" w:rsidRPr="005F7B5F" w:rsidRDefault="00A865C7" w:rsidP="0083380E">
      <w:pPr>
        <w:pStyle w:val="ListParagraph"/>
        <w:numPr>
          <w:ilvl w:val="0"/>
          <w:numId w:val="1"/>
        </w:numPr>
        <w:jc w:val="both"/>
        <w:rPr>
          <w:rFonts w:ascii="Book Antiqua" w:hAnsi="Book Antiqua"/>
        </w:rPr>
      </w:pPr>
      <w:r w:rsidRPr="005F7B5F">
        <w:rPr>
          <w:rFonts w:ascii="Book Antiqua" w:hAnsi="Book Antiqua"/>
        </w:rPr>
        <w:t>Accordingly, I am satisfied that the appellant is also entitled to a permanent right of residence because he meets the requirements of reg</w:t>
      </w:r>
      <w:r w:rsidR="004662D5" w:rsidRPr="005F7B5F">
        <w:rPr>
          <w:rFonts w:ascii="Book Antiqua" w:hAnsi="Book Antiqua"/>
        </w:rPr>
        <w:t>.</w:t>
      </w:r>
      <w:r w:rsidRPr="005F7B5F">
        <w:rPr>
          <w:rFonts w:ascii="Book Antiqua" w:hAnsi="Book Antiqua"/>
        </w:rPr>
        <w:t xml:space="preserve">15 (1) (f). I allow the appeal against the respondent’s refusal to issue a </w:t>
      </w:r>
      <w:proofErr w:type="spellStart"/>
      <w:r w:rsidRPr="005F7B5F">
        <w:rPr>
          <w:rFonts w:ascii="Book Antiqua" w:hAnsi="Book Antiqua"/>
        </w:rPr>
        <w:t>a</w:t>
      </w:r>
      <w:proofErr w:type="spellEnd"/>
      <w:r w:rsidRPr="005F7B5F">
        <w:rPr>
          <w:rFonts w:ascii="Book Antiqua" w:hAnsi="Book Antiqua"/>
        </w:rPr>
        <w:t xml:space="preserve"> permanent residence card.</w:t>
      </w:r>
    </w:p>
    <w:p w:rsidR="00A865C7" w:rsidRPr="005F7B5F" w:rsidRDefault="00A865C7" w:rsidP="004662D5">
      <w:pPr>
        <w:ind w:left="360"/>
        <w:jc w:val="both"/>
        <w:rPr>
          <w:rFonts w:ascii="Book Antiqua" w:hAnsi="Book Antiqua"/>
        </w:rPr>
      </w:pPr>
    </w:p>
    <w:p w:rsidR="004662D5" w:rsidRPr="005F7B5F" w:rsidRDefault="004662D5" w:rsidP="004662D5">
      <w:pPr>
        <w:ind w:left="360"/>
        <w:jc w:val="both"/>
        <w:rPr>
          <w:rFonts w:ascii="Book Antiqua" w:hAnsi="Book Antiqua"/>
          <w:u w:val="single"/>
        </w:rPr>
      </w:pPr>
      <w:r w:rsidRPr="005F7B5F">
        <w:rPr>
          <w:rFonts w:ascii="Book Antiqua" w:hAnsi="Book Antiqua"/>
          <w:u w:val="single"/>
        </w:rPr>
        <w:t>DECISION</w:t>
      </w:r>
    </w:p>
    <w:p w:rsidR="004662D5" w:rsidRPr="005F7B5F" w:rsidRDefault="004662D5" w:rsidP="004662D5">
      <w:pPr>
        <w:ind w:left="360"/>
        <w:jc w:val="both"/>
        <w:rPr>
          <w:rFonts w:ascii="Book Antiqua" w:hAnsi="Book Antiqua"/>
          <w:u w:val="single"/>
        </w:rPr>
      </w:pPr>
    </w:p>
    <w:p w:rsidR="004662D5" w:rsidRPr="005F7B5F" w:rsidRDefault="004662D5" w:rsidP="004662D5">
      <w:pPr>
        <w:pStyle w:val="ListParagraph"/>
        <w:numPr>
          <w:ilvl w:val="0"/>
          <w:numId w:val="2"/>
        </w:numPr>
        <w:jc w:val="both"/>
        <w:rPr>
          <w:rFonts w:ascii="Book Antiqua" w:hAnsi="Book Antiqua"/>
        </w:rPr>
      </w:pPr>
      <w:r w:rsidRPr="005F7B5F">
        <w:rPr>
          <w:rFonts w:ascii="Book Antiqua" w:hAnsi="Book Antiqua"/>
        </w:rPr>
        <w:t>T</w:t>
      </w:r>
      <w:r w:rsidR="00A865C7" w:rsidRPr="005F7B5F">
        <w:rPr>
          <w:rFonts w:ascii="Book Antiqua" w:hAnsi="Book Antiqua"/>
        </w:rPr>
        <w:t xml:space="preserve">he </w:t>
      </w:r>
      <w:r w:rsidRPr="005F7B5F">
        <w:rPr>
          <w:rFonts w:ascii="Book Antiqua" w:hAnsi="Book Antiqua"/>
        </w:rPr>
        <w:t>First-tier Tribunal J</w:t>
      </w:r>
      <w:r w:rsidR="00A865C7" w:rsidRPr="005F7B5F">
        <w:rPr>
          <w:rFonts w:ascii="Book Antiqua" w:hAnsi="Book Antiqua"/>
        </w:rPr>
        <w:t>udge made a material error of law and I set aside his determination of the appeal.</w:t>
      </w:r>
    </w:p>
    <w:p w:rsidR="004662D5" w:rsidRPr="005F7B5F" w:rsidRDefault="00A865C7" w:rsidP="004662D5">
      <w:pPr>
        <w:pStyle w:val="ListParagraph"/>
        <w:numPr>
          <w:ilvl w:val="0"/>
          <w:numId w:val="2"/>
        </w:numPr>
        <w:jc w:val="both"/>
        <w:rPr>
          <w:rFonts w:ascii="Book Antiqua" w:hAnsi="Book Antiqua"/>
        </w:rPr>
      </w:pPr>
      <w:r w:rsidRPr="005F7B5F">
        <w:rPr>
          <w:rFonts w:ascii="Book Antiqua" w:hAnsi="Book Antiqua"/>
        </w:rPr>
        <w:t xml:space="preserve">I substitute a decision allowing the appellant’s appeal against the refusal of the respondent </w:t>
      </w:r>
      <w:r w:rsidR="004662D5" w:rsidRPr="005F7B5F">
        <w:rPr>
          <w:rFonts w:ascii="Book Antiqua" w:hAnsi="Book Antiqua"/>
        </w:rPr>
        <w:t xml:space="preserve">to </w:t>
      </w:r>
      <w:r w:rsidRPr="005F7B5F">
        <w:rPr>
          <w:rFonts w:ascii="Book Antiqua" w:hAnsi="Book Antiqua"/>
        </w:rPr>
        <w:t xml:space="preserve">issue the appellant with a residence card acknowledging his right to a retained right of residence pursuant to </w:t>
      </w:r>
      <w:proofErr w:type="spellStart"/>
      <w:r w:rsidRPr="005F7B5F">
        <w:rPr>
          <w:rFonts w:ascii="Book Antiqua" w:hAnsi="Book Antiqua"/>
        </w:rPr>
        <w:t>reg</w:t>
      </w:r>
      <w:r w:rsidR="004662D5" w:rsidRPr="005F7B5F">
        <w:rPr>
          <w:rFonts w:ascii="Book Antiqua" w:hAnsi="Book Antiqua"/>
        </w:rPr>
        <w:t>s</w:t>
      </w:r>
      <w:proofErr w:type="spellEnd"/>
      <w:r w:rsidR="004662D5" w:rsidRPr="005F7B5F">
        <w:rPr>
          <w:rFonts w:ascii="Book Antiqua" w:hAnsi="Book Antiqua"/>
        </w:rPr>
        <w:t xml:space="preserve"> </w:t>
      </w:r>
      <w:r w:rsidRPr="005F7B5F">
        <w:rPr>
          <w:rFonts w:ascii="Book Antiqua" w:hAnsi="Book Antiqua"/>
        </w:rPr>
        <w:t>10 (</w:t>
      </w:r>
      <w:r w:rsidR="004662D5" w:rsidRPr="005F7B5F">
        <w:rPr>
          <w:rFonts w:ascii="Book Antiqua" w:hAnsi="Book Antiqua"/>
        </w:rPr>
        <w:t>5</w:t>
      </w:r>
      <w:r w:rsidRPr="005F7B5F">
        <w:rPr>
          <w:rFonts w:ascii="Book Antiqua" w:hAnsi="Book Antiqua"/>
        </w:rPr>
        <w:t>) and (6).</w:t>
      </w:r>
    </w:p>
    <w:p w:rsidR="00E67A1B" w:rsidRPr="005F7B5F" w:rsidRDefault="00A865C7" w:rsidP="004662D5">
      <w:pPr>
        <w:pStyle w:val="ListParagraph"/>
        <w:numPr>
          <w:ilvl w:val="0"/>
          <w:numId w:val="2"/>
        </w:numPr>
        <w:jc w:val="both"/>
        <w:rPr>
          <w:rFonts w:ascii="Book Antiqua" w:hAnsi="Book Antiqua"/>
        </w:rPr>
      </w:pPr>
      <w:r w:rsidRPr="005F7B5F">
        <w:rPr>
          <w:rFonts w:ascii="Book Antiqua" w:hAnsi="Book Antiqua"/>
        </w:rPr>
        <w:t xml:space="preserve">I substitute a decision allowing the appellant’s appeal against the refusal of the respondent to issue the appellant with a permanent residence card pursuant to regulation 15 (1) (f). </w:t>
      </w:r>
    </w:p>
    <w:p w:rsidR="004662D5" w:rsidRPr="005F7B5F" w:rsidRDefault="004662D5" w:rsidP="004662D5">
      <w:pPr>
        <w:pStyle w:val="ListParagraph"/>
        <w:ind w:left="1440"/>
        <w:jc w:val="both"/>
        <w:rPr>
          <w:rFonts w:ascii="Book Antiqua" w:hAnsi="Book Antiqua"/>
        </w:rPr>
      </w:pPr>
    </w:p>
    <w:p w:rsidR="005F7B5F" w:rsidRDefault="005F7B5F" w:rsidP="004662D5">
      <w:pPr>
        <w:pStyle w:val="ListParagraph"/>
        <w:ind w:left="1440"/>
        <w:jc w:val="right"/>
        <w:rPr>
          <w:rFonts w:ascii="Book Antiqua" w:hAnsi="Book Antiqua"/>
        </w:rPr>
      </w:pPr>
    </w:p>
    <w:p w:rsidR="004662D5" w:rsidRPr="005F7B5F" w:rsidRDefault="004662D5" w:rsidP="004662D5">
      <w:pPr>
        <w:pStyle w:val="ListParagraph"/>
        <w:ind w:left="1440"/>
        <w:jc w:val="right"/>
        <w:rPr>
          <w:rFonts w:ascii="Book Antiqua" w:hAnsi="Book Antiqua"/>
        </w:rPr>
      </w:pPr>
      <w:r w:rsidRPr="005F7B5F">
        <w:rPr>
          <w:rFonts w:ascii="Book Antiqua" w:hAnsi="Book Antiqua"/>
        </w:rPr>
        <w:t>ANDREW JORDAN</w:t>
      </w:r>
    </w:p>
    <w:p w:rsidR="004662D5" w:rsidRPr="005F7B5F" w:rsidRDefault="004662D5" w:rsidP="004662D5">
      <w:pPr>
        <w:pStyle w:val="ListParagraph"/>
        <w:ind w:left="1440"/>
        <w:jc w:val="right"/>
        <w:rPr>
          <w:rFonts w:ascii="Book Antiqua" w:hAnsi="Book Antiqua"/>
        </w:rPr>
      </w:pPr>
      <w:r w:rsidRPr="005F7B5F">
        <w:rPr>
          <w:rFonts w:ascii="Book Antiqua" w:hAnsi="Book Antiqua"/>
        </w:rPr>
        <w:t>DEPUTY UPPER TRIBUNAL JUDGE</w:t>
      </w:r>
    </w:p>
    <w:p w:rsidR="00CD5D51" w:rsidRPr="005F7B5F" w:rsidRDefault="00CD5D51" w:rsidP="004662D5">
      <w:pPr>
        <w:pStyle w:val="ListParagraph"/>
        <w:ind w:left="1440"/>
        <w:jc w:val="right"/>
        <w:rPr>
          <w:rFonts w:ascii="Book Antiqua" w:hAnsi="Book Antiqua"/>
        </w:rPr>
      </w:pPr>
      <w:r w:rsidRPr="005F7B5F">
        <w:rPr>
          <w:rFonts w:ascii="Book Antiqua" w:hAnsi="Book Antiqua"/>
        </w:rPr>
        <w:t>10 July 2018</w:t>
      </w:r>
    </w:p>
    <w:sectPr w:rsidR="00CD5D51" w:rsidRPr="005F7B5F" w:rsidSect="00ED1EB1">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9B4" w:rsidRDefault="002959B4" w:rsidP="00A7721C">
      <w:r>
        <w:separator/>
      </w:r>
    </w:p>
  </w:endnote>
  <w:endnote w:type="continuationSeparator" w:id="0">
    <w:p w:rsidR="002959B4" w:rsidRDefault="002959B4" w:rsidP="00A77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1C" w:rsidRPr="005F7B5F" w:rsidRDefault="00A7721C">
    <w:pPr>
      <w:pStyle w:val="Footer"/>
      <w:jc w:val="center"/>
      <w:rPr>
        <w:rFonts w:ascii="Book Antiqua" w:hAnsi="Book Antiqua"/>
        <w:caps/>
        <w:noProof/>
        <w:sz w:val="20"/>
        <w:szCs w:val="20"/>
      </w:rPr>
    </w:pPr>
    <w:r w:rsidRPr="005F7B5F">
      <w:rPr>
        <w:rFonts w:ascii="Book Antiqua" w:hAnsi="Book Antiqua"/>
        <w:caps/>
        <w:sz w:val="20"/>
        <w:szCs w:val="20"/>
      </w:rPr>
      <w:fldChar w:fldCharType="begin"/>
    </w:r>
    <w:r w:rsidRPr="005F7B5F">
      <w:rPr>
        <w:rFonts w:ascii="Book Antiqua" w:hAnsi="Book Antiqua"/>
        <w:caps/>
        <w:sz w:val="20"/>
        <w:szCs w:val="20"/>
      </w:rPr>
      <w:instrText xml:space="preserve"> PAGE   \* MERGEFORMAT </w:instrText>
    </w:r>
    <w:r w:rsidRPr="005F7B5F">
      <w:rPr>
        <w:rFonts w:ascii="Book Antiqua" w:hAnsi="Book Antiqua"/>
        <w:caps/>
        <w:sz w:val="20"/>
        <w:szCs w:val="20"/>
      </w:rPr>
      <w:fldChar w:fldCharType="separate"/>
    </w:r>
    <w:r w:rsidR="00E37716">
      <w:rPr>
        <w:rFonts w:ascii="Book Antiqua" w:hAnsi="Book Antiqua"/>
        <w:caps/>
        <w:noProof/>
        <w:sz w:val="20"/>
        <w:szCs w:val="20"/>
      </w:rPr>
      <w:t>6</w:t>
    </w:r>
    <w:r w:rsidRPr="005F7B5F">
      <w:rPr>
        <w:rFonts w:ascii="Book Antiqua" w:hAnsi="Book Antiqua"/>
        <w:cap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1C" w:rsidRPr="00D65CD4" w:rsidRDefault="00A7721C" w:rsidP="00A7721C">
    <w:pPr>
      <w:jc w:val="center"/>
      <w:rPr>
        <w:rFonts w:ascii="Book Antiqua" w:hAnsi="Book Antiqua" w:cs="Arial"/>
        <w:b/>
      </w:rPr>
    </w:pPr>
    <w:bookmarkStart w:id="3"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9B4" w:rsidRDefault="002959B4" w:rsidP="00A7721C">
      <w:r>
        <w:separator/>
      </w:r>
    </w:p>
  </w:footnote>
  <w:footnote w:type="continuationSeparator" w:id="0">
    <w:p w:rsidR="002959B4" w:rsidRDefault="002959B4" w:rsidP="00A77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EB1" w:rsidRPr="005F7B5F" w:rsidRDefault="00ED1EB1" w:rsidP="00ED1EB1">
    <w:pPr>
      <w:pStyle w:val="Header"/>
      <w:jc w:val="right"/>
      <w:rPr>
        <w:sz w:val="20"/>
        <w:szCs w:val="20"/>
      </w:rPr>
    </w:pPr>
    <w:r w:rsidRPr="005F7B5F">
      <w:rPr>
        <w:rFonts w:ascii="Book Antiqua" w:hAnsi="Book Antiqua" w:cs="Arial"/>
        <w:sz w:val="20"/>
        <w:szCs w:val="20"/>
      </w:rPr>
      <w:t>Appeal Number: E</w:t>
    </w:r>
    <w:r w:rsidRPr="005F7B5F">
      <w:rPr>
        <w:rFonts w:ascii="Book Antiqua" w:hAnsi="Book Antiqua" w:cs="Arial"/>
        <w:caps/>
        <w:sz w:val="20"/>
        <w:szCs w:val="20"/>
      </w:rPr>
      <w:t>A/00424/2016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347B"/>
    <w:multiLevelType w:val="hybridMultilevel"/>
    <w:tmpl w:val="CF7C3D60"/>
    <w:lvl w:ilvl="0" w:tplc="F5F41AC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AB1358E"/>
    <w:multiLevelType w:val="hybridMultilevel"/>
    <w:tmpl w:val="71AA0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C69C17E-9D66-4B08-8F19-020C694A9E58}"/>
    <w:docVar w:name="dgnword-eventsink" w:val="636484248"/>
  </w:docVars>
  <w:rsids>
    <w:rsidRoot w:val="00255827"/>
    <w:rsid w:val="00042F0D"/>
    <w:rsid w:val="00141196"/>
    <w:rsid w:val="001A7D43"/>
    <w:rsid w:val="001F03BD"/>
    <w:rsid w:val="00255827"/>
    <w:rsid w:val="002959B4"/>
    <w:rsid w:val="002A74B8"/>
    <w:rsid w:val="002B7BEA"/>
    <w:rsid w:val="003643F7"/>
    <w:rsid w:val="00421BCC"/>
    <w:rsid w:val="004662D5"/>
    <w:rsid w:val="00476332"/>
    <w:rsid w:val="004A56A7"/>
    <w:rsid w:val="005C4288"/>
    <w:rsid w:val="005C59CA"/>
    <w:rsid w:val="005F7065"/>
    <w:rsid w:val="005F7B5F"/>
    <w:rsid w:val="00631BA5"/>
    <w:rsid w:val="006C1ADF"/>
    <w:rsid w:val="007156E2"/>
    <w:rsid w:val="007E3425"/>
    <w:rsid w:val="0083380E"/>
    <w:rsid w:val="00A7721C"/>
    <w:rsid w:val="00A865C7"/>
    <w:rsid w:val="00BA27BD"/>
    <w:rsid w:val="00BB6D24"/>
    <w:rsid w:val="00BD0C47"/>
    <w:rsid w:val="00C26CFB"/>
    <w:rsid w:val="00CA47AD"/>
    <w:rsid w:val="00CD5D51"/>
    <w:rsid w:val="00D336A2"/>
    <w:rsid w:val="00D920BA"/>
    <w:rsid w:val="00E27A6F"/>
    <w:rsid w:val="00E37716"/>
    <w:rsid w:val="00E67A1B"/>
    <w:rsid w:val="00ED1EB1"/>
    <w:rsid w:val="00F1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827"/>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BA27B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582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827"/>
    <w:pPr>
      <w:ind w:left="720"/>
      <w:contextualSpacing/>
    </w:pPr>
  </w:style>
  <w:style w:type="character" w:customStyle="1" w:styleId="Heading3Char">
    <w:name w:val="Heading 3 Char"/>
    <w:basedOn w:val="DefaultParagraphFont"/>
    <w:link w:val="Heading3"/>
    <w:uiPriority w:val="9"/>
    <w:rsid w:val="00BA27BD"/>
    <w:rPr>
      <w:rFonts w:ascii="Times New Roman" w:eastAsia="Times New Roman" w:hAnsi="Times New Roman" w:cs="Times New Roman"/>
      <w:b/>
      <w:bCs/>
      <w:sz w:val="27"/>
      <w:szCs w:val="27"/>
      <w:lang w:eastAsia="en-GB"/>
    </w:rPr>
  </w:style>
  <w:style w:type="paragraph" w:customStyle="1" w:styleId="legp1paratext">
    <w:name w:val="legp1paratext"/>
    <w:basedOn w:val="Normal"/>
    <w:rsid w:val="00BA27BD"/>
    <w:pPr>
      <w:spacing w:before="100" w:beforeAutospacing="1" w:after="100" w:afterAutospacing="1"/>
    </w:pPr>
  </w:style>
  <w:style w:type="character" w:customStyle="1" w:styleId="legp1no">
    <w:name w:val="legp1no"/>
    <w:basedOn w:val="DefaultParagraphFont"/>
    <w:rsid w:val="00BA27BD"/>
  </w:style>
  <w:style w:type="paragraph" w:customStyle="1" w:styleId="legp2paratext">
    <w:name w:val="legp2paratext"/>
    <w:basedOn w:val="Normal"/>
    <w:rsid w:val="00BA27BD"/>
    <w:pPr>
      <w:spacing w:before="100" w:beforeAutospacing="1" w:after="100" w:afterAutospacing="1"/>
    </w:pPr>
  </w:style>
  <w:style w:type="paragraph" w:customStyle="1" w:styleId="legclearfix">
    <w:name w:val="legclearfix"/>
    <w:basedOn w:val="Normal"/>
    <w:rsid w:val="00BA27BD"/>
    <w:pPr>
      <w:spacing w:before="100" w:beforeAutospacing="1" w:after="100" w:afterAutospacing="1"/>
    </w:pPr>
  </w:style>
  <w:style w:type="character" w:customStyle="1" w:styleId="legds">
    <w:name w:val="legds"/>
    <w:basedOn w:val="DefaultParagraphFont"/>
    <w:rsid w:val="00BA27BD"/>
  </w:style>
  <w:style w:type="paragraph" w:styleId="NoSpacing">
    <w:name w:val="No Spacing"/>
    <w:uiPriority w:val="1"/>
    <w:qFormat/>
    <w:rsid w:val="00BD0C47"/>
    <w:pPr>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26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FB"/>
    <w:rPr>
      <w:rFonts w:ascii="Segoe UI" w:eastAsia="Times New Roman" w:hAnsi="Segoe UI" w:cs="Segoe UI"/>
      <w:sz w:val="18"/>
      <w:szCs w:val="18"/>
      <w:lang w:eastAsia="en-GB"/>
    </w:rPr>
  </w:style>
  <w:style w:type="paragraph" w:styleId="Header">
    <w:name w:val="header"/>
    <w:basedOn w:val="Normal"/>
    <w:link w:val="HeaderChar"/>
    <w:uiPriority w:val="99"/>
    <w:unhideWhenUsed/>
    <w:rsid w:val="00A7721C"/>
    <w:pPr>
      <w:tabs>
        <w:tab w:val="center" w:pos="4513"/>
        <w:tab w:val="right" w:pos="9026"/>
      </w:tabs>
    </w:pPr>
  </w:style>
  <w:style w:type="character" w:customStyle="1" w:styleId="HeaderChar">
    <w:name w:val="Header Char"/>
    <w:basedOn w:val="DefaultParagraphFont"/>
    <w:link w:val="Header"/>
    <w:uiPriority w:val="99"/>
    <w:rsid w:val="00A7721C"/>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7721C"/>
    <w:pPr>
      <w:tabs>
        <w:tab w:val="center" w:pos="4513"/>
        <w:tab w:val="right" w:pos="9026"/>
      </w:tabs>
    </w:pPr>
  </w:style>
  <w:style w:type="character" w:customStyle="1" w:styleId="FooterChar">
    <w:name w:val="Footer Char"/>
    <w:basedOn w:val="DefaultParagraphFont"/>
    <w:link w:val="Footer"/>
    <w:uiPriority w:val="99"/>
    <w:rsid w:val="00A7721C"/>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9826">
      <w:bodyDiv w:val="1"/>
      <w:marLeft w:val="0"/>
      <w:marRight w:val="0"/>
      <w:marTop w:val="0"/>
      <w:marBottom w:val="0"/>
      <w:divBdr>
        <w:top w:val="none" w:sz="0" w:space="0" w:color="auto"/>
        <w:left w:val="none" w:sz="0" w:space="0" w:color="auto"/>
        <w:bottom w:val="none" w:sz="0" w:space="0" w:color="auto"/>
        <w:right w:val="none" w:sz="0" w:space="0" w:color="auto"/>
      </w:divBdr>
    </w:div>
    <w:div w:id="5334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6273-127C-469C-92F2-F6BBFB85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2018-07-30T09:35:00Z</dcterms:created>
  <dcterms:modified xsi:type="dcterms:W3CDTF">2018-07-30T09:35:00Z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