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1A298" w14:textId="77777777" w:rsidR="00DB63AC" w:rsidRDefault="00DB63AC" w:rsidP="00541348">
      <w:pPr>
        <w:jc w:val="center"/>
        <w:rPr>
          <w:rFonts w:ascii="Arial" w:hAnsi="Arial"/>
        </w:rPr>
      </w:pPr>
    </w:p>
    <w:p w14:paraId="3DEE921C" w14:textId="130F439D" w:rsidR="00796229" w:rsidRDefault="00FE2F82" w:rsidP="00541348">
      <w:pPr>
        <w:jc w:val="center"/>
        <w:rPr>
          <w:rFonts w:ascii="Arial" w:hAnsi="Arial"/>
        </w:rPr>
      </w:pPr>
      <w:r w:rsidRPr="00761706">
        <w:rPr>
          <w:rFonts w:ascii="Arial" w:hAnsi="Arial"/>
          <w:noProof/>
        </w:rPr>
        <w:drawing>
          <wp:inline distT="0" distB="0" distL="0" distR="0" wp14:anchorId="7D095483" wp14:editId="12E782C7">
            <wp:extent cx="1425600" cy="1080000"/>
            <wp:effectExtent l="0" t="0" r="317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5600" cy="1080000"/>
                    </a:xfrm>
                    <a:prstGeom prst="rect">
                      <a:avLst/>
                    </a:prstGeom>
                    <a:noFill/>
                    <a:ln>
                      <a:noFill/>
                    </a:ln>
                  </pic:spPr>
                </pic:pic>
              </a:graphicData>
            </a:graphic>
          </wp:inline>
        </w:drawing>
      </w:r>
      <w:r w:rsidR="00AA47B3">
        <w:rPr>
          <w:rFonts w:ascii="Arial" w:hAnsi="Arial"/>
        </w:rPr>
        <w:t xml:space="preserve"> </w:t>
      </w:r>
      <w:r w:rsidR="00AE7B45">
        <w:rPr>
          <w:rFonts w:ascii="Arial" w:hAnsi="Arial"/>
        </w:rPr>
        <w:t xml:space="preserve"> </w:t>
      </w:r>
      <w:r w:rsidR="009553DE">
        <w:rPr>
          <w:rFonts w:ascii="Arial" w:hAnsi="Arial"/>
        </w:rPr>
        <w:t xml:space="preserve"> </w:t>
      </w:r>
      <w:bookmarkStart w:id="0" w:name="_GoBack"/>
      <w:bookmarkEnd w:id="0"/>
    </w:p>
    <w:tbl>
      <w:tblPr>
        <w:tblW w:w="9813" w:type="dxa"/>
        <w:tblInd w:w="135" w:type="dxa"/>
        <w:tblLayout w:type="fixed"/>
        <w:tblLook w:val="0000" w:firstRow="0" w:lastRow="0" w:firstColumn="0" w:lastColumn="0" w:noHBand="0" w:noVBand="0"/>
      </w:tblPr>
      <w:tblGrid>
        <w:gridCol w:w="432"/>
        <w:gridCol w:w="2601"/>
        <w:gridCol w:w="1740"/>
        <w:gridCol w:w="133"/>
        <w:gridCol w:w="737"/>
        <w:gridCol w:w="270"/>
        <w:gridCol w:w="2160"/>
        <w:gridCol w:w="1740"/>
      </w:tblGrid>
      <w:tr w:rsidR="00796229" w:rsidRPr="00AE5A3A" w14:paraId="50D02724" w14:textId="77777777">
        <w:trPr>
          <w:cantSplit/>
        </w:trPr>
        <w:tc>
          <w:tcPr>
            <w:tcW w:w="4906" w:type="dxa"/>
            <w:gridSpan w:val="4"/>
          </w:tcPr>
          <w:p w14:paraId="04681C4F" w14:textId="77777777" w:rsidR="00796229" w:rsidRPr="00217A74" w:rsidRDefault="00796229" w:rsidP="00646A8C">
            <w:pPr>
              <w:pStyle w:val="Heading3"/>
              <w:spacing w:before="0" w:after="0"/>
              <w:jc w:val="both"/>
              <w:rPr>
                <w:rFonts w:cs="Times New Roman"/>
                <w:color w:val="000000"/>
                <w:sz w:val="24"/>
              </w:rPr>
            </w:pPr>
            <w:r w:rsidRPr="00217A74">
              <w:rPr>
                <w:rFonts w:cs="Times New Roman"/>
                <w:color w:val="000000"/>
                <w:sz w:val="24"/>
              </w:rPr>
              <w:t xml:space="preserve">Upper Tribunal </w:t>
            </w:r>
          </w:p>
          <w:p w14:paraId="2912B7E6" w14:textId="77777777" w:rsidR="00796229" w:rsidRPr="00217A74" w:rsidRDefault="00796229" w:rsidP="00646A8C">
            <w:pPr>
              <w:jc w:val="both"/>
              <w:rPr>
                <w:rFonts w:ascii="Arial" w:hAnsi="Arial"/>
                <w:b/>
                <w:color w:val="000000"/>
              </w:rPr>
            </w:pPr>
            <w:r w:rsidRPr="00217A74">
              <w:rPr>
                <w:rFonts w:ascii="Arial" w:hAnsi="Arial"/>
                <w:b/>
                <w:color w:val="000000"/>
              </w:rPr>
              <w:t>(Immigration and Asylum Chamber)</w:t>
            </w:r>
          </w:p>
        </w:tc>
        <w:tc>
          <w:tcPr>
            <w:tcW w:w="4907" w:type="dxa"/>
            <w:gridSpan w:val="4"/>
          </w:tcPr>
          <w:p w14:paraId="440B513A" w14:textId="77777777" w:rsidR="00590716" w:rsidRDefault="00590716" w:rsidP="007D06A1">
            <w:pPr>
              <w:pStyle w:val="Heading3"/>
              <w:spacing w:before="0" w:after="0"/>
              <w:jc w:val="right"/>
              <w:rPr>
                <w:rFonts w:cs="Times New Roman"/>
                <w:color w:val="000000"/>
                <w:sz w:val="24"/>
              </w:rPr>
            </w:pPr>
          </w:p>
          <w:p w14:paraId="4E25CB0B" w14:textId="45360284" w:rsidR="00796229" w:rsidRPr="00217A74" w:rsidRDefault="00796229" w:rsidP="007D06A1">
            <w:pPr>
              <w:pStyle w:val="Heading3"/>
              <w:spacing w:before="0" w:after="0"/>
              <w:jc w:val="right"/>
              <w:rPr>
                <w:rFonts w:cs="Times New Roman"/>
                <w:color w:val="000000"/>
                <w:sz w:val="24"/>
              </w:rPr>
            </w:pPr>
            <w:r w:rsidRPr="00217A74">
              <w:rPr>
                <w:rFonts w:cs="Times New Roman"/>
                <w:color w:val="000000"/>
                <w:sz w:val="24"/>
              </w:rPr>
              <w:t xml:space="preserve">Appeal number: </w:t>
            </w:r>
            <w:r w:rsidR="00A41AA1" w:rsidRPr="00217A74">
              <w:rPr>
                <w:rFonts w:cs="Times New Roman"/>
                <w:color w:val="000000"/>
                <w:sz w:val="24"/>
              </w:rPr>
              <w:t>EA</w:t>
            </w:r>
            <w:r w:rsidR="00392663" w:rsidRPr="00217A74">
              <w:rPr>
                <w:rFonts w:cs="Times New Roman"/>
                <w:color w:val="000000"/>
                <w:sz w:val="24"/>
              </w:rPr>
              <w:t>/</w:t>
            </w:r>
            <w:r w:rsidR="00A41AA1" w:rsidRPr="00217A74">
              <w:rPr>
                <w:rFonts w:cs="Times New Roman"/>
                <w:caps/>
                <w:color w:val="000000"/>
                <w:sz w:val="24"/>
              </w:rPr>
              <w:t>00450</w:t>
            </w:r>
            <w:r w:rsidR="00392663" w:rsidRPr="00217A74">
              <w:rPr>
                <w:rFonts w:cs="Times New Roman"/>
                <w:caps/>
                <w:color w:val="000000"/>
                <w:sz w:val="24"/>
              </w:rPr>
              <w:t>/</w:t>
            </w:r>
            <w:r w:rsidR="003C4BB7" w:rsidRPr="00217A74">
              <w:rPr>
                <w:rFonts w:cs="Times New Roman"/>
                <w:caps/>
                <w:color w:val="000000"/>
                <w:sz w:val="24"/>
              </w:rPr>
              <w:t>20</w:t>
            </w:r>
            <w:r w:rsidR="000E610F" w:rsidRPr="00217A74">
              <w:rPr>
                <w:rFonts w:cs="Times New Roman"/>
                <w:caps/>
                <w:color w:val="000000"/>
                <w:sz w:val="24"/>
              </w:rPr>
              <w:t>19</w:t>
            </w:r>
            <w:r w:rsidR="00392663" w:rsidRPr="00217A74">
              <w:rPr>
                <w:rFonts w:cs="Times New Roman"/>
                <w:caps/>
                <w:color w:val="000000"/>
                <w:sz w:val="24"/>
              </w:rPr>
              <w:t>(</w:t>
            </w:r>
            <w:r w:rsidR="001C4344" w:rsidRPr="00217A74">
              <w:rPr>
                <w:rFonts w:cs="Times New Roman"/>
                <w:caps/>
                <w:color w:val="000000"/>
                <w:sz w:val="24"/>
              </w:rPr>
              <w:t>P</w:t>
            </w:r>
            <w:r w:rsidR="00392663" w:rsidRPr="00217A74">
              <w:rPr>
                <w:rFonts w:cs="Times New Roman"/>
                <w:caps/>
                <w:color w:val="000000"/>
                <w:sz w:val="24"/>
              </w:rPr>
              <w:t>)</w:t>
            </w:r>
            <w:r w:rsidR="001C4344" w:rsidRPr="00217A74">
              <w:rPr>
                <w:rFonts w:cs="Times New Roman"/>
                <w:caps/>
                <w:color w:val="000000"/>
                <w:sz w:val="24"/>
              </w:rPr>
              <w:t xml:space="preserve"> </w:t>
            </w:r>
          </w:p>
          <w:p w14:paraId="1AEB52B2" w14:textId="77777777" w:rsidR="00796229" w:rsidRPr="00217A74" w:rsidRDefault="00796229" w:rsidP="00646A8C">
            <w:pPr>
              <w:jc w:val="both"/>
              <w:rPr>
                <w:rFonts w:ascii="Arial" w:hAnsi="Arial"/>
                <w:b/>
                <w:color w:val="000000"/>
              </w:rPr>
            </w:pPr>
          </w:p>
        </w:tc>
      </w:tr>
      <w:tr w:rsidR="00796229" w:rsidRPr="00AE5A3A" w14:paraId="72E9A631" w14:textId="77777777">
        <w:trPr>
          <w:cantSplit/>
        </w:trPr>
        <w:tc>
          <w:tcPr>
            <w:tcW w:w="9813" w:type="dxa"/>
            <w:gridSpan w:val="8"/>
          </w:tcPr>
          <w:p w14:paraId="5C7A7DEC" w14:textId="77777777" w:rsidR="00796229" w:rsidRPr="00AE5A3A" w:rsidRDefault="00796229" w:rsidP="00541348">
            <w:pPr>
              <w:pStyle w:val="Heading5"/>
              <w:jc w:val="center"/>
              <w:rPr>
                <w:rFonts w:ascii="Arial" w:hAnsi="Arial"/>
                <w:i w:val="0"/>
                <w:caps/>
                <w:color w:val="000000"/>
                <w:sz w:val="24"/>
                <w:u w:val="single"/>
              </w:rPr>
            </w:pPr>
            <w:r w:rsidRPr="00AE5A3A">
              <w:rPr>
                <w:rFonts w:ascii="Arial" w:hAnsi="Arial"/>
                <w:i w:val="0"/>
                <w:caps/>
                <w:color w:val="000000"/>
                <w:sz w:val="24"/>
                <w:u w:val="single"/>
              </w:rPr>
              <w:t>the immigration Acts</w:t>
            </w:r>
          </w:p>
          <w:p w14:paraId="623DAB83" w14:textId="77777777" w:rsidR="00796229" w:rsidRPr="00AE5A3A" w:rsidRDefault="00796229" w:rsidP="00646A8C">
            <w:pPr>
              <w:jc w:val="both"/>
              <w:rPr>
                <w:rFonts w:ascii="Arial" w:hAnsi="Arial"/>
              </w:rPr>
            </w:pPr>
          </w:p>
        </w:tc>
      </w:tr>
      <w:tr w:rsidR="00796229" w:rsidRPr="00AE5A3A" w14:paraId="03C51A44" w14:textId="77777777" w:rsidTr="00217A74">
        <w:trPr>
          <w:cantSplit/>
        </w:trPr>
        <w:tc>
          <w:tcPr>
            <w:tcW w:w="3033" w:type="dxa"/>
            <w:gridSpan w:val="2"/>
          </w:tcPr>
          <w:p w14:paraId="08998B55" w14:textId="77777777" w:rsidR="004749DF" w:rsidRPr="00217A74" w:rsidRDefault="00EA6134" w:rsidP="00217A74">
            <w:pPr>
              <w:pStyle w:val="Header"/>
              <w:tabs>
                <w:tab w:val="clear" w:pos="4153"/>
                <w:tab w:val="clear" w:pos="8306"/>
              </w:tabs>
              <w:rPr>
                <w:rFonts w:ascii="Arial" w:hAnsi="Arial"/>
                <w:b/>
              </w:rPr>
            </w:pPr>
            <w:r w:rsidRPr="00217A74">
              <w:rPr>
                <w:rFonts w:ascii="Arial" w:hAnsi="Arial"/>
                <w:b/>
              </w:rPr>
              <w:t>D</w:t>
            </w:r>
            <w:r w:rsidR="00217A74" w:rsidRPr="00217A74">
              <w:rPr>
                <w:rFonts w:ascii="Arial" w:hAnsi="Arial"/>
                <w:b/>
              </w:rPr>
              <w:t>ecided under Rule 34 without a H</w:t>
            </w:r>
            <w:r w:rsidRPr="00217A74">
              <w:rPr>
                <w:rFonts w:ascii="Arial" w:hAnsi="Arial"/>
                <w:b/>
              </w:rPr>
              <w:t>earing on</w:t>
            </w:r>
            <w:r w:rsidR="00D61D0C" w:rsidRPr="00217A74">
              <w:rPr>
                <w:rFonts w:ascii="Arial" w:hAnsi="Arial"/>
                <w:b/>
              </w:rPr>
              <w:t xml:space="preserve"> </w:t>
            </w:r>
          </w:p>
          <w:p w14:paraId="0582F427" w14:textId="77777777" w:rsidR="00796229" w:rsidRPr="00217A74" w:rsidRDefault="00512EBC" w:rsidP="00646A8C">
            <w:pPr>
              <w:pStyle w:val="Header"/>
              <w:tabs>
                <w:tab w:val="clear" w:pos="4153"/>
                <w:tab w:val="clear" w:pos="8306"/>
              </w:tabs>
              <w:jc w:val="both"/>
              <w:rPr>
                <w:rFonts w:ascii="Arial" w:hAnsi="Arial"/>
                <w:b/>
              </w:rPr>
            </w:pPr>
            <w:r w:rsidRPr="00217A74">
              <w:rPr>
                <w:rFonts w:ascii="Arial" w:hAnsi="Arial"/>
                <w:b/>
              </w:rPr>
              <w:t>20</w:t>
            </w:r>
            <w:r w:rsidR="00A41AA1" w:rsidRPr="00217A74">
              <w:rPr>
                <w:rFonts w:ascii="Arial" w:hAnsi="Arial"/>
                <w:b/>
              </w:rPr>
              <w:t xml:space="preserve"> August 2020 </w:t>
            </w:r>
          </w:p>
        </w:tc>
        <w:tc>
          <w:tcPr>
            <w:tcW w:w="1740" w:type="dxa"/>
          </w:tcPr>
          <w:p w14:paraId="0BDD3F75" w14:textId="77777777" w:rsidR="00796229" w:rsidRPr="00217A74" w:rsidRDefault="00796229" w:rsidP="00646A8C">
            <w:pPr>
              <w:jc w:val="both"/>
              <w:rPr>
                <w:rFonts w:ascii="Arial" w:hAnsi="Arial"/>
                <w:b/>
              </w:rPr>
            </w:pPr>
          </w:p>
        </w:tc>
        <w:tc>
          <w:tcPr>
            <w:tcW w:w="870" w:type="dxa"/>
            <w:gridSpan w:val="2"/>
          </w:tcPr>
          <w:p w14:paraId="41D82353" w14:textId="77777777" w:rsidR="00796229" w:rsidRPr="00217A74" w:rsidRDefault="00796229" w:rsidP="00646A8C">
            <w:pPr>
              <w:pStyle w:val="Header"/>
              <w:tabs>
                <w:tab w:val="clear" w:pos="4153"/>
                <w:tab w:val="clear" w:pos="8306"/>
              </w:tabs>
              <w:jc w:val="both"/>
              <w:rPr>
                <w:rFonts w:ascii="Arial" w:hAnsi="Arial"/>
                <w:b/>
                <w:bCs/>
              </w:rPr>
            </w:pPr>
          </w:p>
        </w:tc>
        <w:tc>
          <w:tcPr>
            <w:tcW w:w="4170" w:type="dxa"/>
            <w:gridSpan w:val="3"/>
          </w:tcPr>
          <w:p w14:paraId="1BD00D5B" w14:textId="77777777" w:rsidR="00796229" w:rsidRPr="00217A74" w:rsidRDefault="00217A74" w:rsidP="00217A74">
            <w:pPr>
              <w:pStyle w:val="Header"/>
              <w:tabs>
                <w:tab w:val="clear" w:pos="4153"/>
                <w:tab w:val="clear" w:pos="8306"/>
              </w:tabs>
              <w:jc w:val="both"/>
              <w:rPr>
                <w:rFonts w:ascii="Arial" w:hAnsi="Arial"/>
                <w:b/>
              </w:rPr>
            </w:pPr>
            <w:r w:rsidRPr="00217A74">
              <w:rPr>
                <w:rFonts w:ascii="Arial" w:hAnsi="Arial"/>
                <w:b/>
              </w:rPr>
              <w:t>Decision &amp; Reasons Promulgated</w:t>
            </w:r>
          </w:p>
          <w:p w14:paraId="179D2C9C" w14:textId="77777777" w:rsidR="00217A74" w:rsidRPr="00217A74" w:rsidRDefault="00217A74" w:rsidP="00217A74">
            <w:pPr>
              <w:pStyle w:val="Header"/>
              <w:tabs>
                <w:tab w:val="clear" w:pos="4153"/>
                <w:tab w:val="clear" w:pos="8306"/>
              </w:tabs>
              <w:jc w:val="both"/>
              <w:rPr>
                <w:rFonts w:ascii="Arial" w:hAnsi="Arial"/>
                <w:b/>
                <w:bCs/>
              </w:rPr>
            </w:pPr>
            <w:r w:rsidRPr="00217A74">
              <w:rPr>
                <w:rFonts w:ascii="Arial" w:hAnsi="Arial"/>
                <w:b/>
              </w:rPr>
              <w:t>On 24 August 2020</w:t>
            </w:r>
          </w:p>
        </w:tc>
      </w:tr>
      <w:tr w:rsidR="00796229" w:rsidRPr="00AE5A3A" w14:paraId="6069188D" w14:textId="77777777">
        <w:trPr>
          <w:cantSplit/>
        </w:trPr>
        <w:tc>
          <w:tcPr>
            <w:tcW w:w="3033" w:type="dxa"/>
            <w:gridSpan w:val="2"/>
          </w:tcPr>
          <w:p w14:paraId="3B8D6205" w14:textId="77777777" w:rsidR="00796229" w:rsidRPr="00AE5A3A" w:rsidRDefault="00796229" w:rsidP="00646A8C">
            <w:pPr>
              <w:jc w:val="both"/>
              <w:rPr>
                <w:rFonts w:ascii="Arial" w:hAnsi="Arial"/>
              </w:rPr>
            </w:pPr>
          </w:p>
        </w:tc>
        <w:tc>
          <w:tcPr>
            <w:tcW w:w="1740" w:type="dxa"/>
          </w:tcPr>
          <w:p w14:paraId="39F61FF3" w14:textId="77777777" w:rsidR="00796229" w:rsidRPr="00AE5A3A" w:rsidRDefault="00796229" w:rsidP="00646A8C">
            <w:pPr>
              <w:jc w:val="both"/>
              <w:rPr>
                <w:rFonts w:ascii="Arial" w:hAnsi="Arial"/>
                <w:color w:val="000000"/>
              </w:rPr>
            </w:pPr>
          </w:p>
        </w:tc>
        <w:tc>
          <w:tcPr>
            <w:tcW w:w="1140" w:type="dxa"/>
            <w:gridSpan w:val="3"/>
          </w:tcPr>
          <w:p w14:paraId="323487B8" w14:textId="77777777" w:rsidR="00796229" w:rsidRPr="00AE5A3A" w:rsidRDefault="00796229" w:rsidP="00646A8C">
            <w:pPr>
              <w:pStyle w:val="Header"/>
              <w:tabs>
                <w:tab w:val="clear" w:pos="4153"/>
                <w:tab w:val="clear" w:pos="8306"/>
              </w:tabs>
              <w:jc w:val="both"/>
              <w:rPr>
                <w:rFonts w:ascii="Arial" w:hAnsi="Arial"/>
              </w:rPr>
            </w:pPr>
          </w:p>
        </w:tc>
        <w:tc>
          <w:tcPr>
            <w:tcW w:w="3900" w:type="dxa"/>
            <w:gridSpan w:val="2"/>
          </w:tcPr>
          <w:p w14:paraId="24475A8A" w14:textId="77777777" w:rsidR="00796229" w:rsidRPr="00AE5A3A" w:rsidRDefault="00796229" w:rsidP="00646A8C">
            <w:pPr>
              <w:jc w:val="both"/>
              <w:rPr>
                <w:rFonts w:ascii="Arial" w:hAnsi="Arial"/>
                <w:b/>
                <w:caps/>
              </w:rPr>
            </w:pPr>
          </w:p>
        </w:tc>
      </w:tr>
      <w:tr w:rsidR="00796229" w:rsidRPr="00AE5A3A" w14:paraId="33F89B69" w14:textId="77777777">
        <w:trPr>
          <w:cantSplit/>
        </w:trPr>
        <w:tc>
          <w:tcPr>
            <w:tcW w:w="9813" w:type="dxa"/>
            <w:gridSpan w:val="8"/>
          </w:tcPr>
          <w:p w14:paraId="3ADFD0CF" w14:textId="77777777" w:rsidR="00796229" w:rsidRPr="00590716" w:rsidRDefault="00796229" w:rsidP="00541348">
            <w:pPr>
              <w:jc w:val="center"/>
              <w:rPr>
                <w:rFonts w:ascii="Arial" w:hAnsi="Arial"/>
                <w:b/>
              </w:rPr>
            </w:pPr>
            <w:r w:rsidRPr="00590716">
              <w:rPr>
                <w:rFonts w:ascii="Arial" w:hAnsi="Arial"/>
                <w:b/>
              </w:rPr>
              <w:t>Before</w:t>
            </w:r>
          </w:p>
          <w:p w14:paraId="375A6B25" w14:textId="77777777" w:rsidR="00F656B2" w:rsidRPr="00AE5A3A" w:rsidRDefault="00F656B2" w:rsidP="00541348">
            <w:pPr>
              <w:jc w:val="center"/>
              <w:rPr>
                <w:rFonts w:ascii="Arial" w:hAnsi="Arial"/>
              </w:rPr>
            </w:pPr>
          </w:p>
          <w:p w14:paraId="22CD2B08" w14:textId="77777777" w:rsidR="00796229" w:rsidRPr="00AE5A3A" w:rsidRDefault="00796229" w:rsidP="00541348">
            <w:pPr>
              <w:jc w:val="center"/>
              <w:rPr>
                <w:rFonts w:ascii="Arial" w:hAnsi="Arial"/>
              </w:rPr>
            </w:pPr>
          </w:p>
        </w:tc>
      </w:tr>
      <w:tr w:rsidR="00796229" w:rsidRPr="00AE5A3A" w14:paraId="35DAF831" w14:textId="77777777">
        <w:trPr>
          <w:cantSplit/>
        </w:trPr>
        <w:tc>
          <w:tcPr>
            <w:tcW w:w="9813" w:type="dxa"/>
            <w:gridSpan w:val="8"/>
          </w:tcPr>
          <w:p w14:paraId="636EEC40" w14:textId="7FD258DC" w:rsidR="00796229" w:rsidRPr="00217A74" w:rsidRDefault="00590716" w:rsidP="00541348">
            <w:pPr>
              <w:jc w:val="center"/>
              <w:rPr>
                <w:rFonts w:ascii="Arial" w:hAnsi="Arial"/>
                <w:b/>
              </w:rPr>
            </w:pPr>
            <w:r w:rsidRPr="00217A74">
              <w:rPr>
                <w:rFonts w:ascii="Arial" w:hAnsi="Arial"/>
                <w:b/>
              </w:rPr>
              <w:t>UPPER TRIBUNAL JUDGE GILL</w:t>
            </w:r>
          </w:p>
          <w:p w14:paraId="316A3CAD" w14:textId="77777777" w:rsidR="00F656B2" w:rsidRPr="00AE5A3A" w:rsidRDefault="00F656B2" w:rsidP="00541348">
            <w:pPr>
              <w:jc w:val="center"/>
              <w:rPr>
                <w:rFonts w:ascii="Arial" w:hAnsi="Arial"/>
              </w:rPr>
            </w:pPr>
          </w:p>
          <w:p w14:paraId="53A68220" w14:textId="77777777" w:rsidR="00796229" w:rsidRPr="00AE5A3A" w:rsidRDefault="00796229" w:rsidP="00541348">
            <w:pPr>
              <w:jc w:val="center"/>
              <w:rPr>
                <w:rFonts w:ascii="Arial" w:hAnsi="Arial"/>
              </w:rPr>
            </w:pPr>
          </w:p>
        </w:tc>
      </w:tr>
      <w:tr w:rsidR="00796229" w:rsidRPr="00AE5A3A" w14:paraId="05A33F9F" w14:textId="77777777">
        <w:trPr>
          <w:cantSplit/>
        </w:trPr>
        <w:tc>
          <w:tcPr>
            <w:tcW w:w="9813" w:type="dxa"/>
            <w:gridSpan w:val="8"/>
          </w:tcPr>
          <w:p w14:paraId="2C703F3A" w14:textId="77777777" w:rsidR="00796229" w:rsidRPr="00590716" w:rsidRDefault="00796229" w:rsidP="00541348">
            <w:pPr>
              <w:jc w:val="center"/>
              <w:rPr>
                <w:rFonts w:ascii="Arial" w:hAnsi="Arial"/>
                <w:b/>
              </w:rPr>
            </w:pPr>
            <w:r w:rsidRPr="00590716">
              <w:rPr>
                <w:rFonts w:ascii="Arial" w:hAnsi="Arial"/>
                <w:b/>
              </w:rPr>
              <w:t>Between</w:t>
            </w:r>
          </w:p>
          <w:p w14:paraId="69365C39" w14:textId="77777777" w:rsidR="0091355C" w:rsidRPr="00AE5A3A" w:rsidRDefault="0091355C" w:rsidP="00541348">
            <w:pPr>
              <w:jc w:val="center"/>
              <w:rPr>
                <w:rFonts w:ascii="Arial" w:hAnsi="Arial"/>
              </w:rPr>
            </w:pPr>
          </w:p>
          <w:p w14:paraId="657CF3D6" w14:textId="77777777" w:rsidR="00796229" w:rsidRPr="00AE5A3A" w:rsidRDefault="00796229" w:rsidP="00541348">
            <w:pPr>
              <w:jc w:val="center"/>
              <w:rPr>
                <w:rFonts w:ascii="Arial" w:hAnsi="Arial"/>
              </w:rPr>
            </w:pPr>
          </w:p>
        </w:tc>
      </w:tr>
      <w:tr w:rsidR="003A2449" w:rsidRPr="00AE5A3A" w14:paraId="7D5FA3AB" w14:textId="77777777" w:rsidTr="0044285D">
        <w:trPr>
          <w:cantSplit/>
        </w:trPr>
        <w:tc>
          <w:tcPr>
            <w:tcW w:w="432" w:type="dxa"/>
          </w:tcPr>
          <w:p w14:paraId="62CC794C" w14:textId="77777777" w:rsidR="003A2449" w:rsidRPr="00AE5A3A" w:rsidRDefault="003A2449" w:rsidP="00121BDE">
            <w:pPr>
              <w:jc w:val="center"/>
              <w:rPr>
                <w:rFonts w:ascii="Arial" w:hAnsi="Arial"/>
              </w:rPr>
            </w:pPr>
          </w:p>
        </w:tc>
        <w:tc>
          <w:tcPr>
            <w:tcW w:w="7641" w:type="dxa"/>
            <w:gridSpan w:val="6"/>
          </w:tcPr>
          <w:p w14:paraId="59563DD6" w14:textId="4778EADD" w:rsidR="003C4BB7" w:rsidRPr="00217A74" w:rsidRDefault="0044285D" w:rsidP="003C4BB7">
            <w:pPr>
              <w:jc w:val="center"/>
              <w:rPr>
                <w:rFonts w:ascii="Arial" w:hAnsi="Arial"/>
                <w:b/>
                <w:color w:val="000000"/>
              </w:rPr>
            </w:pPr>
            <w:r>
              <w:rPr>
                <w:rFonts w:ascii="Arial" w:hAnsi="Arial"/>
                <w:b/>
                <w:color w:val="000000"/>
              </w:rPr>
              <w:t xml:space="preserve">                   </w:t>
            </w:r>
            <w:r w:rsidR="00590716" w:rsidRPr="00217A74">
              <w:rPr>
                <w:rFonts w:ascii="Arial" w:hAnsi="Arial"/>
                <w:b/>
                <w:color w:val="000000"/>
              </w:rPr>
              <w:t xml:space="preserve">MR ABDUL KARIM </w:t>
            </w:r>
          </w:p>
          <w:p w14:paraId="5C8F23CA" w14:textId="29E28E97" w:rsidR="003C4BB7" w:rsidRPr="00590716" w:rsidRDefault="0044285D" w:rsidP="003C4BB7">
            <w:pPr>
              <w:jc w:val="center"/>
              <w:rPr>
                <w:rFonts w:ascii="Arial" w:hAnsi="Arial"/>
                <w:color w:val="000000"/>
              </w:rPr>
            </w:pPr>
            <w:r>
              <w:rPr>
                <w:rFonts w:ascii="Arial" w:hAnsi="Arial"/>
                <w:color w:val="000000"/>
              </w:rPr>
              <w:t xml:space="preserve">      </w:t>
            </w:r>
            <w:r w:rsidR="00590716" w:rsidRPr="00590716">
              <w:rPr>
                <w:rFonts w:ascii="Arial" w:hAnsi="Arial"/>
                <w:color w:val="000000"/>
              </w:rPr>
              <w:t xml:space="preserve"> </w:t>
            </w:r>
            <w:r>
              <w:rPr>
                <w:rFonts w:ascii="Arial" w:hAnsi="Arial"/>
                <w:color w:val="000000"/>
              </w:rPr>
              <w:t xml:space="preserve">          </w:t>
            </w:r>
            <w:r w:rsidR="00590716" w:rsidRPr="00590716">
              <w:rPr>
                <w:rFonts w:ascii="Arial" w:hAnsi="Arial"/>
                <w:color w:val="000000"/>
              </w:rPr>
              <w:t>(ANONYMITY ORDER NOT MADE)</w:t>
            </w:r>
          </w:p>
          <w:p w14:paraId="7A5CEF8B" w14:textId="77777777" w:rsidR="003A2449" w:rsidRPr="00AE5A3A" w:rsidRDefault="003A2449" w:rsidP="00121BDE">
            <w:pPr>
              <w:jc w:val="center"/>
              <w:rPr>
                <w:rFonts w:ascii="Arial" w:hAnsi="Arial"/>
              </w:rPr>
            </w:pPr>
          </w:p>
        </w:tc>
        <w:tc>
          <w:tcPr>
            <w:tcW w:w="1740" w:type="dxa"/>
          </w:tcPr>
          <w:p w14:paraId="4203071E" w14:textId="77777777" w:rsidR="00590716" w:rsidRDefault="00590716" w:rsidP="00121BDE">
            <w:pPr>
              <w:pStyle w:val="Heading4"/>
              <w:spacing w:before="0" w:after="0"/>
              <w:jc w:val="center"/>
              <w:rPr>
                <w:rFonts w:ascii="Arial" w:hAnsi="Arial"/>
                <w:b w:val="0"/>
                <w:sz w:val="24"/>
                <w:u w:val="single"/>
              </w:rPr>
            </w:pPr>
          </w:p>
          <w:p w14:paraId="5A5EAEAA" w14:textId="4A79E996" w:rsidR="003A2449" w:rsidRPr="00590716" w:rsidRDefault="003A2449" w:rsidP="00121BDE">
            <w:pPr>
              <w:pStyle w:val="Heading4"/>
              <w:spacing w:before="0" w:after="0"/>
              <w:jc w:val="center"/>
              <w:rPr>
                <w:rFonts w:ascii="Arial" w:hAnsi="Arial"/>
                <w:b w:val="0"/>
                <w:sz w:val="24"/>
                <w:u w:val="single"/>
              </w:rPr>
            </w:pPr>
            <w:r w:rsidRPr="00590716">
              <w:rPr>
                <w:rFonts w:ascii="Arial" w:hAnsi="Arial"/>
                <w:b w:val="0"/>
                <w:sz w:val="24"/>
                <w:u w:val="single"/>
              </w:rPr>
              <w:t xml:space="preserve">Appellant </w:t>
            </w:r>
          </w:p>
        </w:tc>
      </w:tr>
      <w:tr w:rsidR="00796229" w:rsidRPr="00AE5A3A" w14:paraId="5C4C7D1A" w14:textId="77777777">
        <w:trPr>
          <w:cantSplit/>
        </w:trPr>
        <w:tc>
          <w:tcPr>
            <w:tcW w:w="9813" w:type="dxa"/>
            <w:gridSpan w:val="8"/>
          </w:tcPr>
          <w:p w14:paraId="5916D73F" w14:textId="77777777" w:rsidR="00796229" w:rsidRPr="00AE5A3A" w:rsidRDefault="00796229" w:rsidP="00541348">
            <w:pPr>
              <w:jc w:val="center"/>
              <w:rPr>
                <w:rFonts w:ascii="Arial" w:hAnsi="Arial"/>
              </w:rPr>
            </w:pPr>
          </w:p>
        </w:tc>
      </w:tr>
      <w:tr w:rsidR="00796229" w:rsidRPr="00AE5A3A" w14:paraId="68744792" w14:textId="77777777">
        <w:trPr>
          <w:cantSplit/>
        </w:trPr>
        <w:tc>
          <w:tcPr>
            <w:tcW w:w="9813" w:type="dxa"/>
            <w:gridSpan w:val="8"/>
          </w:tcPr>
          <w:p w14:paraId="7D6839E4" w14:textId="77777777" w:rsidR="00796229" w:rsidRPr="00AE5A3A" w:rsidRDefault="00796229" w:rsidP="00541348">
            <w:pPr>
              <w:jc w:val="center"/>
              <w:rPr>
                <w:rFonts w:ascii="Arial" w:hAnsi="Arial"/>
              </w:rPr>
            </w:pPr>
            <w:r w:rsidRPr="00AE5A3A">
              <w:rPr>
                <w:rFonts w:ascii="Arial" w:hAnsi="Arial"/>
              </w:rPr>
              <w:t>And</w:t>
            </w:r>
          </w:p>
          <w:p w14:paraId="2281CBCD" w14:textId="77777777" w:rsidR="00796229" w:rsidRPr="00AE5A3A" w:rsidRDefault="00796229" w:rsidP="00541348">
            <w:pPr>
              <w:jc w:val="center"/>
              <w:rPr>
                <w:rFonts w:ascii="Arial" w:hAnsi="Arial"/>
              </w:rPr>
            </w:pPr>
          </w:p>
        </w:tc>
      </w:tr>
      <w:tr w:rsidR="003A2449" w:rsidRPr="00AE5A3A" w14:paraId="28548331" w14:textId="77777777" w:rsidTr="0044285D">
        <w:trPr>
          <w:cantSplit/>
        </w:trPr>
        <w:tc>
          <w:tcPr>
            <w:tcW w:w="432" w:type="dxa"/>
          </w:tcPr>
          <w:p w14:paraId="4FEA8C8C" w14:textId="77777777" w:rsidR="003A2449" w:rsidRPr="00AE5A3A" w:rsidRDefault="003A2449" w:rsidP="00121BDE">
            <w:pPr>
              <w:jc w:val="center"/>
              <w:rPr>
                <w:rFonts w:ascii="Arial" w:hAnsi="Arial"/>
              </w:rPr>
            </w:pPr>
          </w:p>
        </w:tc>
        <w:tc>
          <w:tcPr>
            <w:tcW w:w="7641" w:type="dxa"/>
            <w:gridSpan w:val="6"/>
          </w:tcPr>
          <w:p w14:paraId="741EAEE6" w14:textId="0CD7B651" w:rsidR="003A2449" w:rsidRPr="00590716" w:rsidRDefault="00590716" w:rsidP="00121BDE">
            <w:pPr>
              <w:jc w:val="center"/>
              <w:rPr>
                <w:rFonts w:ascii="Arial" w:hAnsi="Arial"/>
                <w:b/>
              </w:rPr>
            </w:pPr>
            <w:r>
              <w:rPr>
                <w:rFonts w:ascii="Arial" w:hAnsi="Arial"/>
                <w:b/>
              </w:rPr>
              <w:t xml:space="preserve">    </w:t>
            </w:r>
            <w:r w:rsidRPr="00590716">
              <w:rPr>
                <w:rFonts w:ascii="Arial" w:hAnsi="Arial"/>
                <w:b/>
              </w:rPr>
              <w:t>THE SECRETARY OF STATE FOR THE HOME DEPARTMENT</w:t>
            </w:r>
          </w:p>
        </w:tc>
        <w:tc>
          <w:tcPr>
            <w:tcW w:w="1740" w:type="dxa"/>
          </w:tcPr>
          <w:p w14:paraId="4E452D7E" w14:textId="77777777" w:rsidR="00590716" w:rsidRDefault="00590716" w:rsidP="00121BDE">
            <w:pPr>
              <w:pStyle w:val="Heading4"/>
              <w:spacing w:before="0" w:after="0"/>
              <w:jc w:val="center"/>
              <w:rPr>
                <w:rFonts w:ascii="Arial" w:hAnsi="Arial"/>
                <w:b w:val="0"/>
                <w:sz w:val="24"/>
                <w:u w:val="single"/>
              </w:rPr>
            </w:pPr>
          </w:p>
          <w:p w14:paraId="582897CD" w14:textId="0934EBC2" w:rsidR="003A2449" w:rsidRPr="0044285D" w:rsidRDefault="003A2449" w:rsidP="00121BDE">
            <w:pPr>
              <w:pStyle w:val="Heading4"/>
              <w:spacing w:before="0" w:after="0"/>
              <w:jc w:val="center"/>
              <w:rPr>
                <w:rFonts w:ascii="Arial" w:hAnsi="Arial"/>
                <w:b w:val="0"/>
                <w:sz w:val="24"/>
              </w:rPr>
            </w:pPr>
            <w:r w:rsidRPr="0044285D">
              <w:rPr>
                <w:rFonts w:ascii="Arial" w:hAnsi="Arial"/>
                <w:b w:val="0"/>
                <w:sz w:val="24"/>
              </w:rPr>
              <w:t xml:space="preserve">Respondent </w:t>
            </w:r>
          </w:p>
        </w:tc>
      </w:tr>
    </w:tbl>
    <w:p w14:paraId="4D39C1F9" w14:textId="77777777" w:rsidR="00F656B2" w:rsidRDefault="00F656B2" w:rsidP="00B2531C">
      <w:pPr>
        <w:rPr>
          <w:rFonts w:ascii="Arial" w:hAnsi="Arial" w:cs="Arial"/>
          <w:u w:val="single"/>
        </w:rPr>
      </w:pPr>
    </w:p>
    <w:p w14:paraId="3BD338C3" w14:textId="77777777" w:rsidR="0018389B" w:rsidRPr="0033270B" w:rsidRDefault="0018389B" w:rsidP="0018389B">
      <w:pPr>
        <w:ind w:left="567" w:hanging="567"/>
        <w:jc w:val="both"/>
        <w:rPr>
          <w:rFonts w:ascii="Arial" w:hAnsi="Arial" w:cs="Arial"/>
          <w:b/>
        </w:rPr>
      </w:pPr>
      <w:r>
        <w:rPr>
          <w:rFonts w:ascii="Arial" w:hAnsi="Arial" w:cs="Arial"/>
          <w:szCs w:val="20"/>
        </w:rPr>
        <w:tab/>
      </w:r>
      <w:r w:rsidRPr="00FB4847">
        <w:rPr>
          <w:rFonts w:ascii="Arial" w:hAnsi="Arial" w:cs="Arial"/>
          <w:szCs w:val="20"/>
        </w:rPr>
        <w:t xml:space="preserve">This </w:t>
      </w:r>
      <w:r>
        <w:rPr>
          <w:rFonts w:ascii="Arial" w:hAnsi="Arial" w:cs="Arial"/>
          <w:szCs w:val="20"/>
        </w:rPr>
        <w:t xml:space="preserve">is </w:t>
      </w:r>
      <w:r w:rsidRPr="00FB4847">
        <w:rPr>
          <w:rFonts w:ascii="Arial" w:hAnsi="Arial" w:cs="Arial"/>
          <w:szCs w:val="20"/>
        </w:rPr>
        <w:t xml:space="preserve">a decision on the papers without a hearing. </w:t>
      </w:r>
      <w:r w:rsidR="00A41AA1">
        <w:rPr>
          <w:rFonts w:ascii="Arial" w:hAnsi="Arial" w:cs="Arial"/>
          <w:szCs w:val="20"/>
        </w:rPr>
        <w:t xml:space="preserve">The appellant requested an oral hearing. The respondent made no submissions on the question whether the Upper Tribunal should proceed to decide the </w:t>
      </w:r>
      <w:r w:rsidR="0033270B">
        <w:rPr>
          <w:rFonts w:ascii="Arial" w:hAnsi="Arial" w:cs="Arial"/>
          <w:szCs w:val="20"/>
        </w:rPr>
        <w:t xml:space="preserve">questions </w:t>
      </w:r>
      <w:r w:rsidR="00A41AA1">
        <w:rPr>
          <w:rFonts w:ascii="Arial" w:hAnsi="Arial" w:cs="Arial"/>
          <w:szCs w:val="20"/>
        </w:rPr>
        <w:t xml:space="preserve">described at </w:t>
      </w:r>
      <w:r w:rsidR="00A41AA1" w:rsidRPr="0033270B">
        <w:rPr>
          <w:rFonts w:ascii="Arial" w:hAnsi="Arial" w:cs="Arial"/>
          <w:szCs w:val="20"/>
        </w:rPr>
        <w:t xml:space="preserve">para </w:t>
      </w:r>
      <w:r w:rsidR="00512EBC" w:rsidRPr="0033270B">
        <w:rPr>
          <w:rFonts w:ascii="Arial" w:hAnsi="Arial" w:cs="Arial"/>
          <w:szCs w:val="20"/>
        </w:rPr>
        <w:t>4</w:t>
      </w:r>
      <w:r w:rsidR="00A41AA1" w:rsidRPr="0033270B">
        <w:rPr>
          <w:rFonts w:ascii="Arial" w:hAnsi="Arial" w:cs="Arial"/>
          <w:szCs w:val="20"/>
        </w:rPr>
        <w:t xml:space="preserve"> below</w:t>
      </w:r>
      <w:r w:rsidR="00A41AA1">
        <w:rPr>
          <w:rFonts w:ascii="Arial" w:hAnsi="Arial" w:cs="Arial"/>
          <w:szCs w:val="20"/>
        </w:rPr>
        <w:t xml:space="preserve"> without a hearing. </w:t>
      </w:r>
      <w:r w:rsidRPr="00FB4847">
        <w:rPr>
          <w:rFonts w:ascii="Arial" w:hAnsi="Arial" w:cs="Arial"/>
          <w:szCs w:val="20"/>
        </w:rPr>
        <w:t>A face</w:t>
      </w:r>
      <w:r w:rsidR="004A6F3C">
        <w:rPr>
          <w:rFonts w:ascii="Arial" w:hAnsi="Arial" w:cs="Arial"/>
          <w:szCs w:val="20"/>
        </w:rPr>
        <w:t>-</w:t>
      </w:r>
      <w:r w:rsidRPr="00FB4847">
        <w:rPr>
          <w:rFonts w:ascii="Arial" w:hAnsi="Arial" w:cs="Arial"/>
          <w:szCs w:val="20"/>
        </w:rPr>
        <w:t>to</w:t>
      </w:r>
      <w:r w:rsidR="004A6F3C">
        <w:rPr>
          <w:rFonts w:ascii="Arial" w:hAnsi="Arial" w:cs="Arial"/>
          <w:szCs w:val="20"/>
        </w:rPr>
        <w:t>-</w:t>
      </w:r>
      <w:r w:rsidRPr="00FB4847">
        <w:rPr>
          <w:rFonts w:ascii="Arial" w:hAnsi="Arial" w:cs="Arial"/>
          <w:szCs w:val="20"/>
        </w:rPr>
        <w:t xml:space="preserve">face hearing or a remote hearing was not held for the </w:t>
      </w:r>
      <w:r w:rsidRPr="004749DF">
        <w:rPr>
          <w:rFonts w:ascii="Arial" w:hAnsi="Arial" w:cs="Arial"/>
          <w:szCs w:val="20"/>
        </w:rPr>
        <w:t xml:space="preserve">reasons given at </w:t>
      </w:r>
      <w:r w:rsidR="00C94895" w:rsidRPr="004749DF">
        <w:rPr>
          <w:rFonts w:ascii="Arial" w:hAnsi="Arial" w:cs="Arial"/>
          <w:szCs w:val="20"/>
        </w:rPr>
        <w:t>para</w:t>
      </w:r>
      <w:r w:rsidR="004B7EDE" w:rsidRPr="004749DF">
        <w:rPr>
          <w:rFonts w:ascii="Arial" w:hAnsi="Arial" w:cs="Arial"/>
          <w:szCs w:val="20"/>
        </w:rPr>
        <w:t>s</w:t>
      </w:r>
      <w:r w:rsidR="00C94895" w:rsidRPr="004749DF">
        <w:rPr>
          <w:rFonts w:ascii="Arial" w:hAnsi="Arial" w:cs="Arial"/>
          <w:szCs w:val="20"/>
        </w:rPr>
        <w:t xml:space="preserve"> </w:t>
      </w:r>
      <w:r w:rsidR="004749DF" w:rsidRPr="0033270B">
        <w:rPr>
          <w:rFonts w:ascii="Arial" w:hAnsi="Arial" w:cs="Arial"/>
          <w:szCs w:val="20"/>
        </w:rPr>
        <w:t>1</w:t>
      </w:r>
      <w:r w:rsidR="00551FF1" w:rsidRPr="0033270B">
        <w:rPr>
          <w:rFonts w:ascii="Arial" w:hAnsi="Arial" w:cs="Arial"/>
          <w:szCs w:val="20"/>
        </w:rPr>
        <w:t>3</w:t>
      </w:r>
      <w:r w:rsidR="000E610F" w:rsidRPr="0033270B">
        <w:rPr>
          <w:rFonts w:ascii="Arial" w:hAnsi="Arial" w:cs="Arial"/>
          <w:szCs w:val="20"/>
        </w:rPr>
        <w:t>-1</w:t>
      </w:r>
      <w:r w:rsidR="00551FF1" w:rsidRPr="0033270B">
        <w:rPr>
          <w:rFonts w:ascii="Arial" w:hAnsi="Arial" w:cs="Arial"/>
          <w:szCs w:val="20"/>
        </w:rPr>
        <w:t>7</w:t>
      </w:r>
      <w:r w:rsidR="00C94895" w:rsidRPr="004749DF">
        <w:rPr>
          <w:rFonts w:ascii="Arial" w:hAnsi="Arial" w:cs="Arial"/>
          <w:szCs w:val="20"/>
        </w:rPr>
        <w:t xml:space="preserve"> </w:t>
      </w:r>
      <w:r w:rsidRPr="004749DF">
        <w:rPr>
          <w:rFonts w:ascii="Arial" w:hAnsi="Arial" w:cs="Arial"/>
          <w:szCs w:val="20"/>
        </w:rPr>
        <w:t xml:space="preserve">below. The documents described at </w:t>
      </w:r>
      <w:r w:rsidRPr="0033270B">
        <w:rPr>
          <w:rFonts w:ascii="Arial" w:hAnsi="Arial" w:cs="Arial"/>
          <w:szCs w:val="20"/>
        </w:rPr>
        <w:t xml:space="preserve">para </w:t>
      </w:r>
      <w:r w:rsidR="00551FF1" w:rsidRPr="0033270B">
        <w:rPr>
          <w:rFonts w:ascii="Arial" w:hAnsi="Arial" w:cs="Arial"/>
          <w:szCs w:val="20"/>
        </w:rPr>
        <w:t>6</w:t>
      </w:r>
      <w:r w:rsidRPr="004749DF">
        <w:rPr>
          <w:rFonts w:ascii="Arial" w:hAnsi="Arial" w:cs="Arial"/>
          <w:szCs w:val="20"/>
        </w:rPr>
        <w:t xml:space="preserve"> below were submitted. The order made is set out at </w:t>
      </w:r>
      <w:r w:rsidRPr="0033270B">
        <w:rPr>
          <w:rFonts w:ascii="Arial" w:hAnsi="Arial" w:cs="Arial"/>
          <w:szCs w:val="20"/>
        </w:rPr>
        <w:t xml:space="preserve">para </w:t>
      </w:r>
      <w:r w:rsidR="00551FF1" w:rsidRPr="0033270B">
        <w:rPr>
          <w:rFonts w:ascii="Arial" w:hAnsi="Arial" w:cs="Arial"/>
          <w:szCs w:val="20"/>
        </w:rPr>
        <w:t>3</w:t>
      </w:r>
      <w:r w:rsidR="00F656B2" w:rsidRPr="0033270B">
        <w:rPr>
          <w:rFonts w:ascii="Arial" w:hAnsi="Arial" w:cs="Arial"/>
          <w:szCs w:val="20"/>
        </w:rPr>
        <w:t>8</w:t>
      </w:r>
      <w:r w:rsidRPr="004749DF">
        <w:rPr>
          <w:rFonts w:ascii="Arial" w:hAnsi="Arial" w:cs="Arial"/>
          <w:szCs w:val="20"/>
        </w:rPr>
        <w:t xml:space="preserve"> below. </w:t>
      </w:r>
      <w:r w:rsidR="00D61D0C" w:rsidRPr="004749DF">
        <w:rPr>
          <w:rFonts w:ascii="Arial" w:hAnsi="Arial" w:cs="Arial"/>
          <w:i/>
          <w:szCs w:val="20"/>
        </w:rPr>
        <w:t>(Administrative Instruction No.</w:t>
      </w:r>
      <w:r w:rsidR="00D61D0C" w:rsidRPr="00D61D0C">
        <w:rPr>
          <w:rFonts w:ascii="Arial" w:hAnsi="Arial" w:cs="Arial"/>
          <w:i/>
          <w:szCs w:val="20"/>
        </w:rPr>
        <w:t xml:space="preserve"> 2 from the Senior President of Tribunals).</w:t>
      </w:r>
      <w:r w:rsidR="000E610F">
        <w:rPr>
          <w:rFonts w:ascii="Arial" w:hAnsi="Arial" w:cs="Arial"/>
          <w:i/>
          <w:szCs w:val="20"/>
        </w:rPr>
        <w:t xml:space="preserve">  </w:t>
      </w:r>
    </w:p>
    <w:p w14:paraId="3135595F" w14:textId="77777777" w:rsidR="0018389B" w:rsidRDefault="0018389B" w:rsidP="00B2531C">
      <w:pPr>
        <w:rPr>
          <w:rFonts w:ascii="Arial" w:hAnsi="Arial" w:cs="Arial"/>
          <w:u w:val="single"/>
        </w:rPr>
      </w:pPr>
    </w:p>
    <w:p w14:paraId="66B264C1" w14:textId="77777777" w:rsidR="00796229" w:rsidRPr="00AE5A3A" w:rsidRDefault="00796229" w:rsidP="00646A8C">
      <w:pPr>
        <w:jc w:val="both"/>
        <w:rPr>
          <w:rFonts w:ascii="Arial" w:hAnsi="Arial"/>
          <w:u w:val="single"/>
        </w:rPr>
      </w:pPr>
      <w:r w:rsidRPr="0044285D">
        <w:rPr>
          <w:rFonts w:ascii="Arial" w:hAnsi="Arial"/>
          <w:b/>
          <w:u w:val="single"/>
        </w:rPr>
        <w:t>Representation</w:t>
      </w:r>
      <w:r w:rsidR="003C4BB7">
        <w:rPr>
          <w:rFonts w:ascii="Arial" w:hAnsi="Arial"/>
          <w:u w:val="single"/>
        </w:rPr>
        <w:t xml:space="preserve"> </w:t>
      </w:r>
      <w:r w:rsidR="003C4BB7" w:rsidRPr="003C4BB7">
        <w:rPr>
          <w:rFonts w:ascii="Arial" w:hAnsi="Arial"/>
          <w:b/>
          <w:u w:val="single"/>
        </w:rPr>
        <w:t>(by submissions in writing)</w:t>
      </w:r>
      <w:r w:rsidRPr="003C4BB7">
        <w:rPr>
          <w:rFonts w:ascii="Arial" w:hAnsi="Arial"/>
          <w:b/>
          <w:u w:val="single"/>
        </w:rPr>
        <w:t>:</w:t>
      </w:r>
    </w:p>
    <w:p w14:paraId="64D038BF" w14:textId="77777777" w:rsidR="00796229" w:rsidRPr="00AE5A3A" w:rsidRDefault="00796229" w:rsidP="00646A8C">
      <w:pPr>
        <w:tabs>
          <w:tab w:val="left" w:pos="2280"/>
        </w:tabs>
        <w:ind w:left="2880" w:hanging="2880"/>
        <w:jc w:val="both"/>
        <w:rPr>
          <w:rFonts w:ascii="Arial" w:hAnsi="Arial"/>
        </w:rPr>
      </w:pPr>
    </w:p>
    <w:p w14:paraId="231DE229" w14:textId="77777777" w:rsidR="00796229" w:rsidRPr="003C4BB7" w:rsidRDefault="00796229" w:rsidP="00646A8C">
      <w:pPr>
        <w:tabs>
          <w:tab w:val="left" w:pos="2280"/>
        </w:tabs>
        <w:ind w:left="2160" w:hanging="2160"/>
        <w:jc w:val="both"/>
        <w:rPr>
          <w:rFonts w:ascii="Arial" w:hAnsi="Arial"/>
        </w:rPr>
      </w:pPr>
      <w:r w:rsidRPr="003C4BB7">
        <w:rPr>
          <w:rFonts w:ascii="Arial" w:hAnsi="Arial"/>
        </w:rPr>
        <w:t xml:space="preserve">For the </w:t>
      </w:r>
      <w:r w:rsidR="003A2449" w:rsidRPr="003C4BB7">
        <w:rPr>
          <w:rFonts w:ascii="Arial" w:hAnsi="Arial"/>
        </w:rPr>
        <w:t>appellant</w:t>
      </w:r>
      <w:r w:rsidRPr="003C4BB7">
        <w:rPr>
          <w:rFonts w:ascii="Arial" w:hAnsi="Arial"/>
        </w:rPr>
        <w:t>:</w:t>
      </w:r>
      <w:r w:rsidRPr="003C4BB7">
        <w:rPr>
          <w:rFonts w:ascii="Arial" w:hAnsi="Arial"/>
        </w:rPr>
        <w:tab/>
      </w:r>
      <w:r w:rsidRPr="003C4BB7">
        <w:rPr>
          <w:rFonts w:ascii="Arial" w:hAnsi="Arial"/>
        </w:rPr>
        <w:tab/>
      </w:r>
      <w:r w:rsidR="00A41AA1">
        <w:rPr>
          <w:rFonts w:ascii="Arial" w:hAnsi="Arial"/>
        </w:rPr>
        <w:t>Mr R Solomon, of C</w:t>
      </w:r>
      <w:r w:rsidR="009E257A">
        <w:rPr>
          <w:rFonts w:ascii="Arial" w:hAnsi="Arial"/>
        </w:rPr>
        <w:t xml:space="preserve">ounsel, </w:t>
      </w:r>
      <w:r w:rsidR="00A41AA1">
        <w:rPr>
          <w:rFonts w:ascii="Arial" w:hAnsi="Arial"/>
        </w:rPr>
        <w:t xml:space="preserve">instructed by </w:t>
      </w:r>
      <w:proofErr w:type="spellStart"/>
      <w:r w:rsidR="00A41AA1">
        <w:rPr>
          <w:rFonts w:ascii="Arial" w:hAnsi="Arial"/>
        </w:rPr>
        <w:t>Jein</w:t>
      </w:r>
      <w:proofErr w:type="spellEnd"/>
      <w:r w:rsidR="00A41AA1">
        <w:rPr>
          <w:rFonts w:ascii="Arial" w:hAnsi="Arial"/>
        </w:rPr>
        <w:t xml:space="preserve"> Solicitors. </w:t>
      </w:r>
    </w:p>
    <w:p w14:paraId="4C7A1284" w14:textId="77777777" w:rsidR="003A2449" w:rsidRDefault="003A2449" w:rsidP="003A2449">
      <w:pPr>
        <w:tabs>
          <w:tab w:val="left" w:pos="2280"/>
        </w:tabs>
        <w:ind w:left="2880" w:hanging="2880"/>
        <w:jc w:val="both"/>
        <w:rPr>
          <w:rFonts w:ascii="Arial" w:hAnsi="Arial"/>
        </w:rPr>
      </w:pPr>
      <w:r w:rsidRPr="003C4BB7">
        <w:rPr>
          <w:rFonts w:ascii="Arial" w:hAnsi="Arial"/>
        </w:rPr>
        <w:t>For the respondent:</w:t>
      </w:r>
      <w:r w:rsidRPr="003C4BB7">
        <w:rPr>
          <w:rFonts w:ascii="Arial" w:hAnsi="Arial"/>
        </w:rPr>
        <w:tab/>
      </w:r>
      <w:r w:rsidR="003C4BB7" w:rsidRPr="003C4BB7">
        <w:rPr>
          <w:rFonts w:ascii="Arial" w:hAnsi="Arial"/>
        </w:rPr>
        <w:t>M</w:t>
      </w:r>
      <w:r w:rsidR="00A41AA1">
        <w:rPr>
          <w:rFonts w:ascii="Arial" w:hAnsi="Arial"/>
        </w:rPr>
        <w:t>r</w:t>
      </w:r>
      <w:r w:rsidR="004A6F3C">
        <w:rPr>
          <w:rFonts w:ascii="Arial" w:hAnsi="Arial"/>
        </w:rPr>
        <w:t xml:space="preserve"> </w:t>
      </w:r>
      <w:r w:rsidR="00A41AA1">
        <w:rPr>
          <w:rFonts w:ascii="Arial" w:hAnsi="Arial"/>
        </w:rPr>
        <w:t xml:space="preserve">T Lindsay, </w:t>
      </w:r>
      <w:r w:rsidR="004A6F3C">
        <w:rPr>
          <w:rFonts w:ascii="Arial" w:hAnsi="Arial"/>
        </w:rPr>
        <w:t>Specialist Appeals Team.</w:t>
      </w:r>
    </w:p>
    <w:p w14:paraId="022520B5" w14:textId="77777777" w:rsidR="00F656B2" w:rsidRPr="003C4BB7" w:rsidRDefault="00F656B2" w:rsidP="003A2449">
      <w:pPr>
        <w:tabs>
          <w:tab w:val="left" w:pos="2280"/>
        </w:tabs>
        <w:ind w:left="2880" w:hanging="2880"/>
        <w:jc w:val="both"/>
        <w:rPr>
          <w:rFonts w:ascii="Arial" w:hAnsi="Arial"/>
        </w:rPr>
      </w:pPr>
    </w:p>
    <w:p w14:paraId="65646F8E" w14:textId="77777777" w:rsidR="00796229" w:rsidRPr="00440E84" w:rsidRDefault="00603F14" w:rsidP="00541348">
      <w:pPr>
        <w:pStyle w:val="Heading2"/>
        <w:jc w:val="center"/>
        <w:rPr>
          <w:rFonts w:cs="Times New Roman"/>
          <w:i w:val="0"/>
          <w:u w:val="single"/>
        </w:rPr>
      </w:pPr>
      <w:r w:rsidRPr="00440E84">
        <w:rPr>
          <w:rFonts w:cs="Times New Roman"/>
          <w:i w:val="0"/>
          <w:u w:val="single"/>
        </w:rPr>
        <w:t xml:space="preserve">Decision </w:t>
      </w:r>
    </w:p>
    <w:p w14:paraId="59189672" w14:textId="77777777" w:rsidR="009E257A" w:rsidRDefault="003A2449" w:rsidP="00646A8C">
      <w:pPr>
        <w:numPr>
          <w:ilvl w:val="0"/>
          <w:numId w:val="1"/>
        </w:numPr>
        <w:tabs>
          <w:tab w:val="left" w:pos="567"/>
        </w:tabs>
        <w:spacing w:before="240"/>
        <w:ind w:left="567" w:hanging="567"/>
        <w:jc w:val="both"/>
        <w:rPr>
          <w:rFonts w:ascii="Arial" w:hAnsi="Arial" w:cs="Arial"/>
        </w:rPr>
      </w:pPr>
      <w:r w:rsidRPr="00AE5A3A">
        <w:rPr>
          <w:rFonts w:ascii="Arial" w:hAnsi="Arial" w:cs="Arial"/>
        </w:rPr>
        <w:t xml:space="preserve">The </w:t>
      </w:r>
      <w:r w:rsidR="003C4BB7">
        <w:rPr>
          <w:rFonts w:ascii="Arial" w:hAnsi="Arial" w:cs="Arial"/>
        </w:rPr>
        <w:t xml:space="preserve">appellant, a national of </w:t>
      </w:r>
      <w:r w:rsidR="009E257A">
        <w:rPr>
          <w:rFonts w:ascii="Arial" w:hAnsi="Arial" w:cs="Arial"/>
        </w:rPr>
        <w:t xml:space="preserve">Pakistan born on 14 August 1983, </w:t>
      </w:r>
      <w:r w:rsidR="003C4BB7">
        <w:rPr>
          <w:rFonts w:ascii="Arial" w:hAnsi="Arial" w:cs="Arial"/>
        </w:rPr>
        <w:t xml:space="preserve">appeals against a decision of Judge of the First-tier Tribunal </w:t>
      </w:r>
      <w:r w:rsidR="009E257A">
        <w:rPr>
          <w:rFonts w:ascii="Arial" w:hAnsi="Arial" w:cs="Arial"/>
        </w:rPr>
        <w:t xml:space="preserve">D.P. Herbert OBE </w:t>
      </w:r>
      <w:r w:rsidR="001C4344">
        <w:rPr>
          <w:rFonts w:ascii="Arial" w:hAnsi="Arial" w:cs="Arial"/>
        </w:rPr>
        <w:t>(hereafter referred to as the "</w:t>
      </w:r>
      <w:r w:rsidR="008D73F7">
        <w:rPr>
          <w:rFonts w:ascii="Arial" w:hAnsi="Arial" w:cs="Arial"/>
        </w:rPr>
        <w:t>Judge</w:t>
      </w:r>
      <w:r w:rsidR="001C4344">
        <w:rPr>
          <w:rFonts w:ascii="Arial" w:hAnsi="Arial" w:cs="Arial"/>
        </w:rPr>
        <w:t xml:space="preserve">") </w:t>
      </w:r>
      <w:r w:rsidR="003C4BB7">
        <w:rPr>
          <w:rFonts w:ascii="Arial" w:hAnsi="Arial" w:cs="Arial"/>
        </w:rPr>
        <w:t xml:space="preserve">who, </w:t>
      </w:r>
      <w:r w:rsidRPr="00AE5A3A">
        <w:rPr>
          <w:rFonts w:ascii="Arial" w:hAnsi="Arial" w:cs="Arial"/>
        </w:rPr>
        <w:t xml:space="preserve">in a decision promulgated on </w:t>
      </w:r>
      <w:r w:rsidR="009E257A">
        <w:rPr>
          <w:rFonts w:ascii="Arial" w:hAnsi="Arial" w:cs="Arial"/>
        </w:rPr>
        <w:t xml:space="preserve">8 October 2019 </w:t>
      </w:r>
      <w:r w:rsidRPr="00AE5A3A">
        <w:rPr>
          <w:rFonts w:ascii="Arial" w:hAnsi="Arial" w:cs="Arial"/>
        </w:rPr>
        <w:t xml:space="preserve">following a hearing on </w:t>
      </w:r>
      <w:r w:rsidR="009E257A">
        <w:rPr>
          <w:rFonts w:ascii="Arial" w:hAnsi="Arial" w:cs="Arial"/>
        </w:rPr>
        <w:lastRenderedPageBreak/>
        <w:t>17 September 2019</w:t>
      </w:r>
      <w:r w:rsidRPr="00AE5A3A">
        <w:rPr>
          <w:rFonts w:ascii="Arial" w:hAnsi="Arial" w:cs="Arial"/>
        </w:rPr>
        <w:t xml:space="preserve">, </w:t>
      </w:r>
      <w:r w:rsidR="003C4BB7">
        <w:rPr>
          <w:rFonts w:ascii="Arial" w:hAnsi="Arial" w:cs="Arial"/>
        </w:rPr>
        <w:t xml:space="preserve">dismissed </w:t>
      </w:r>
      <w:r w:rsidR="009E257A">
        <w:rPr>
          <w:rFonts w:ascii="Arial" w:hAnsi="Arial" w:cs="Arial"/>
        </w:rPr>
        <w:t xml:space="preserve">his </w:t>
      </w:r>
      <w:r w:rsidR="000A5A9E">
        <w:rPr>
          <w:rFonts w:ascii="Arial" w:hAnsi="Arial" w:cs="Arial"/>
        </w:rPr>
        <w:t xml:space="preserve">appeal </w:t>
      </w:r>
      <w:r w:rsidRPr="00AE5A3A">
        <w:rPr>
          <w:rFonts w:ascii="Arial" w:hAnsi="Arial" w:cs="Arial"/>
        </w:rPr>
        <w:t xml:space="preserve">against a decision of the respondent of </w:t>
      </w:r>
      <w:r w:rsidR="009E257A">
        <w:rPr>
          <w:rFonts w:ascii="Arial" w:hAnsi="Arial" w:cs="Arial"/>
        </w:rPr>
        <w:t xml:space="preserve">16 January 2019 </w:t>
      </w:r>
      <w:r w:rsidR="003C4BB7">
        <w:rPr>
          <w:rFonts w:ascii="Arial" w:hAnsi="Arial" w:cs="Arial"/>
        </w:rPr>
        <w:t xml:space="preserve">to refuse </w:t>
      </w:r>
      <w:r w:rsidR="009E257A">
        <w:rPr>
          <w:rFonts w:ascii="Arial" w:hAnsi="Arial" w:cs="Arial"/>
        </w:rPr>
        <w:t xml:space="preserve">to issue a residence card as a family member of an EEA national exercising Treaty rights in the United Kingdom. The appellant had applied on 3 December 2018 for a residence card as the spouse of Ms Karolina </w:t>
      </w:r>
      <w:proofErr w:type="spellStart"/>
      <w:r w:rsidR="009E257A">
        <w:rPr>
          <w:rFonts w:ascii="Arial" w:hAnsi="Arial" w:cs="Arial"/>
        </w:rPr>
        <w:t>Grzymala</w:t>
      </w:r>
      <w:proofErr w:type="spellEnd"/>
      <w:r w:rsidR="00512EBC">
        <w:rPr>
          <w:rFonts w:ascii="Arial" w:hAnsi="Arial" w:cs="Arial"/>
        </w:rPr>
        <w:t>, a</w:t>
      </w:r>
      <w:r w:rsidR="004F15A7">
        <w:rPr>
          <w:rFonts w:ascii="Arial" w:hAnsi="Arial" w:cs="Arial"/>
        </w:rPr>
        <w:t xml:space="preserve"> </w:t>
      </w:r>
      <w:r w:rsidR="009E257A">
        <w:rPr>
          <w:rFonts w:ascii="Arial" w:hAnsi="Arial" w:cs="Arial"/>
        </w:rPr>
        <w:t xml:space="preserve">Swiss national said to be exercising Treaty rights in the </w:t>
      </w:r>
      <w:r w:rsidR="00512EBC">
        <w:rPr>
          <w:rFonts w:ascii="Arial" w:hAnsi="Arial" w:cs="Arial"/>
        </w:rPr>
        <w:t>United Kingdom (hereafter the "sponsor").</w:t>
      </w:r>
    </w:p>
    <w:p w14:paraId="1F506790" w14:textId="77777777" w:rsidR="004F15A7" w:rsidRDefault="004F15A7" w:rsidP="00646A8C">
      <w:pPr>
        <w:numPr>
          <w:ilvl w:val="0"/>
          <w:numId w:val="1"/>
        </w:numPr>
        <w:tabs>
          <w:tab w:val="left" w:pos="567"/>
        </w:tabs>
        <w:spacing w:before="240"/>
        <w:ind w:left="567" w:hanging="567"/>
        <w:jc w:val="both"/>
        <w:rPr>
          <w:rFonts w:ascii="Arial" w:hAnsi="Arial" w:cs="Arial"/>
        </w:rPr>
      </w:pPr>
      <w:r>
        <w:rPr>
          <w:rFonts w:ascii="Arial" w:hAnsi="Arial" w:cs="Arial"/>
        </w:rPr>
        <w:t xml:space="preserve">The respondent refused to issue a residence card because she took the view that the appellant's marriage to the sponsor was a marriage of convenience. </w:t>
      </w:r>
    </w:p>
    <w:p w14:paraId="6AA1B21D" w14:textId="77777777" w:rsidR="001C4344" w:rsidRDefault="009E257A" w:rsidP="00646A8C">
      <w:pPr>
        <w:numPr>
          <w:ilvl w:val="0"/>
          <w:numId w:val="1"/>
        </w:numPr>
        <w:tabs>
          <w:tab w:val="left" w:pos="567"/>
        </w:tabs>
        <w:spacing w:before="240"/>
        <w:ind w:left="567" w:hanging="567"/>
        <w:jc w:val="both"/>
        <w:rPr>
          <w:rFonts w:ascii="Arial" w:hAnsi="Arial" w:cs="Arial"/>
        </w:rPr>
      </w:pPr>
      <w:r>
        <w:rPr>
          <w:rFonts w:ascii="Arial" w:hAnsi="Arial" w:cs="Arial"/>
        </w:rPr>
        <w:t xml:space="preserve">By a Notice of Hearing dated 12 February 2020, this appeal </w:t>
      </w:r>
      <w:r w:rsidR="00512EBC">
        <w:rPr>
          <w:rFonts w:ascii="Arial" w:hAnsi="Arial" w:cs="Arial"/>
        </w:rPr>
        <w:t xml:space="preserve">to the Upper Tribunal </w:t>
      </w:r>
      <w:r>
        <w:rPr>
          <w:rFonts w:ascii="Arial" w:hAnsi="Arial" w:cs="Arial"/>
        </w:rPr>
        <w:t xml:space="preserve">was listed for hearing on 27 March 2020. However, the hearing was adjourned due to the imposition of the lockdown on 23 March 2020. </w:t>
      </w:r>
    </w:p>
    <w:p w14:paraId="583AE238" w14:textId="77777777" w:rsidR="00121EB3" w:rsidRDefault="009E257A" w:rsidP="009E257A">
      <w:pPr>
        <w:numPr>
          <w:ilvl w:val="0"/>
          <w:numId w:val="1"/>
        </w:numPr>
        <w:tabs>
          <w:tab w:val="left" w:pos="567"/>
        </w:tabs>
        <w:spacing w:before="240"/>
        <w:ind w:left="567" w:hanging="567"/>
        <w:jc w:val="both"/>
        <w:rPr>
          <w:rFonts w:ascii="Arial" w:hAnsi="Arial" w:cs="Arial"/>
        </w:rPr>
      </w:pPr>
      <w:r>
        <w:rPr>
          <w:rFonts w:ascii="Arial" w:hAnsi="Arial" w:cs="Arial"/>
        </w:rPr>
        <w:t>On 24 April 2020, the Upper Tribunal sent to the parties a "</w:t>
      </w:r>
      <w:r w:rsidRPr="003D0E11">
        <w:rPr>
          <w:rFonts w:ascii="Arial" w:hAnsi="Arial" w:cs="Arial"/>
          <w:i/>
        </w:rPr>
        <w:t>Note and Directions</w:t>
      </w:r>
      <w:r>
        <w:rPr>
          <w:rFonts w:ascii="Arial" w:hAnsi="Arial" w:cs="Arial"/>
        </w:rPr>
        <w:t>" issued by Upper Tribunal Judge Smith. At para 1 of the "</w:t>
      </w:r>
      <w:r w:rsidRPr="00682943">
        <w:rPr>
          <w:rFonts w:ascii="Arial" w:hAnsi="Arial" w:cs="Arial"/>
          <w:i/>
        </w:rPr>
        <w:t>Note and Directions</w:t>
      </w:r>
      <w:r>
        <w:rPr>
          <w:rFonts w:ascii="Arial" w:hAnsi="Arial" w:cs="Arial"/>
        </w:rPr>
        <w:t xml:space="preserve">", Judge Smith stated that, </w:t>
      </w:r>
      <w:proofErr w:type="gramStart"/>
      <w:r>
        <w:rPr>
          <w:rFonts w:ascii="Arial" w:hAnsi="Arial" w:cs="Arial"/>
        </w:rPr>
        <w:t>in light of</w:t>
      </w:r>
      <w:proofErr w:type="gramEnd"/>
      <w:r>
        <w:rPr>
          <w:rFonts w:ascii="Arial" w:hAnsi="Arial" w:cs="Arial"/>
        </w:rPr>
        <w:t xml:space="preserve"> the need to take precautions against the spread of Covid-19, she had reached the provisional view, having reviewed the file in this case, that it would be appropriate to decide, without a hearing, </w:t>
      </w:r>
      <w:r w:rsidR="00121EB3">
        <w:rPr>
          <w:rFonts w:ascii="Arial" w:hAnsi="Arial" w:cs="Arial"/>
        </w:rPr>
        <w:t xml:space="preserve">the following questions: </w:t>
      </w:r>
    </w:p>
    <w:p w14:paraId="66055675" w14:textId="77777777" w:rsidR="00121EB3" w:rsidRDefault="00121EB3" w:rsidP="00121EB3">
      <w:pPr>
        <w:tabs>
          <w:tab w:val="left" w:pos="567"/>
        </w:tabs>
        <w:spacing w:before="240"/>
        <w:ind w:left="1134" w:hanging="1134"/>
        <w:jc w:val="both"/>
        <w:rPr>
          <w:rFonts w:ascii="Arial" w:hAnsi="Arial" w:cs="Arial"/>
        </w:rPr>
      </w:pPr>
      <w:r>
        <w:rPr>
          <w:rFonts w:ascii="Arial" w:hAnsi="Arial" w:cs="Arial"/>
        </w:rPr>
        <w:tab/>
        <w:t>(a)</w:t>
      </w:r>
      <w:r>
        <w:rPr>
          <w:rFonts w:ascii="Arial" w:hAnsi="Arial" w:cs="Arial"/>
        </w:rPr>
        <w:tab/>
        <w:t>(</w:t>
      </w:r>
      <w:r w:rsidRPr="00121EB3">
        <w:rPr>
          <w:rFonts w:ascii="Arial" w:hAnsi="Arial" w:cs="Arial"/>
          <w:i/>
        </w:rPr>
        <w:t>question (a)</w:t>
      </w:r>
      <w:r>
        <w:rPr>
          <w:rFonts w:ascii="Arial" w:hAnsi="Arial" w:cs="Arial"/>
        </w:rPr>
        <w:t xml:space="preserve">) </w:t>
      </w:r>
      <w:r w:rsidR="009E257A">
        <w:rPr>
          <w:rFonts w:ascii="Arial" w:hAnsi="Arial" w:cs="Arial"/>
        </w:rPr>
        <w:t xml:space="preserve">whether the </w:t>
      </w:r>
      <w:r w:rsidR="008D73F7">
        <w:rPr>
          <w:rFonts w:ascii="Arial" w:hAnsi="Arial" w:cs="Arial"/>
        </w:rPr>
        <w:t>Judge</w:t>
      </w:r>
      <w:r w:rsidR="00D148D4">
        <w:rPr>
          <w:rFonts w:ascii="Arial" w:hAnsi="Arial" w:cs="Arial"/>
        </w:rPr>
        <w:t>'s decision involved the making of an error of law</w:t>
      </w:r>
      <w:r>
        <w:rPr>
          <w:rFonts w:ascii="Arial" w:hAnsi="Arial" w:cs="Arial"/>
        </w:rPr>
        <w:t xml:space="preserve">; </w:t>
      </w:r>
      <w:r w:rsidR="00D148D4">
        <w:rPr>
          <w:rFonts w:ascii="Arial" w:hAnsi="Arial" w:cs="Arial"/>
        </w:rPr>
        <w:t xml:space="preserve">and </w:t>
      </w:r>
    </w:p>
    <w:p w14:paraId="75D2B7B8" w14:textId="77777777" w:rsidR="009E257A" w:rsidRDefault="00121EB3" w:rsidP="00121EB3">
      <w:pPr>
        <w:tabs>
          <w:tab w:val="left" w:pos="567"/>
        </w:tabs>
        <w:spacing w:before="240"/>
        <w:ind w:left="1134" w:hanging="1134"/>
        <w:jc w:val="both"/>
        <w:rPr>
          <w:rFonts w:ascii="Arial" w:hAnsi="Arial" w:cs="Arial"/>
        </w:rPr>
      </w:pPr>
      <w:r>
        <w:rPr>
          <w:rFonts w:ascii="Arial" w:hAnsi="Arial" w:cs="Arial"/>
        </w:rPr>
        <w:tab/>
        <w:t>(b)</w:t>
      </w:r>
      <w:r>
        <w:rPr>
          <w:rFonts w:ascii="Arial" w:hAnsi="Arial" w:cs="Arial"/>
        </w:rPr>
        <w:tab/>
        <w:t>(</w:t>
      </w:r>
      <w:r w:rsidRPr="00121EB3">
        <w:rPr>
          <w:rFonts w:ascii="Arial" w:hAnsi="Arial" w:cs="Arial"/>
          <w:i/>
        </w:rPr>
        <w:t>question (b)</w:t>
      </w:r>
      <w:r>
        <w:rPr>
          <w:rFonts w:ascii="Arial" w:hAnsi="Arial" w:cs="Arial"/>
        </w:rPr>
        <w:t xml:space="preserve">) </w:t>
      </w:r>
      <w:r w:rsidR="00D148D4">
        <w:rPr>
          <w:rFonts w:ascii="Arial" w:hAnsi="Arial" w:cs="Arial"/>
        </w:rPr>
        <w:t xml:space="preserve">if so, </w:t>
      </w:r>
      <w:r w:rsidR="009E257A">
        <w:rPr>
          <w:rFonts w:ascii="Arial" w:hAnsi="Arial" w:cs="Arial"/>
        </w:rPr>
        <w:t xml:space="preserve">whether his decision should be set aside. </w:t>
      </w:r>
    </w:p>
    <w:p w14:paraId="2FDEF94B" w14:textId="77777777" w:rsidR="009E257A" w:rsidRDefault="009E257A" w:rsidP="009E257A">
      <w:pPr>
        <w:numPr>
          <w:ilvl w:val="0"/>
          <w:numId w:val="1"/>
        </w:numPr>
        <w:tabs>
          <w:tab w:val="left" w:pos="567"/>
        </w:tabs>
        <w:spacing w:before="240"/>
        <w:ind w:left="567" w:hanging="567"/>
        <w:jc w:val="both"/>
        <w:rPr>
          <w:rFonts w:ascii="Arial" w:hAnsi="Arial" w:cs="Arial"/>
        </w:rPr>
      </w:pPr>
      <w:r>
        <w:rPr>
          <w:rFonts w:ascii="Arial" w:hAnsi="Arial" w:cs="Arial"/>
        </w:rPr>
        <w:t xml:space="preserve">Judge </w:t>
      </w:r>
      <w:r w:rsidR="00D148D4">
        <w:rPr>
          <w:rFonts w:ascii="Arial" w:hAnsi="Arial" w:cs="Arial"/>
        </w:rPr>
        <w:t>S</w:t>
      </w:r>
      <w:r>
        <w:rPr>
          <w:rFonts w:ascii="Arial" w:hAnsi="Arial" w:cs="Arial"/>
        </w:rPr>
        <w:t xml:space="preserve">mith gave certain directions to enable the parties to object to the Upper Tribunal deciding the said questions without a hearing </w:t>
      </w:r>
      <w:proofErr w:type="gramStart"/>
      <w:r>
        <w:rPr>
          <w:rFonts w:ascii="Arial" w:hAnsi="Arial" w:cs="Arial"/>
        </w:rPr>
        <w:t>and also</w:t>
      </w:r>
      <w:proofErr w:type="gramEnd"/>
      <w:r>
        <w:rPr>
          <w:rFonts w:ascii="Arial" w:hAnsi="Arial" w:cs="Arial"/>
        </w:rPr>
        <w:t xml:space="preserve"> to make submissions on the question</w:t>
      </w:r>
      <w:r w:rsidR="00D148D4">
        <w:rPr>
          <w:rFonts w:ascii="Arial" w:hAnsi="Arial" w:cs="Arial"/>
        </w:rPr>
        <w:t>s</w:t>
      </w:r>
      <w:r>
        <w:rPr>
          <w:rFonts w:ascii="Arial" w:hAnsi="Arial" w:cs="Arial"/>
        </w:rPr>
        <w:t xml:space="preserve">. </w:t>
      </w:r>
    </w:p>
    <w:p w14:paraId="180E7802" w14:textId="77777777" w:rsidR="009E257A" w:rsidRDefault="00D148D4" w:rsidP="009E257A">
      <w:pPr>
        <w:numPr>
          <w:ilvl w:val="0"/>
          <w:numId w:val="1"/>
        </w:numPr>
        <w:tabs>
          <w:tab w:val="left" w:pos="567"/>
        </w:tabs>
        <w:spacing w:before="240"/>
        <w:ind w:left="567" w:hanging="567"/>
        <w:jc w:val="both"/>
        <w:rPr>
          <w:rFonts w:ascii="Arial" w:hAnsi="Arial" w:cs="Arial"/>
        </w:rPr>
      </w:pPr>
      <w:r>
        <w:rPr>
          <w:rFonts w:ascii="Arial" w:hAnsi="Arial" w:cs="Arial"/>
        </w:rPr>
        <w:t>In response to Judge Smith's "</w:t>
      </w:r>
      <w:r w:rsidRPr="00D148D4">
        <w:rPr>
          <w:rFonts w:ascii="Arial" w:hAnsi="Arial" w:cs="Arial"/>
          <w:i/>
        </w:rPr>
        <w:t>Note and Directions</w:t>
      </w:r>
      <w:r>
        <w:rPr>
          <w:rFonts w:ascii="Arial" w:hAnsi="Arial" w:cs="Arial"/>
        </w:rPr>
        <w:t xml:space="preserve">", the </w:t>
      </w:r>
      <w:r w:rsidR="009E257A">
        <w:rPr>
          <w:rFonts w:ascii="Arial" w:hAnsi="Arial" w:cs="Arial"/>
        </w:rPr>
        <w:t>Upper Tribunal has received the following documents</w:t>
      </w:r>
      <w:r>
        <w:rPr>
          <w:rFonts w:ascii="Arial" w:hAnsi="Arial" w:cs="Arial"/>
        </w:rPr>
        <w:t>:</w:t>
      </w:r>
      <w:r w:rsidR="009E257A">
        <w:rPr>
          <w:rFonts w:ascii="Arial" w:hAnsi="Arial" w:cs="Arial"/>
        </w:rPr>
        <w:t xml:space="preserve"> </w:t>
      </w:r>
    </w:p>
    <w:p w14:paraId="7E1E9C52" w14:textId="77777777" w:rsidR="009E257A" w:rsidRDefault="009E257A" w:rsidP="009E257A">
      <w:pPr>
        <w:tabs>
          <w:tab w:val="left" w:pos="567"/>
          <w:tab w:val="left" w:pos="1260"/>
        </w:tabs>
        <w:spacing w:before="240"/>
        <w:ind w:left="1260" w:hanging="1260"/>
        <w:jc w:val="both"/>
        <w:rPr>
          <w:rFonts w:ascii="Arial" w:hAnsi="Arial" w:cs="Arial"/>
        </w:rPr>
      </w:pPr>
      <w:r>
        <w:rPr>
          <w:rFonts w:ascii="Arial" w:hAnsi="Arial" w:cs="Arial"/>
        </w:rPr>
        <w:tab/>
        <w:t>(i)</w:t>
      </w:r>
      <w:r>
        <w:rPr>
          <w:rFonts w:ascii="Arial" w:hAnsi="Arial" w:cs="Arial"/>
        </w:rPr>
        <w:tab/>
        <w:t xml:space="preserve">from the </w:t>
      </w:r>
      <w:r w:rsidR="00D148D4">
        <w:rPr>
          <w:rFonts w:ascii="Arial" w:hAnsi="Arial" w:cs="Arial"/>
        </w:rPr>
        <w:t>respondent, a Rule 24 re</w:t>
      </w:r>
      <w:r w:rsidR="00121EB3">
        <w:rPr>
          <w:rFonts w:ascii="Arial" w:hAnsi="Arial" w:cs="Arial"/>
        </w:rPr>
        <w:t xml:space="preserve">ply </w:t>
      </w:r>
      <w:r w:rsidR="00D148D4">
        <w:rPr>
          <w:rFonts w:ascii="Arial" w:hAnsi="Arial" w:cs="Arial"/>
        </w:rPr>
        <w:t xml:space="preserve">dated 13 May 2020 by Mr Lindsay, </w:t>
      </w:r>
      <w:r>
        <w:rPr>
          <w:rFonts w:ascii="Arial" w:hAnsi="Arial" w:cs="Arial"/>
        </w:rPr>
        <w:t>submitted under cover of an email dated 1</w:t>
      </w:r>
      <w:r w:rsidR="00D148D4">
        <w:rPr>
          <w:rFonts w:ascii="Arial" w:hAnsi="Arial" w:cs="Arial"/>
        </w:rPr>
        <w:t>3</w:t>
      </w:r>
      <w:r>
        <w:rPr>
          <w:rFonts w:ascii="Arial" w:hAnsi="Arial" w:cs="Arial"/>
        </w:rPr>
        <w:t xml:space="preserve"> May 2020 timed at </w:t>
      </w:r>
      <w:r w:rsidR="00D148D4">
        <w:rPr>
          <w:rFonts w:ascii="Arial" w:hAnsi="Arial" w:cs="Arial"/>
        </w:rPr>
        <w:t xml:space="preserve">10:43 </w:t>
      </w:r>
      <w:r>
        <w:rPr>
          <w:rFonts w:ascii="Arial" w:hAnsi="Arial" w:cs="Arial"/>
        </w:rPr>
        <w:t xml:space="preserve">hours; </w:t>
      </w:r>
      <w:r w:rsidR="00D148D4">
        <w:rPr>
          <w:rFonts w:ascii="Arial" w:hAnsi="Arial" w:cs="Arial"/>
        </w:rPr>
        <w:t>and</w:t>
      </w:r>
    </w:p>
    <w:p w14:paraId="775FED72" w14:textId="77777777" w:rsidR="009E257A" w:rsidRDefault="009E257A" w:rsidP="009E257A">
      <w:pPr>
        <w:tabs>
          <w:tab w:val="left" w:pos="567"/>
          <w:tab w:val="left" w:pos="1260"/>
        </w:tabs>
        <w:spacing w:before="240"/>
        <w:ind w:left="1260" w:hanging="1260"/>
        <w:jc w:val="both"/>
        <w:rPr>
          <w:rFonts w:ascii="Arial" w:hAnsi="Arial" w:cs="Arial"/>
        </w:rPr>
      </w:pPr>
      <w:r>
        <w:rPr>
          <w:rFonts w:ascii="Arial" w:hAnsi="Arial" w:cs="Arial"/>
        </w:rPr>
        <w:tab/>
        <w:t>(ii)</w:t>
      </w:r>
      <w:r>
        <w:rPr>
          <w:rFonts w:ascii="Arial" w:hAnsi="Arial" w:cs="Arial"/>
        </w:rPr>
        <w:tab/>
        <w:t xml:space="preserve">from the </w:t>
      </w:r>
      <w:r w:rsidR="00D148D4">
        <w:rPr>
          <w:rFonts w:ascii="Arial" w:hAnsi="Arial" w:cs="Arial"/>
        </w:rPr>
        <w:t xml:space="preserve">appellant, </w:t>
      </w:r>
      <w:r>
        <w:rPr>
          <w:rFonts w:ascii="Arial" w:hAnsi="Arial" w:cs="Arial"/>
        </w:rPr>
        <w:t>a document entitled: "</w:t>
      </w:r>
      <w:r w:rsidR="00D148D4" w:rsidRPr="00D148D4">
        <w:rPr>
          <w:rFonts w:ascii="Arial" w:hAnsi="Arial" w:cs="Arial"/>
          <w:i/>
        </w:rPr>
        <w:t>Further</w:t>
      </w:r>
      <w:r w:rsidR="00D148D4">
        <w:rPr>
          <w:rFonts w:ascii="Arial" w:hAnsi="Arial" w:cs="Arial"/>
        </w:rPr>
        <w:t xml:space="preserve"> </w:t>
      </w:r>
      <w:r w:rsidRPr="00E10ABC">
        <w:rPr>
          <w:rFonts w:ascii="Arial" w:hAnsi="Arial" w:cs="Arial"/>
          <w:i/>
        </w:rPr>
        <w:t xml:space="preserve">submissions on </w:t>
      </w:r>
      <w:r w:rsidR="00D148D4">
        <w:rPr>
          <w:rFonts w:ascii="Arial" w:hAnsi="Arial" w:cs="Arial"/>
          <w:i/>
        </w:rPr>
        <w:t xml:space="preserve">behalf of the appellant" </w:t>
      </w:r>
      <w:r w:rsidR="00121EB3" w:rsidRPr="000A0007">
        <w:rPr>
          <w:rFonts w:ascii="Arial" w:hAnsi="Arial" w:cs="Arial"/>
        </w:rPr>
        <w:t>(hereafter the appellant's "Further submissions")</w:t>
      </w:r>
      <w:r w:rsidR="00121EB3">
        <w:rPr>
          <w:rFonts w:ascii="Arial" w:hAnsi="Arial" w:cs="Arial"/>
          <w:i/>
        </w:rPr>
        <w:t xml:space="preserve"> </w:t>
      </w:r>
      <w:r>
        <w:rPr>
          <w:rFonts w:ascii="Arial" w:hAnsi="Arial" w:cs="Arial"/>
        </w:rPr>
        <w:t xml:space="preserve">dated </w:t>
      </w:r>
      <w:r w:rsidR="00D148D4">
        <w:rPr>
          <w:rFonts w:ascii="Arial" w:hAnsi="Arial" w:cs="Arial"/>
        </w:rPr>
        <w:t xml:space="preserve">11 </w:t>
      </w:r>
      <w:r>
        <w:rPr>
          <w:rFonts w:ascii="Arial" w:hAnsi="Arial" w:cs="Arial"/>
        </w:rPr>
        <w:t>May 2020 by M</w:t>
      </w:r>
      <w:r w:rsidR="00D148D4">
        <w:rPr>
          <w:rFonts w:ascii="Arial" w:hAnsi="Arial" w:cs="Arial"/>
        </w:rPr>
        <w:t xml:space="preserve">r </w:t>
      </w:r>
      <w:r w:rsidR="00551FF1">
        <w:rPr>
          <w:rFonts w:ascii="Arial" w:hAnsi="Arial" w:cs="Arial"/>
        </w:rPr>
        <w:t>Solomon</w:t>
      </w:r>
      <w:r w:rsidR="00D148D4">
        <w:rPr>
          <w:rFonts w:ascii="Arial" w:hAnsi="Arial" w:cs="Arial"/>
        </w:rPr>
        <w:t xml:space="preserve">, </w:t>
      </w:r>
      <w:r>
        <w:rPr>
          <w:rFonts w:ascii="Arial" w:hAnsi="Arial" w:cs="Arial"/>
        </w:rPr>
        <w:t>submitted under cover of a</w:t>
      </w:r>
      <w:r w:rsidR="00D148D4">
        <w:rPr>
          <w:rFonts w:ascii="Arial" w:hAnsi="Arial" w:cs="Arial"/>
        </w:rPr>
        <w:t xml:space="preserve"> letter from </w:t>
      </w:r>
      <w:proofErr w:type="spellStart"/>
      <w:r w:rsidR="00D148D4">
        <w:rPr>
          <w:rFonts w:ascii="Arial" w:hAnsi="Arial" w:cs="Arial"/>
        </w:rPr>
        <w:t>Jein</w:t>
      </w:r>
      <w:proofErr w:type="spellEnd"/>
      <w:r w:rsidR="00D148D4">
        <w:rPr>
          <w:rFonts w:ascii="Arial" w:hAnsi="Arial" w:cs="Arial"/>
        </w:rPr>
        <w:t xml:space="preserve"> Solicitors dated 12 May 2020 and sent to the Upper Tribunal by email dated 12 May 2020 timed at 17:39 hours and again by email dated 13 May 2020 timed at 16:17 hours. </w:t>
      </w:r>
    </w:p>
    <w:p w14:paraId="362531C4" w14:textId="77777777" w:rsidR="009E257A" w:rsidRDefault="00121EB3" w:rsidP="00646A8C">
      <w:pPr>
        <w:numPr>
          <w:ilvl w:val="0"/>
          <w:numId w:val="1"/>
        </w:numPr>
        <w:tabs>
          <w:tab w:val="left" w:pos="567"/>
        </w:tabs>
        <w:spacing w:before="240"/>
        <w:ind w:left="567" w:hanging="567"/>
        <w:jc w:val="both"/>
        <w:rPr>
          <w:rFonts w:ascii="Arial" w:hAnsi="Arial" w:cs="Arial"/>
        </w:rPr>
      </w:pPr>
      <w:r>
        <w:rPr>
          <w:rFonts w:ascii="Arial" w:hAnsi="Arial" w:cs="Arial"/>
        </w:rPr>
        <w:t xml:space="preserve">In his Rule 24 reply, Mr Lindsay accepted that the </w:t>
      </w:r>
      <w:r w:rsidR="008D73F7">
        <w:rPr>
          <w:rFonts w:ascii="Arial" w:hAnsi="Arial" w:cs="Arial"/>
        </w:rPr>
        <w:t>Judge</w:t>
      </w:r>
      <w:r>
        <w:rPr>
          <w:rFonts w:ascii="Arial" w:hAnsi="Arial" w:cs="Arial"/>
        </w:rPr>
        <w:t xml:space="preserve"> had materially erred in law, that his decision should be set aside and that no findings should be preserved. Mr Lindsay did not make </w:t>
      </w:r>
      <w:r w:rsidR="00512EBC">
        <w:rPr>
          <w:rFonts w:ascii="Arial" w:hAnsi="Arial" w:cs="Arial"/>
        </w:rPr>
        <w:t>a</w:t>
      </w:r>
      <w:r>
        <w:rPr>
          <w:rFonts w:ascii="Arial" w:hAnsi="Arial" w:cs="Arial"/>
        </w:rPr>
        <w:t xml:space="preserve">ny submissions as to </w:t>
      </w:r>
      <w:proofErr w:type="gramStart"/>
      <w:r>
        <w:rPr>
          <w:rFonts w:ascii="Arial" w:hAnsi="Arial" w:cs="Arial"/>
        </w:rPr>
        <w:t xml:space="preserve">whether </w:t>
      </w:r>
      <w:r w:rsidR="000A0007">
        <w:rPr>
          <w:rFonts w:ascii="Arial" w:hAnsi="Arial" w:cs="Arial"/>
        </w:rPr>
        <w:t>or</w:t>
      </w:r>
      <w:r>
        <w:rPr>
          <w:rFonts w:ascii="Arial" w:hAnsi="Arial" w:cs="Arial"/>
        </w:rPr>
        <w:t xml:space="preserve"> not</w:t>
      </w:r>
      <w:proofErr w:type="gramEnd"/>
      <w:r>
        <w:rPr>
          <w:rFonts w:ascii="Arial" w:hAnsi="Arial" w:cs="Arial"/>
        </w:rPr>
        <w:t xml:space="preserve"> the decision on the appellant's appeal should be re-made in the Upper Tribunal or whether the appeal should be remitted to the First-tier Tribunal ("</w:t>
      </w:r>
      <w:proofErr w:type="spellStart"/>
      <w:r>
        <w:rPr>
          <w:rFonts w:ascii="Arial" w:hAnsi="Arial" w:cs="Arial"/>
        </w:rPr>
        <w:t>FtT</w:t>
      </w:r>
      <w:proofErr w:type="spellEnd"/>
      <w:r>
        <w:rPr>
          <w:rFonts w:ascii="Arial" w:hAnsi="Arial" w:cs="Arial"/>
        </w:rPr>
        <w:t xml:space="preserve">"). </w:t>
      </w:r>
      <w:r w:rsidR="00D148D4">
        <w:rPr>
          <w:rFonts w:ascii="Arial" w:hAnsi="Arial" w:cs="Arial"/>
        </w:rPr>
        <w:t xml:space="preserve"> </w:t>
      </w:r>
    </w:p>
    <w:p w14:paraId="4BF2EFB7" w14:textId="77777777" w:rsidR="00D148D4" w:rsidRDefault="00121EB3" w:rsidP="00646A8C">
      <w:pPr>
        <w:numPr>
          <w:ilvl w:val="0"/>
          <w:numId w:val="1"/>
        </w:numPr>
        <w:tabs>
          <w:tab w:val="left" w:pos="567"/>
        </w:tabs>
        <w:spacing w:before="240"/>
        <w:ind w:left="567" w:hanging="567"/>
        <w:jc w:val="both"/>
        <w:rPr>
          <w:rFonts w:ascii="Arial" w:hAnsi="Arial" w:cs="Arial"/>
        </w:rPr>
      </w:pPr>
      <w:r>
        <w:rPr>
          <w:rFonts w:ascii="Arial" w:hAnsi="Arial" w:cs="Arial"/>
        </w:rPr>
        <w:t xml:space="preserve">At para 1 of his Further submissions, Mr </w:t>
      </w:r>
      <w:r w:rsidR="00551FF1">
        <w:rPr>
          <w:rFonts w:ascii="Arial" w:hAnsi="Arial" w:cs="Arial"/>
        </w:rPr>
        <w:t>Solomon</w:t>
      </w:r>
      <w:r>
        <w:rPr>
          <w:rFonts w:ascii="Arial" w:hAnsi="Arial" w:cs="Arial"/>
        </w:rPr>
        <w:t xml:space="preserve"> stated that no response had been received to date to the grant of permission. It is therefore clear that Mr </w:t>
      </w:r>
      <w:r w:rsidR="00551FF1">
        <w:rPr>
          <w:rFonts w:ascii="Arial" w:hAnsi="Arial" w:cs="Arial"/>
        </w:rPr>
        <w:t>Solomon</w:t>
      </w:r>
      <w:r>
        <w:rPr>
          <w:rFonts w:ascii="Arial" w:hAnsi="Arial" w:cs="Arial"/>
        </w:rPr>
        <w:t xml:space="preserve"> was unaware, at the time that he prepared the appellant's Further submissions, that the respondent </w:t>
      </w:r>
      <w:r w:rsidR="00512EBC">
        <w:rPr>
          <w:rFonts w:ascii="Arial" w:hAnsi="Arial" w:cs="Arial"/>
        </w:rPr>
        <w:t xml:space="preserve">had </w:t>
      </w:r>
      <w:r>
        <w:rPr>
          <w:rFonts w:ascii="Arial" w:hAnsi="Arial" w:cs="Arial"/>
        </w:rPr>
        <w:t xml:space="preserve">accepted in her Rule 24 reply that the </w:t>
      </w:r>
      <w:r w:rsidR="008D73F7">
        <w:rPr>
          <w:rFonts w:ascii="Arial" w:hAnsi="Arial" w:cs="Arial"/>
        </w:rPr>
        <w:t>Judge</w:t>
      </w:r>
      <w:r>
        <w:rPr>
          <w:rFonts w:ascii="Arial" w:hAnsi="Arial" w:cs="Arial"/>
        </w:rPr>
        <w:t xml:space="preserve"> had materially erred in law, that his decision should be set aside and that no findings should be preserved. However, in view of the respondent's acceptance of these matters and my decision (for the reasons given below) that this appeal must be remitted to the </w:t>
      </w:r>
      <w:proofErr w:type="spellStart"/>
      <w:r>
        <w:rPr>
          <w:rFonts w:ascii="Arial" w:hAnsi="Arial" w:cs="Arial"/>
        </w:rPr>
        <w:t>FtT</w:t>
      </w:r>
      <w:proofErr w:type="spellEnd"/>
      <w:r>
        <w:rPr>
          <w:rFonts w:ascii="Arial" w:hAnsi="Arial" w:cs="Arial"/>
        </w:rPr>
        <w:t xml:space="preserve">, I decided </w:t>
      </w:r>
      <w:r>
        <w:rPr>
          <w:rFonts w:ascii="Arial" w:hAnsi="Arial" w:cs="Arial"/>
        </w:rPr>
        <w:lastRenderedPageBreak/>
        <w:t xml:space="preserve">that the appellant would not suffer any prejudice if I were to proceed to decide questions (a) and (b) </w:t>
      </w:r>
      <w:r w:rsidR="00512EBC">
        <w:rPr>
          <w:rFonts w:ascii="Arial" w:hAnsi="Arial" w:cs="Arial"/>
        </w:rPr>
        <w:t xml:space="preserve">set out </w:t>
      </w:r>
      <w:r w:rsidR="00512EBC" w:rsidRPr="0033270B">
        <w:rPr>
          <w:rFonts w:ascii="Arial" w:hAnsi="Arial" w:cs="Arial"/>
        </w:rPr>
        <w:t>at para 4 above</w:t>
      </w:r>
      <w:r w:rsidR="00512EBC">
        <w:rPr>
          <w:rFonts w:ascii="Arial" w:hAnsi="Arial" w:cs="Arial"/>
        </w:rPr>
        <w:t xml:space="preserve"> </w:t>
      </w:r>
      <w:r>
        <w:rPr>
          <w:rFonts w:ascii="Arial" w:hAnsi="Arial" w:cs="Arial"/>
        </w:rPr>
        <w:t>and</w:t>
      </w:r>
      <w:r w:rsidR="00512EBC">
        <w:rPr>
          <w:rFonts w:ascii="Arial" w:hAnsi="Arial" w:cs="Arial"/>
        </w:rPr>
        <w:t xml:space="preserve"> </w:t>
      </w:r>
      <w:r>
        <w:rPr>
          <w:rFonts w:ascii="Arial" w:hAnsi="Arial" w:cs="Arial"/>
        </w:rPr>
        <w:t xml:space="preserve">whether the appeal should be remitted to the </w:t>
      </w:r>
      <w:proofErr w:type="spellStart"/>
      <w:r>
        <w:rPr>
          <w:rFonts w:ascii="Arial" w:hAnsi="Arial" w:cs="Arial"/>
        </w:rPr>
        <w:t>FtT</w:t>
      </w:r>
      <w:proofErr w:type="spellEnd"/>
      <w:r>
        <w:rPr>
          <w:rFonts w:ascii="Arial" w:hAnsi="Arial" w:cs="Arial"/>
        </w:rPr>
        <w:t xml:space="preserve"> without affording him an opportunity to respond to the respondent's Rule 24 reply. </w:t>
      </w:r>
      <w:r w:rsidR="00512EBC">
        <w:rPr>
          <w:rFonts w:ascii="Arial" w:hAnsi="Arial" w:cs="Arial"/>
        </w:rPr>
        <w:t xml:space="preserve"> </w:t>
      </w:r>
    </w:p>
    <w:p w14:paraId="41E30C35" w14:textId="77777777" w:rsidR="00787F83" w:rsidRPr="00787F83" w:rsidRDefault="00512EBC" w:rsidP="00787F83">
      <w:pPr>
        <w:numPr>
          <w:ilvl w:val="0"/>
          <w:numId w:val="1"/>
        </w:numPr>
        <w:tabs>
          <w:tab w:val="left" w:pos="567"/>
        </w:tabs>
        <w:spacing w:before="240"/>
        <w:ind w:left="567" w:hanging="567"/>
        <w:jc w:val="both"/>
        <w:rPr>
          <w:rFonts w:ascii="Arial" w:hAnsi="Arial"/>
          <w:sz w:val="20"/>
        </w:rPr>
      </w:pPr>
      <w:r>
        <w:rPr>
          <w:rFonts w:ascii="Arial" w:hAnsi="Arial" w:cs="Arial"/>
        </w:rPr>
        <w:t>The submissions of the parties in response to Judge Smith's "</w:t>
      </w:r>
      <w:r w:rsidRPr="00512EBC">
        <w:rPr>
          <w:rFonts w:ascii="Arial" w:hAnsi="Arial" w:cs="Arial"/>
          <w:i/>
        </w:rPr>
        <w:t>Note and Directions</w:t>
      </w:r>
      <w:r>
        <w:rPr>
          <w:rFonts w:ascii="Arial" w:hAnsi="Arial" w:cs="Arial"/>
        </w:rPr>
        <w:t xml:space="preserve">" were considered by Upper Tribunal Judge Sheridan. </w:t>
      </w:r>
      <w:r w:rsidR="00787F83">
        <w:rPr>
          <w:rFonts w:ascii="Arial" w:hAnsi="Arial" w:cs="Arial"/>
        </w:rPr>
        <w:t xml:space="preserve">Judge Sheridan summarised the parties' submissions at paras 3-6 and made observations at paras 6-7. These read: </w:t>
      </w:r>
    </w:p>
    <w:p w14:paraId="3E582718" w14:textId="77777777" w:rsidR="00787F83" w:rsidRDefault="00787F83" w:rsidP="00787F83">
      <w:pPr>
        <w:tabs>
          <w:tab w:val="left" w:pos="1440"/>
        </w:tabs>
        <w:ind w:left="1440" w:right="5" w:hanging="360"/>
        <w:jc w:val="both"/>
        <w:rPr>
          <w:rFonts w:ascii="Arial" w:hAnsi="Arial"/>
          <w:sz w:val="20"/>
        </w:rPr>
      </w:pPr>
    </w:p>
    <w:p w14:paraId="56E09564" w14:textId="77777777" w:rsidR="00787F83" w:rsidRPr="00CD26D0" w:rsidRDefault="00787F83" w:rsidP="00787F83">
      <w:pPr>
        <w:tabs>
          <w:tab w:val="left" w:pos="1440"/>
        </w:tabs>
        <w:ind w:left="1440" w:right="5" w:hanging="360"/>
        <w:jc w:val="both"/>
        <w:rPr>
          <w:rFonts w:ascii="Arial" w:hAnsi="Arial"/>
          <w:sz w:val="20"/>
        </w:rPr>
      </w:pPr>
      <w:r>
        <w:rPr>
          <w:rFonts w:ascii="Arial" w:hAnsi="Arial"/>
          <w:sz w:val="20"/>
        </w:rPr>
        <w:t>"3.</w:t>
      </w:r>
      <w:r>
        <w:rPr>
          <w:rFonts w:ascii="Arial" w:hAnsi="Arial"/>
          <w:sz w:val="20"/>
        </w:rPr>
        <w:tab/>
      </w:r>
      <w:r w:rsidRPr="00CD26D0">
        <w:rPr>
          <w:rFonts w:ascii="Arial" w:hAnsi="Arial"/>
          <w:sz w:val="20"/>
        </w:rPr>
        <w:t xml:space="preserve">Following the reply by the respondent it is clear that both parties are in agreement that the decision of the </w:t>
      </w:r>
      <w:proofErr w:type="spellStart"/>
      <w:r w:rsidRPr="00CD26D0">
        <w:rPr>
          <w:rFonts w:ascii="Arial" w:hAnsi="Arial"/>
          <w:sz w:val="20"/>
        </w:rPr>
        <w:t>FtTJ</w:t>
      </w:r>
      <w:proofErr w:type="spellEnd"/>
      <w:r w:rsidRPr="00CD26D0">
        <w:rPr>
          <w:rFonts w:ascii="Arial" w:hAnsi="Arial"/>
          <w:sz w:val="20"/>
        </w:rPr>
        <w:t xml:space="preserve"> discloses the making of an error on a point of law and should be set aside based on a misdirection in law as to the burden of proof in a "marriage of convenience case (see paragraph 3 of the Rule 24 response</w:t>
      </w:r>
      <w:r w:rsidR="000A0007">
        <w:rPr>
          <w:rFonts w:ascii="Arial" w:hAnsi="Arial"/>
          <w:sz w:val="20"/>
        </w:rPr>
        <w:t>)</w:t>
      </w:r>
      <w:r w:rsidRPr="00CD26D0">
        <w:rPr>
          <w:rFonts w:ascii="Arial" w:hAnsi="Arial"/>
          <w:sz w:val="20"/>
        </w:rPr>
        <w:t>. The appellant's grounds also rely upon a procedural irregularity (where the appellant and his partner did not attend).</w:t>
      </w:r>
    </w:p>
    <w:p w14:paraId="00CFF6B9" w14:textId="77777777" w:rsidR="00787F83" w:rsidRDefault="00787F83" w:rsidP="00787F83">
      <w:pPr>
        <w:tabs>
          <w:tab w:val="left" w:pos="1440"/>
        </w:tabs>
        <w:ind w:left="1440" w:right="5" w:hanging="360"/>
        <w:jc w:val="both"/>
        <w:rPr>
          <w:rFonts w:ascii="Arial" w:hAnsi="Arial"/>
          <w:sz w:val="20"/>
        </w:rPr>
      </w:pPr>
    </w:p>
    <w:p w14:paraId="4538BF12" w14:textId="77777777" w:rsidR="00787F83" w:rsidRPr="00CD26D0" w:rsidRDefault="00787F83" w:rsidP="00787F83">
      <w:pPr>
        <w:tabs>
          <w:tab w:val="left" w:pos="1440"/>
        </w:tabs>
        <w:ind w:left="1440" w:right="5" w:hanging="360"/>
        <w:jc w:val="both"/>
        <w:rPr>
          <w:rFonts w:ascii="Arial" w:hAnsi="Arial"/>
          <w:sz w:val="20"/>
        </w:rPr>
      </w:pPr>
      <w:r>
        <w:rPr>
          <w:rFonts w:ascii="Arial" w:hAnsi="Arial"/>
          <w:sz w:val="20"/>
        </w:rPr>
        <w:t>4.</w:t>
      </w:r>
      <w:r>
        <w:rPr>
          <w:rFonts w:ascii="Arial" w:hAnsi="Arial"/>
          <w:sz w:val="20"/>
        </w:rPr>
        <w:tab/>
      </w:r>
      <w:r w:rsidRPr="00CD26D0">
        <w:rPr>
          <w:rFonts w:ascii="Arial" w:hAnsi="Arial"/>
          <w:sz w:val="20"/>
        </w:rPr>
        <w:t xml:space="preserve">In the submissions made on behalf of the appellant by Counsel) it was submitted that the Tribunal should set aside the decision, to either remake the appeal by allowing it or alternatively to remit the appeal to the </w:t>
      </w:r>
      <w:proofErr w:type="spellStart"/>
      <w:r w:rsidRPr="00CD26D0">
        <w:rPr>
          <w:rFonts w:ascii="Arial" w:hAnsi="Arial"/>
          <w:sz w:val="20"/>
        </w:rPr>
        <w:t>FtT</w:t>
      </w:r>
      <w:proofErr w:type="spellEnd"/>
      <w:r w:rsidRPr="00CD26D0">
        <w:rPr>
          <w:rFonts w:ascii="Arial" w:hAnsi="Arial"/>
          <w:sz w:val="20"/>
        </w:rPr>
        <w:t xml:space="preserve"> to remake the decision or to adjourn the appeal to be heard in the Upper Tribunal (see paragraph 8).</w:t>
      </w:r>
    </w:p>
    <w:p w14:paraId="2D06E14B" w14:textId="77777777" w:rsidR="00787F83" w:rsidRDefault="00787F83" w:rsidP="00787F83">
      <w:pPr>
        <w:tabs>
          <w:tab w:val="left" w:pos="1440"/>
        </w:tabs>
        <w:ind w:left="1440" w:right="5" w:hanging="360"/>
        <w:jc w:val="both"/>
        <w:rPr>
          <w:rFonts w:ascii="Arial" w:hAnsi="Arial"/>
          <w:sz w:val="20"/>
        </w:rPr>
      </w:pPr>
    </w:p>
    <w:p w14:paraId="7BFDD1AF" w14:textId="77777777" w:rsidR="00787F83" w:rsidRPr="00CD26D0" w:rsidRDefault="00787F83" w:rsidP="00787F83">
      <w:pPr>
        <w:tabs>
          <w:tab w:val="left" w:pos="1440"/>
        </w:tabs>
        <w:ind w:left="1440" w:right="5" w:hanging="360"/>
        <w:jc w:val="both"/>
        <w:rPr>
          <w:rFonts w:ascii="Arial" w:hAnsi="Arial"/>
          <w:sz w:val="20"/>
        </w:rPr>
      </w:pPr>
      <w:r>
        <w:rPr>
          <w:rFonts w:ascii="Arial" w:hAnsi="Arial"/>
          <w:sz w:val="20"/>
        </w:rPr>
        <w:t>5.</w:t>
      </w:r>
      <w:r>
        <w:rPr>
          <w:rFonts w:ascii="Arial" w:hAnsi="Arial"/>
          <w:sz w:val="20"/>
        </w:rPr>
        <w:tab/>
      </w:r>
      <w:r w:rsidRPr="00CD26D0">
        <w:rPr>
          <w:rFonts w:ascii="Arial" w:hAnsi="Arial"/>
          <w:sz w:val="20"/>
        </w:rPr>
        <w:t>The respondent's rule 24 response invites the Tribunal to set aside the decision and to remit the appeal to the First-tier Tribunal with no findings preserved.</w:t>
      </w:r>
    </w:p>
    <w:p w14:paraId="536225CD" w14:textId="77777777" w:rsidR="00787F83" w:rsidRDefault="00787F83" w:rsidP="00787F83">
      <w:pPr>
        <w:tabs>
          <w:tab w:val="left" w:pos="1440"/>
        </w:tabs>
        <w:ind w:left="1440" w:right="5" w:hanging="360"/>
        <w:jc w:val="both"/>
        <w:rPr>
          <w:rFonts w:ascii="Arial" w:hAnsi="Arial"/>
          <w:sz w:val="20"/>
        </w:rPr>
      </w:pPr>
    </w:p>
    <w:p w14:paraId="775113CB" w14:textId="77777777" w:rsidR="00787F83" w:rsidRPr="00CD26D0" w:rsidRDefault="00787F83" w:rsidP="00787F83">
      <w:pPr>
        <w:tabs>
          <w:tab w:val="left" w:pos="1440"/>
        </w:tabs>
        <w:ind w:left="1440" w:right="5" w:hanging="360"/>
        <w:jc w:val="both"/>
        <w:rPr>
          <w:rFonts w:ascii="Arial" w:hAnsi="Arial"/>
          <w:sz w:val="20"/>
        </w:rPr>
      </w:pPr>
      <w:r>
        <w:rPr>
          <w:rFonts w:ascii="Arial" w:hAnsi="Arial"/>
          <w:sz w:val="20"/>
        </w:rPr>
        <w:t>6.</w:t>
      </w:r>
      <w:r>
        <w:rPr>
          <w:rFonts w:ascii="Arial" w:hAnsi="Arial"/>
          <w:sz w:val="20"/>
        </w:rPr>
        <w:tab/>
      </w:r>
      <w:r w:rsidRPr="00CD26D0">
        <w:rPr>
          <w:rFonts w:ascii="Arial" w:hAnsi="Arial"/>
          <w:sz w:val="20"/>
        </w:rPr>
        <w:t>Following this, the appellant's solicitors sent a number of documents</w:t>
      </w:r>
      <w:r>
        <w:rPr>
          <w:rFonts w:ascii="Arial" w:hAnsi="Arial"/>
          <w:sz w:val="20"/>
        </w:rPr>
        <w:t xml:space="preserve"> </w:t>
      </w:r>
      <w:r w:rsidRPr="00CD26D0">
        <w:rPr>
          <w:rFonts w:ascii="Arial" w:hAnsi="Arial"/>
          <w:sz w:val="20"/>
        </w:rPr>
        <w:t xml:space="preserve">(including a copy of the application made in 2018, photographs) under cover of a letter dated 21 May 2020 </w:t>
      </w:r>
      <w:proofErr w:type="gramStart"/>
      <w:r w:rsidRPr="00CD26D0">
        <w:rPr>
          <w:rFonts w:ascii="Arial" w:hAnsi="Arial"/>
          <w:sz w:val="20"/>
        </w:rPr>
        <w:t>stating</w:t>
      </w:r>
      <w:proofErr w:type="gramEnd"/>
      <w:r w:rsidRPr="00CD26D0">
        <w:rPr>
          <w:rFonts w:ascii="Arial" w:hAnsi="Arial"/>
          <w:sz w:val="20"/>
        </w:rPr>
        <w:t xml:space="preserve"> "we have attached further error of law submissions along with supporting documents". However, there are no submissions and the bundle exhibits documents for the original application. It is wholly unclear what the purpose of those documents </w:t>
      </w:r>
      <w:proofErr w:type="gramStart"/>
      <w:r w:rsidRPr="00CD26D0">
        <w:rPr>
          <w:rFonts w:ascii="Arial" w:hAnsi="Arial"/>
          <w:sz w:val="20"/>
        </w:rPr>
        <w:t>are</w:t>
      </w:r>
      <w:proofErr w:type="gramEnd"/>
      <w:r w:rsidRPr="00CD26D0">
        <w:rPr>
          <w:rFonts w:ascii="Arial" w:hAnsi="Arial"/>
          <w:sz w:val="20"/>
        </w:rPr>
        <w:t xml:space="preserve"> and no further submissions are included.</w:t>
      </w:r>
    </w:p>
    <w:p w14:paraId="7C714948" w14:textId="77777777" w:rsidR="00787F83" w:rsidRDefault="00787F83" w:rsidP="00787F83">
      <w:pPr>
        <w:tabs>
          <w:tab w:val="left" w:pos="1440"/>
        </w:tabs>
        <w:ind w:left="1440" w:right="5" w:hanging="360"/>
        <w:jc w:val="both"/>
        <w:rPr>
          <w:rFonts w:ascii="Arial" w:hAnsi="Arial"/>
          <w:sz w:val="20"/>
        </w:rPr>
      </w:pPr>
    </w:p>
    <w:p w14:paraId="211536C9" w14:textId="77777777" w:rsidR="00787F83" w:rsidRPr="00CD26D0" w:rsidRDefault="00787F83" w:rsidP="00787F83">
      <w:pPr>
        <w:tabs>
          <w:tab w:val="left" w:pos="1440"/>
        </w:tabs>
        <w:ind w:left="1440" w:right="5" w:hanging="360"/>
        <w:jc w:val="both"/>
        <w:rPr>
          <w:rFonts w:ascii="Arial" w:hAnsi="Arial"/>
          <w:sz w:val="20"/>
        </w:rPr>
      </w:pPr>
      <w:r>
        <w:rPr>
          <w:rFonts w:ascii="Arial" w:hAnsi="Arial"/>
          <w:sz w:val="20"/>
        </w:rPr>
        <w:t>7.</w:t>
      </w:r>
      <w:r>
        <w:rPr>
          <w:rFonts w:ascii="Arial" w:hAnsi="Arial"/>
          <w:sz w:val="20"/>
        </w:rPr>
        <w:tab/>
      </w:r>
      <w:r w:rsidRPr="00CD26D0">
        <w:rPr>
          <w:rFonts w:ascii="Arial" w:hAnsi="Arial"/>
          <w:sz w:val="20"/>
        </w:rPr>
        <w:t xml:space="preserve">In the circumstances there does not seem to be any agreement as to the disposal of the appeal- whether to remit the appeal to the </w:t>
      </w:r>
      <w:proofErr w:type="spellStart"/>
      <w:r w:rsidRPr="00CD26D0">
        <w:rPr>
          <w:rFonts w:ascii="Arial" w:hAnsi="Arial"/>
          <w:sz w:val="20"/>
        </w:rPr>
        <w:t>FtT</w:t>
      </w:r>
      <w:proofErr w:type="spellEnd"/>
      <w:r w:rsidRPr="00CD26D0">
        <w:rPr>
          <w:rFonts w:ascii="Arial" w:hAnsi="Arial"/>
          <w:sz w:val="20"/>
        </w:rPr>
        <w:t xml:space="preserve"> (as submitted by the respondent) or to re-make the appeal. The first set of submissions sets out all the options but does not make submissions in support of the desired preference or submissions in support.</w:t>
      </w:r>
      <w:r>
        <w:rPr>
          <w:rFonts w:ascii="Arial" w:hAnsi="Arial"/>
          <w:sz w:val="20"/>
        </w:rPr>
        <w:t>"</w:t>
      </w:r>
    </w:p>
    <w:p w14:paraId="45E37896" w14:textId="77777777" w:rsidR="00512EBC" w:rsidRDefault="00787F83" w:rsidP="00646A8C">
      <w:pPr>
        <w:numPr>
          <w:ilvl w:val="0"/>
          <w:numId w:val="1"/>
        </w:numPr>
        <w:tabs>
          <w:tab w:val="left" w:pos="567"/>
        </w:tabs>
        <w:spacing w:before="240"/>
        <w:ind w:left="567" w:hanging="567"/>
        <w:jc w:val="both"/>
        <w:rPr>
          <w:rFonts w:ascii="Arial" w:hAnsi="Arial" w:cs="Arial"/>
        </w:rPr>
      </w:pPr>
      <w:r>
        <w:rPr>
          <w:rFonts w:ascii="Arial" w:hAnsi="Arial" w:cs="Arial"/>
        </w:rPr>
        <w:t>Contrary to para 5 of Judge Sheridan's "</w:t>
      </w:r>
      <w:r w:rsidRPr="00091A57">
        <w:rPr>
          <w:rFonts w:ascii="Arial" w:hAnsi="Arial" w:cs="Arial"/>
          <w:i/>
        </w:rPr>
        <w:t>Note and Directions</w:t>
      </w:r>
      <w:r>
        <w:rPr>
          <w:rFonts w:ascii="Arial" w:hAnsi="Arial" w:cs="Arial"/>
        </w:rPr>
        <w:t xml:space="preserve">", </w:t>
      </w:r>
      <w:r w:rsidR="00091A57">
        <w:rPr>
          <w:rFonts w:ascii="Arial" w:hAnsi="Arial" w:cs="Arial"/>
        </w:rPr>
        <w:t xml:space="preserve">Mr Lindsay did not </w:t>
      </w:r>
      <w:r>
        <w:rPr>
          <w:rFonts w:ascii="Arial" w:hAnsi="Arial" w:cs="Arial"/>
        </w:rPr>
        <w:t xml:space="preserve">make any submissions </w:t>
      </w:r>
      <w:r w:rsidR="00091A57">
        <w:rPr>
          <w:rFonts w:ascii="Arial" w:hAnsi="Arial" w:cs="Arial"/>
        </w:rPr>
        <w:t xml:space="preserve">on the respondent's behalf </w:t>
      </w:r>
      <w:r>
        <w:rPr>
          <w:rFonts w:ascii="Arial" w:hAnsi="Arial" w:cs="Arial"/>
        </w:rPr>
        <w:t>about disposal</w:t>
      </w:r>
      <w:r w:rsidR="00091A57">
        <w:rPr>
          <w:rFonts w:ascii="Arial" w:hAnsi="Arial" w:cs="Arial"/>
        </w:rPr>
        <w:t xml:space="preserve">; that is, whether </w:t>
      </w:r>
      <w:r>
        <w:rPr>
          <w:rFonts w:ascii="Arial" w:hAnsi="Arial" w:cs="Arial"/>
        </w:rPr>
        <w:t>the appeal should be remitted to the First-tier Tribunal</w:t>
      </w:r>
      <w:r w:rsidR="00091A57">
        <w:rPr>
          <w:rFonts w:ascii="Arial" w:hAnsi="Arial" w:cs="Arial"/>
        </w:rPr>
        <w:t xml:space="preserve"> or not</w:t>
      </w:r>
      <w:r>
        <w:rPr>
          <w:rFonts w:ascii="Arial" w:hAnsi="Arial" w:cs="Arial"/>
        </w:rPr>
        <w:t xml:space="preserve">.  </w:t>
      </w:r>
    </w:p>
    <w:p w14:paraId="4295FBD7" w14:textId="77777777" w:rsidR="00512EBC" w:rsidRDefault="00787F83" w:rsidP="00646A8C">
      <w:pPr>
        <w:numPr>
          <w:ilvl w:val="0"/>
          <w:numId w:val="1"/>
        </w:numPr>
        <w:tabs>
          <w:tab w:val="left" w:pos="567"/>
        </w:tabs>
        <w:spacing w:before="240"/>
        <w:ind w:left="567" w:hanging="567"/>
        <w:jc w:val="both"/>
        <w:rPr>
          <w:rFonts w:ascii="Arial" w:hAnsi="Arial" w:cs="Arial"/>
        </w:rPr>
      </w:pPr>
      <w:r>
        <w:rPr>
          <w:rFonts w:ascii="Arial" w:hAnsi="Arial" w:cs="Arial"/>
        </w:rPr>
        <w:t xml:space="preserve">Judge Sheridan proceeded to </w:t>
      </w:r>
      <w:r w:rsidR="00091A57">
        <w:rPr>
          <w:rFonts w:ascii="Arial" w:hAnsi="Arial" w:cs="Arial"/>
        </w:rPr>
        <w:t xml:space="preserve">give </w:t>
      </w:r>
      <w:r>
        <w:rPr>
          <w:rFonts w:ascii="Arial" w:hAnsi="Arial" w:cs="Arial"/>
        </w:rPr>
        <w:t>further directions</w:t>
      </w:r>
      <w:r w:rsidR="00091A57">
        <w:rPr>
          <w:rFonts w:ascii="Arial" w:hAnsi="Arial" w:cs="Arial"/>
        </w:rPr>
        <w:t>, as follows:</w:t>
      </w:r>
    </w:p>
    <w:p w14:paraId="0EEB4FC9" w14:textId="77777777" w:rsidR="00091A57" w:rsidRDefault="00091A57" w:rsidP="00091A57">
      <w:pPr>
        <w:tabs>
          <w:tab w:val="left" w:pos="567"/>
        </w:tabs>
        <w:spacing w:before="240"/>
        <w:ind w:left="1134" w:hanging="1134"/>
        <w:jc w:val="both"/>
        <w:rPr>
          <w:rFonts w:ascii="Arial" w:hAnsi="Arial" w:cs="Arial"/>
        </w:rPr>
      </w:pPr>
      <w:r>
        <w:rPr>
          <w:rFonts w:ascii="Arial" w:hAnsi="Arial" w:cs="Arial"/>
        </w:rPr>
        <w:tab/>
        <w:t>(i)</w:t>
      </w:r>
      <w:r>
        <w:rPr>
          <w:rFonts w:ascii="Arial" w:hAnsi="Arial" w:cs="Arial"/>
        </w:rPr>
        <w:tab/>
        <w:t>for the appellant to file and serve, no later than 7 days after his directions have been received, a reply to the respondent's Rule 24 response dealing with the issue of whether the appeal should be remitted to the First-tier Tribunal or re-made at a hearing or alternatively on the basis of further submissions in writing, such further submissions to be attached to the reply; and</w:t>
      </w:r>
    </w:p>
    <w:p w14:paraId="74607BFA" w14:textId="77777777" w:rsidR="00091A57" w:rsidRDefault="00091A57" w:rsidP="00091A57">
      <w:pPr>
        <w:tabs>
          <w:tab w:val="left" w:pos="567"/>
        </w:tabs>
        <w:spacing w:before="240"/>
        <w:ind w:left="1134" w:hanging="1134"/>
        <w:jc w:val="both"/>
        <w:rPr>
          <w:rFonts w:ascii="Arial" w:hAnsi="Arial" w:cs="Arial"/>
        </w:rPr>
      </w:pPr>
      <w:r>
        <w:rPr>
          <w:rFonts w:ascii="Arial" w:hAnsi="Arial" w:cs="Arial"/>
        </w:rPr>
        <w:tab/>
        <w:t>(ii)</w:t>
      </w:r>
      <w:r>
        <w:rPr>
          <w:rFonts w:ascii="Arial" w:hAnsi="Arial" w:cs="Arial"/>
        </w:rPr>
        <w:tab/>
        <w:t xml:space="preserve">for any reply made on the respondent's behalf to be served and filed on the other party and the Tribunal no later than 7 days after receiving the appellant's response.  </w:t>
      </w:r>
    </w:p>
    <w:p w14:paraId="34811B3C" w14:textId="77777777" w:rsidR="00512EBC" w:rsidRDefault="00091A57" w:rsidP="00646A8C">
      <w:pPr>
        <w:numPr>
          <w:ilvl w:val="0"/>
          <w:numId w:val="1"/>
        </w:numPr>
        <w:tabs>
          <w:tab w:val="left" w:pos="567"/>
        </w:tabs>
        <w:spacing w:before="240"/>
        <w:ind w:left="567" w:hanging="567"/>
        <w:jc w:val="both"/>
        <w:rPr>
          <w:rFonts w:ascii="Arial" w:hAnsi="Arial" w:cs="Arial"/>
        </w:rPr>
      </w:pPr>
      <w:r>
        <w:rPr>
          <w:rFonts w:ascii="Arial" w:hAnsi="Arial" w:cs="Arial"/>
        </w:rPr>
        <w:t xml:space="preserve">The Upper Tribunal has not received any further submissions from the parties in response to Judge Sheridan's directions. </w:t>
      </w:r>
    </w:p>
    <w:p w14:paraId="57FE988C" w14:textId="77777777" w:rsidR="009B5C98" w:rsidRPr="00070890" w:rsidRDefault="00121EB3" w:rsidP="009B5C98">
      <w:pPr>
        <w:tabs>
          <w:tab w:val="left" w:pos="567"/>
        </w:tabs>
        <w:spacing w:before="240"/>
        <w:jc w:val="both"/>
        <w:rPr>
          <w:rFonts w:ascii="Arial" w:hAnsi="Arial" w:cs="Arial"/>
          <w:b/>
          <w:u w:val="single"/>
        </w:rPr>
      </w:pPr>
      <w:r w:rsidRPr="00070890">
        <w:rPr>
          <w:rFonts w:ascii="Arial" w:hAnsi="Arial" w:cs="Arial"/>
          <w:b/>
          <w:u w:val="single"/>
        </w:rPr>
        <w:t>W</w:t>
      </w:r>
      <w:r w:rsidR="009B5C98" w:rsidRPr="00070890">
        <w:rPr>
          <w:rFonts w:ascii="Arial" w:hAnsi="Arial" w:cs="Arial"/>
          <w:b/>
          <w:u w:val="single"/>
        </w:rPr>
        <w:t xml:space="preserve">hether it is appropriate to proceed without a hearing </w:t>
      </w:r>
    </w:p>
    <w:p w14:paraId="5D2F2533" w14:textId="77777777" w:rsidR="00121EB3" w:rsidRDefault="00121EB3" w:rsidP="009B5C98">
      <w:pPr>
        <w:numPr>
          <w:ilvl w:val="0"/>
          <w:numId w:val="1"/>
        </w:numPr>
        <w:tabs>
          <w:tab w:val="left" w:pos="567"/>
        </w:tabs>
        <w:spacing w:before="240"/>
        <w:ind w:left="567" w:hanging="567"/>
        <w:jc w:val="both"/>
        <w:rPr>
          <w:rFonts w:ascii="Arial" w:hAnsi="Arial" w:cs="Arial"/>
        </w:rPr>
      </w:pPr>
      <w:r>
        <w:rPr>
          <w:rFonts w:ascii="Arial" w:hAnsi="Arial" w:cs="Arial"/>
        </w:rPr>
        <w:t xml:space="preserve">The </w:t>
      </w:r>
      <w:r w:rsidR="00512EBC">
        <w:rPr>
          <w:rFonts w:ascii="Arial" w:hAnsi="Arial" w:cs="Arial"/>
        </w:rPr>
        <w:t xml:space="preserve">respondent </w:t>
      </w:r>
      <w:r>
        <w:rPr>
          <w:rFonts w:ascii="Arial" w:hAnsi="Arial" w:cs="Arial"/>
        </w:rPr>
        <w:t xml:space="preserve">has not made any submissions on </w:t>
      </w:r>
      <w:r w:rsidR="00512EBC">
        <w:rPr>
          <w:rFonts w:ascii="Arial" w:hAnsi="Arial" w:cs="Arial"/>
        </w:rPr>
        <w:t>this issue</w:t>
      </w:r>
      <w:r>
        <w:rPr>
          <w:rFonts w:ascii="Arial" w:hAnsi="Arial" w:cs="Arial"/>
        </w:rPr>
        <w:t xml:space="preserve">. </w:t>
      </w:r>
    </w:p>
    <w:p w14:paraId="74B2F668" w14:textId="77777777" w:rsidR="00121EB3" w:rsidRDefault="00121EB3" w:rsidP="009B5C98">
      <w:pPr>
        <w:numPr>
          <w:ilvl w:val="0"/>
          <w:numId w:val="1"/>
        </w:numPr>
        <w:tabs>
          <w:tab w:val="left" w:pos="567"/>
        </w:tabs>
        <w:spacing w:before="240"/>
        <w:ind w:left="567" w:hanging="567"/>
        <w:jc w:val="both"/>
        <w:rPr>
          <w:rFonts w:ascii="Arial" w:hAnsi="Arial" w:cs="Arial"/>
        </w:rPr>
      </w:pPr>
      <w:r>
        <w:rPr>
          <w:rFonts w:ascii="Arial" w:hAnsi="Arial" w:cs="Arial"/>
        </w:rPr>
        <w:lastRenderedPageBreak/>
        <w:t>At para 2 of</w:t>
      </w:r>
      <w:r w:rsidR="006E582A">
        <w:rPr>
          <w:rFonts w:ascii="Arial" w:hAnsi="Arial" w:cs="Arial"/>
        </w:rPr>
        <w:t xml:space="preserve"> </w:t>
      </w:r>
      <w:r>
        <w:rPr>
          <w:rFonts w:ascii="Arial" w:hAnsi="Arial" w:cs="Arial"/>
        </w:rPr>
        <w:t xml:space="preserve">his Further submissions, Mr </w:t>
      </w:r>
      <w:r w:rsidR="00551FF1">
        <w:rPr>
          <w:rFonts w:ascii="Arial" w:hAnsi="Arial" w:cs="Arial"/>
        </w:rPr>
        <w:t>Solomon</w:t>
      </w:r>
      <w:r>
        <w:rPr>
          <w:rFonts w:ascii="Arial" w:hAnsi="Arial" w:cs="Arial"/>
        </w:rPr>
        <w:t xml:space="preserve"> requested an oral hearing on </w:t>
      </w:r>
      <w:r w:rsidR="00512EBC">
        <w:rPr>
          <w:rFonts w:ascii="Arial" w:hAnsi="Arial" w:cs="Arial"/>
        </w:rPr>
        <w:t xml:space="preserve">questions (a) and (b) </w:t>
      </w:r>
      <w:r>
        <w:rPr>
          <w:rFonts w:ascii="Arial" w:hAnsi="Arial" w:cs="Arial"/>
        </w:rPr>
        <w:t>"</w:t>
      </w:r>
      <w:r w:rsidRPr="00512EBC">
        <w:rPr>
          <w:rFonts w:ascii="Arial" w:hAnsi="Arial" w:cs="Arial"/>
          <w:i/>
        </w:rPr>
        <w:t>given the issues involved and to address any questions that the Tribunal may have</w:t>
      </w:r>
      <w:r>
        <w:rPr>
          <w:rFonts w:ascii="Arial" w:hAnsi="Arial" w:cs="Arial"/>
        </w:rPr>
        <w:t xml:space="preserve">". He proceeded to rely upon </w:t>
      </w:r>
      <w:r w:rsidRPr="00121EB3">
        <w:rPr>
          <w:rFonts w:ascii="Arial" w:hAnsi="Arial" w:cs="Arial"/>
          <w:u w:val="single"/>
        </w:rPr>
        <w:t>Sengupta &amp; Another v Holmes &amp; Others</w:t>
      </w:r>
      <w:r>
        <w:rPr>
          <w:rFonts w:ascii="Arial" w:hAnsi="Arial" w:cs="Arial"/>
        </w:rPr>
        <w:t xml:space="preserve"> [2002] EWCA </w:t>
      </w:r>
      <w:proofErr w:type="spellStart"/>
      <w:r>
        <w:rPr>
          <w:rFonts w:ascii="Arial" w:hAnsi="Arial" w:cs="Arial"/>
        </w:rPr>
        <w:t>Civ</w:t>
      </w:r>
      <w:proofErr w:type="spellEnd"/>
      <w:r>
        <w:rPr>
          <w:rFonts w:ascii="Arial" w:hAnsi="Arial" w:cs="Arial"/>
        </w:rPr>
        <w:t xml:space="preserve"> 1104, at paras 38 and 47. </w:t>
      </w:r>
    </w:p>
    <w:p w14:paraId="10A3EEAB" w14:textId="77777777" w:rsidR="00203AF2" w:rsidRDefault="006E582A" w:rsidP="009B5C98">
      <w:pPr>
        <w:numPr>
          <w:ilvl w:val="0"/>
          <w:numId w:val="1"/>
        </w:numPr>
        <w:tabs>
          <w:tab w:val="left" w:pos="567"/>
        </w:tabs>
        <w:spacing w:before="240"/>
        <w:ind w:left="567" w:hanging="567"/>
        <w:jc w:val="both"/>
        <w:rPr>
          <w:rFonts w:ascii="Arial" w:hAnsi="Arial" w:cs="Arial"/>
        </w:rPr>
      </w:pPr>
      <w:r>
        <w:rPr>
          <w:rFonts w:ascii="Arial" w:hAnsi="Arial" w:cs="Arial"/>
        </w:rPr>
        <w:t xml:space="preserve">I am aware of the judgment in </w:t>
      </w:r>
      <w:r w:rsidRPr="00121EB3">
        <w:rPr>
          <w:rFonts w:ascii="Arial" w:hAnsi="Arial" w:cs="Arial"/>
          <w:u w:val="single"/>
        </w:rPr>
        <w:t>Sengupta &amp; Another v Holmes &amp; Others</w:t>
      </w:r>
      <w:r>
        <w:rPr>
          <w:rFonts w:ascii="Arial" w:hAnsi="Arial" w:cs="Arial"/>
        </w:rPr>
        <w:t xml:space="preserve">. I also </w:t>
      </w:r>
      <w:proofErr w:type="gramStart"/>
      <w:r>
        <w:rPr>
          <w:rFonts w:ascii="Arial" w:hAnsi="Arial" w:cs="Arial"/>
        </w:rPr>
        <w:t>take into account</w:t>
      </w:r>
      <w:proofErr w:type="gramEnd"/>
      <w:r>
        <w:rPr>
          <w:rFonts w:ascii="Arial" w:hAnsi="Arial" w:cs="Arial"/>
        </w:rPr>
        <w:t xml:space="preserve"> the </w:t>
      </w:r>
      <w:r w:rsidR="00440E84">
        <w:rPr>
          <w:rFonts w:ascii="Arial" w:hAnsi="Arial" w:cs="Arial"/>
        </w:rPr>
        <w:t xml:space="preserve">guidance at para 2 of the judgment of the Supreme Court in </w:t>
      </w:r>
      <w:r w:rsidR="00F20CC4" w:rsidRPr="00F20CC4">
        <w:rPr>
          <w:rFonts w:ascii="Arial" w:hAnsi="Arial" w:cs="Arial"/>
          <w:u w:val="single"/>
        </w:rPr>
        <w:t>Osborn and others v Parole Board</w:t>
      </w:r>
      <w:r w:rsidR="00F20CC4">
        <w:rPr>
          <w:rFonts w:ascii="Arial" w:hAnsi="Arial" w:cs="Arial"/>
        </w:rPr>
        <w:t xml:space="preserve"> [2013] UKSC 61. </w:t>
      </w:r>
    </w:p>
    <w:p w14:paraId="7C07C566" w14:textId="77777777" w:rsidR="006E582A" w:rsidRDefault="000A0007" w:rsidP="009B5C98">
      <w:pPr>
        <w:numPr>
          <w:ilvl w:val="0"/>
          <w:numId w:val="1"/>
        </w:numPr>
        <w:tabs>
          <w:tab w:val="left" w:pos="567"/>
        </w:tabs>
        <w:spacing w:before="240"/>
        <w:ind w:left="567" w:hanging="567"/>
        <w:jc w:val="both"/>
        <w:rPr>
          <w:rFonts w:ascii="Arial" w:hAnsi="Arial" w:cs="Arial"/>
        </w:rPr>
      </w:pPr>
      <w:r>
        <w:rPr>
          <w:rFonts w:ascii="Arial" w:hAnsi="Arial" w:cs="Arial"/>
        </w:rPr>
        <w:t xml:space="preserve">I noted that </w:t>
      </w:r>
      <w:r w:rsidR="006E582A">
        <w:rPr>
          <w:rFonts w:ascii="Arial" w:hAnsi="Arial" w:cs="Arial"/>
        </w:rPr>
        <w:t xml:space="preserve">the respondent has agreed that the </w:t>
      </w:r>
      <w:r w:rsidR="008D73F7">
        <w:rPr>
          <w:rFonts w:ascii="Arial" w:hAnsi="Arial" w:cs="Arial"/>
        </w:rPr>
        <w:t>Judge</w:t>
      </w:r>
      <w:r w:rsidR="006E582A">
        <w:rPr>
          <w:rFonts w:ascii="Arial" w:hAnsi="Arial" w:cs="Arial"/>
        </w:rPr>
        <w:t xml:space="preserve"> materially erred in law, that his decision should be set aside and that none of his findings should be preserved. I entirely agree with both parties, for the reasons given below, that the </w:t>
      </w:r>
      <w:r w:rsidR="008D73F7">
        <w:rPr>
          <w:rFonts w:ascii="Arial" w:hAnsi="Arial" w:cs="Arial"/>
        </w:rPr>
        <w:t>Judge</w:t>
      </w:r>
      <w:r w:rsidR="006E582A">
        <w:rPr>
          <w:rFonts w:ascii="Arial" w:hAnsi="Arial" w:cs="Arial"/>
        </w:rPr>
        <w:t xml:space="preserve"> material</w:t>
      </w:r>
      <w:r w:rsidR="00512EBC">
        <w:rPr>
          <w:rFonts w:ascii="Arial" w:hAnsi="Arial" w:cs="Arial"/>
        </w:rPr>
        <w:t>ly</w:t>
      </w:r>
      <w:r w:rsidR="006E582A">
        <w:rPr>
          <w:rFonts w:ascii="Arial" w:hAnsi="Arial" w:cs="Arial"/>
        </w:rPr>
        <w:t xml:space="preserve"> erred in law, that his decision should be set aside and </w:t>
      </w:r>
      <w:r w:rsidR="00512EBC">
        <w:rPr>
          <w:rFonts w:ascii="Arial" w:hAnsi="Arial" w:cs="Arial"/>
        </w:rPr>
        <w:t xml:space="preserve">that </w:t>
      </w:r>
      <w:r w:rsidR="006E582A">
        <w:rPr>
          <w:rFonts w:ascii="Arial" w:hAnsi="Arial" w:cs="Arial"/>
        </w:rPr>
        <w:t xml:space="preserve">none of his findings should be preserved. Accordingly, neither party is prejudiced by my proceeding to decide questions (a) and (b) without a hearing.  </w:t>
      </w:r>
    </w:p>
    <w:p w14:paraId="512CCB7F" w14:textId="77777777" w:rsidR="004B7EDE" w:rsidRDefault="004B7EDE" w:rsidP="009B5C98">
      <w:pPr>
        <w:numPr>
          <w:ilvl w:val="0"/>
          <w:numId w:val="1"/>
        </w:numPr>
        <w:tabs>
          <w:tab w:val="left" w:pos="567"/>
        </w:tabs>
        <w:spacing w:before="240"/>
        <w:ind w:left="567" w:hanging="567"/>
        <w:jc w:val="both"/>
        <w:rPr>
          <w:rFonts w:ascii="Arial" w:hAnsi="Arial" w:cs="Arial"/>
        </w:rPr>
      </w:pPr>
      <w:r>
        <w:rPr>
          <w:rFonts w:ascii="Arial" w:hAnsi="Arial" w:cs="Arial"/>
        </w:rPr>
        <w:t xml:space="preserve">In all of the </w:t>
      </w:r>
      <w:proofErr w:type="gramStart"/>
      <w:r>
        <w:rPr>
          <w:rFonts w:ascii="Arial" w:hAnsi="Arial" w:cs="Arial"/>
        </w:rPr>
        <w:t>circumstances, and</w:t>
      </w:r>
      <w:proofErr w:type="gramEnd"/>
      <w:r>
        <w:rPr>
          <w:rFonts w:ascii="Arial" w:hAnsi="Arial" w:cs="Arial"/>
        </w:rPr>
        <w:t xml:space="preserve"> taking into account the overriding objective</w:t>
      </w:r>
      <w:r w:rsidR="00F20CC4">
        <w:rPr>
          <w:rFonts w:ascii="Arial" w:hAnsi="Arial" w:cs="Arial"/>
        </w:rPr>
        <w:t xml:space="preserve"> and having considered </w:t>
      </w:r>
      <w:r w:rsidR="00F20CC4" w:rsidRPr="00F20CC4">
        <w:rPr>
          <w:rFonts w:ascii="Arial" w:hAnsi="Arial" w:cs="Arial"/>
          <w:u w:val="single"/>
        </w:rPr>
        <w:t>Osborn and others v Parole Board</w:t>
      </w:r>
      <w:r>
        <w:rPr>
          <w:rFonts w:ascii="Arial" w:hAnsi="Arial" w:cs="Arial"/>
        </w:rPr>
        <w:t>, I have concluded that it is appropriate</w:t>
      </w:r>
      <w:r w:rsidR="00716F09">
        <w:rPr>
          <w:rFonts w:ascii="Arial" w:hAnsi="Arial" w:cs="Arial"/>
        </w:rPr>
        <w:t>, fair and just</w:t>
      </w:r>
      <w:r>
        <w:rPr>
          <w:rFonts w:ascii="Arial" w:hAnsi="Arial" w:cs="Arial"/>
        </w:rPr>
        <w:t xml:space="preserve"> for me to exercise my discretion and proceed to decide </w:t>
      </w:r>
      <w:r w:rsidR="000A0007">
        <w:rPr>
          <w:rFonts w:ascii="Arial" w:hAnsi="Arial" w:cs="Arial"/>
        </w:rPr>
        <w:t xml:space="preserve">questions (a) and (b) </w:t>
      </w:r>
      <w:r>
        <w:rPr>
          <w:rFonts w:ascii="Arial" w:hAnsi="Arial" w:cs="Arial"/>
        </w:rPr>
        <w:t xml:space="preserve">without a hearing. </w:t>
      </w:r>
    </w:p>
    <w:p w14:paraId="3E87A147" w14:textId="77777777" w:rsidR="009B5C98" w:rsidRPr="00D617C7" w:rsidRDefault="00070890" w:rsidP="009B5C98">
      <w:pPr>
        <w:tabs>
          <w:tab w:val="left" w:pos="567"/>
        </w:tabs>
        <w:spacing w:before="240"/>
        <w:ind w:left="2268" w:hanging="2268"/>
        <w:jc w:val="both"/>
        <w:rPr>
          <w:rFonts w:ascii="Arial" w:hAnsi="Arial" w:cs="Arial"/>
          <w:b/>
        </w:rPr>
      </w:pPr>
      <w:r>
        <w:rPr>
          <w:rFonts w:ascii="Arial" w:hAnsi="Arial" w:cs="Arial"/>
          <w:b/>
          <w:u w:val="single"/>
        </w:rPr>
        <w:t xml:space="preserve">The Judge's decision </w:t>
      </w:r>
    </w:p>
    <w:p w14:paraId="7442E7F9" w14:textId="77777777" w:rsidR="00512EBC" w:rsidRDefault="00512EBC" w:rsidP="00646A8C">
      <w:pPr>
        <w:numPr>
          <w:ilvl w:val="0"/>
          <w:numId w:val="1"/>
        </w:numPr>
        <w:tabs>
          <w:tab w:val="left" w:pos="567"/>
        </w:tabs>
        <w:spacing w:before="240"/>
        <w:ind w:left="567" w:hanging="567"/>
        <w:jc w:val="both"/>
        <w:rPr>
          <w:rFonts w:ascii="Arial" w:hAnsi="Arial" w:cs="Arial"/>
        </w:rPr>
      </w:pPr>
      <w:r>
        <w:rPr>
          <w:rFonts w:ascii="Arial" w:hAnsi="Arial" w:cs="Arial"/>
        </w:rPr>
        <w:t>The Judge's decision is poorly proofed and, indeed, in part unintelligible</w:t>
      </w:r>
      <w:r w:rsidR="00091A57">
        <w:rPr>
          <w:rFonts w:ascii="Arial" w:hAnsi="Arial" w:cs="Arial"/>
        </w:rPr>
        <w:t xml:space="preserve">. In quoting from his decision below, it </w:t>
      </w:r>
      <w:r>
        <w:rPr>
          <w:rFonts w:ascii="Arial" w:hAnsi="Arial" w:cs="Arial"/>
        </w:rPr>
        <w:t xml:space="preserve">seemed </w:t>
      </w:r>
      <w:r w:rsidR="00091A57">
        <w:rPr>
          <w:rFonts w:ascii="Arial" w:hAnsi="Arial" w:cs="Arial"/>
        </w:rPr>
        <w:t xml:space="preserve">to me </w:t>
      </w:r>
      <w:r>
        <w:rPr>
          <w:rFonts w:ascii="Arial" w:hAnsi="Arial" w:cs="Arial"/>
        </w:rPr>
        <w:t xml:space="preserve">pointless to attempt to indicate precisely where the grammatical and other typographical errors were. Suffice it to say that the extracts below mirror exactly his decision. </w:t>
      </w:r>
    </w:p>
    <w:p w14:paraId="45CA2ABA" w14:textId="77777777" w:rsidR="004F15A7" w:rsidRDefault="00512EBC" w:rsidP="00646A8C">
      <w:pPr>
        <w:numPr>
          <w:ilvl w:val="0"/>
          <w:numId w:val="1"/>
        </w:numPr>
        <w:tabs>
          <w:tab w:val="left" w:pos="567"/>
        </w:tabs>
        <w:spacing w:before="240"/>
        <w:ind w:left="567" w:hanging="567"/>
        <w:jc w:val="both"/>
        <w:rPr>
          <w:rFonts w:ascii="Arial" w:hAnsi="Arial" w:cs="Arial"/>
        </w:rPr>
      </w:pPr>
      <w:r>
        <w:rPr>
          <w:rFonts w:ascii="Arial" w:hAnsi="Arial" w:cs="Arial"/>
        </w:rPr>
        <w:t xml:space="preserve">The appellant did not attend the hearing before the Judge and no representative appeared on his behalf. </w:t>
      </w:r>
      <w:r w:rsidR="004F15A7">
        <w:rPr>
          <w:rFonts w:ascii="Arial" w:hAnsi="Arial" w:cs="Arial"/>
        </w:rPr>
        <w:t xml:space="preserve">The </w:t>
      </w:r>
      <w:r w:rsidR="008D73F7">
        <w:rPr>
          <w:rFonts w:ascii="Arial" w:hAnsi="Arial" w:cs="Arial"/>
        </w:rPr>
        <w:t>Judge</w:t>
      </w:r>
      <w:r w:rsidR="004F15A7">
        <w:rPr>
          <w:rFonts w:ascii="Arial" w:hAnsi="Arial" w:cs="Arial"/>
        </w:rPr>
        <w:t xml:space="preserve"> dealt with this matter at paras 2-4 of his decision which read: </w:t>
      </w:r>
    </w:p>
    <w:p w14:paraId="77D5F15E" w14:textId="77777777" w:rsidR="0091355C" w:rsidRDefault="004F15A7" w:rsidP="0091355C">
      <w:pPr>
        <w:tabs>
          <w:tab w:val="left" w:pos="1440"/>
        </w:tabs>
        <w:ind w:left="1440" w:right="9" w:hanging="360"/>
        <w:rPr>
          <w:rFonts w:ascii="Arial" w:hAnsi="Arial" w:cs="Arial"/>
        </w:rPr>
      </w:pPr>
      <w:r>
        <w:rPr>
          <w:rFonts w:ascii="Arial" w:hAnsi="Arial" w:cs="Arial"/>
        </w:rPr>
        <w:tab/>
      </w:r>
    </w:p>
    <w:p w14:paraId="65998E25" w14:textId="4E116BE3" w:rsidR="0091355C" w:rsidRPr="0071410D" w:rsidRDefault="0091355C" w:rsidP="0091355C">
      <w:pPr>
        <w:tabs>
          <w:tab w:val="left" w:pos="1440"/>
        </w:tabs>
        <w:ind w:left="1440" w:right="9" w:hanging="360"/>
        <w:jc w:val="both"/>
        <w:rPr>
          <w:rFonts w:ascii="Arial" w:hAnsi="Arial"/>
          <w:sz w:val="20"/>
        </w:rPr>
      </w:pPr>
      <w:r>
        <w:rPr>
          <w:rFonts w:ascii="Arial" w:hAnsi="Arial" w:cs="Arial"/>
          <w:sz w:val="20"/>
        </w:rPr>
        <w:t>"</w:t>
      </w:r>
      <w:r w:rsidRPr="0091355C">
        <w:rPr>
          <w:rFonts w:ascii="Arial" w:hAnsi="Arial" w:cs="Arial"/>
          <w:sz w:val="20"/>
        </w:rPr>
        <w:t>2.</w:t>
      </w:r>
      <w:r w:rsidR="004F15A7">
        <w:rPr>
          <w:rFonts w:ascii="Arial" w:hAnsi="Arial" w:cs="Arial"/>
        </w:rPr>
        <w:tab/>
      </w:r>
      <w:proofErr w:type="gramStart"/>
      <w:r w:rsidRPr="0071410D">
        <w:rPr>
          <w:rFonts w:ascii="Arial" w:hAnsi="Arial"/>
          <w:sz w:val="20"/>
        </w:rPr>
        <w:t>Unfortunately</w:t>
      </w:r>
      <w:proofErr w:type="gramEnd"/>
      <w:r w:rsidRPr="0071410D">
        <w:rPr>
          <w:rFonts w:ascii="Arial" w:hAnsi="Arial"/>
          <w:sz w:val="20"/>
        </w:rPr>
        <w:t xml:space="preserve"> what I have the before me is the interview which appears to have </w:t>
      </w:r>
      <w:r w:rsidR="00FE2F82" w:rsidRPr="0071410D">
        <w:rPr>
          <w:rFonts w:ascii="Arial" w:hAnsi="Arial"/>
          <w:noProof/>
          <w:sz w:val="20"/>
        </w:rPr>
        <w:drawing>
          <wp:inline distT="0" distB="0" distL="0" distR="0" wp14:anchorId="69FC324E" wp14:editId="4AF903BE">
            <wp:extent cx="9525" cy="9525"/>
            <wp:effectExtent l="0" t="0" r="0" b="0"/>
            <wp:docPr id="2" name="Picture 5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71410D">
        <w:rPr>
          <w:rFonts w:ascii="Arial" w:hAnsi="Arial"/>
          <w:sz w:val="20"/>
        </w:rPr>
        <w:t xml:space="preserve">taken place on the 4th of February 2015. The appellant solicitors who were on record at the time wrote to the immigration appellate authority requesting an adjournment as they had made several </w:t>
      </w:r>
      <w:proofErr w:type="gramStart"/>
      <w:r w:rsidRPr="0071410D">
        <w:rPr>
          <w:rFonts w:ascii="Arial" w:hAnsi="Arial"/>
          <w:sz w:val="20"/>
        </w:rPr>
        <w:t>request</w:t>
      </w:r>
      <w:proofErr w:type="gramEnd"/>
      <w:r w:rsidRPr="0071410D">
        <w:rPr>
          <w:rFonts w:ascii="Arial" w:hAnsi="Arial"/>
          <w:sz w:val="20"/>
        </w:rPr>
        <w:t xml:space="preserve"> to the respondent asking for a full transcript of the interview that was held at the Home Office on the 4</w:t>
      </w:r>
      <w:r w:rsidRPr="0071410D">
        <w:rPr>
          <w:rFonts w:ascii="Arial" w:hAnsi="Arial"/>
          <w:sz w:val="20"/>
          <w:vertAlign w:val="superscript"/>
        </w:rPr>
        <w:t xml:space="preserve">th </w:t>
      </w:r>
      <w:r w:rsidRPr="0071410D">
        <w:rPr>
          <w:rFonts w:ascii="Arial" w:hAnsi="Arial"/>
          <w:sz w:val="20"/>
        </w:rPr>
        <w:t xml:space="preserve">of February 2015. This adjournment request was served on the immigration appellate </w:t>
      </w:r>
      <w:proofErr w:type="gramStart"/>
      <w:r w:rsidRPr="0071410D">
        <w:rPr>
          <w:rFonts w:ascii="Arial" w:hAnsi="Arial"/>
          <w:sz w:val="20"/>
        </w:rPr>
        <w:t>authority</w:t>
      </w:r>
      <w:proofErr w:type="gramEnd"/>
      <w:r w:rsidRPr="0071410D">
        <w:rPr>
          <w:rFonts w:ascii="Arial" w:hAnsi="Arial"/>
          <w:sz w:val="20"/>
        </w:rPr>
        <w:t xml:space="preserve"> but an adjournment request was refused apparently as the case file reveals. Notwithstanding that I have before me the full copy of the interview in a covering notice of adjourned hearing report which appears to have been marked stating that the earlier hearing on the 22nd of May 2019 was adjourned and the matter was relisted to today the 17</w:t>
      </w:r>
      <w:r w:rsidRPr="0071410D">
        <w:rPr>
          <w:rFonts w:ascii="Arial" w:hAnsi="Arial"/>
          <w:sz w:val="20"/>
          <w:vertAlign w:val="superscript"/>
        </w:rPr>
        <w:t xml:space="preserve">th </w:t>
      </w:r>
      <w:r w:rsidRPr="0071410D">
        <w:rPr>
          <w:rFonts w:ascii="Arial" w:hAnsi="Arial"/>
          <w:sz w:val="20"/>
        </w:rPr>
        <w:t>of September 2019.</w:t>
      </w:r>
    </w:p>
    <w:p w14:paraId="4EEF09F7" w14:textId="77777777" w:rsidR="0091355C" w:rsidRDefault="0091355C" w:rsidP="0091355C">
      <w:pPr>
        <w:tabs>
          <w:tab w:val="left" w:pos="1440"/>
        </w:tabs>
        <w:ind w:left="1440" w:right="120" w:hanging="360"/>
        <w:jc w:val="both"/>
        <w:rPr>
          <w:rFonts w:ascii="Arial" w:hAnsi="Arial"/>
          <w:noProof/>
          <w:sz w:val="20"/>
        </w:rPr>
      </w:pPr>
    </w:p>
    <w:p w14:paraId="435E317B" w14:textId="4B5B81B9" w:rsidR="0091355C" w:rsidRPr="0071410D" w:rsidRDefault="00FE2F82" w:rsidP="0091355C">
      <w:pPr>
        <w:tabs>
          <w:tab w:val="left" w:pos="1440"/>
        </w:tabs>
        <w:ind w:left="1440" w:right="120" w:hanging="360"/>
        <w:jc w:val="both"/>
        <w:rPr>
          <w:rFonts w:ascii="Arial" w:hAnsi="Arial"/>
          <w:sz w:val="20"/>
        </w:rPr>
      </w:pPr>
      <w:r w:rsidRPr="0071410D">
        <w:rPr>
          <w:rFonts w:ascii="Arial" w:hAnsi="Arial"/>
          <w:noProof/>
          <w:sz w:val="20"/>
        </w:rPr>
        <w:drawing>
          <wp:inline distT="0" distB="0" distL="0" distR="0" wp14:anchorId="0B22B8F9" wp14:editId="4A160F73">
            <wp:extent cx="9525" cy="9525"/>
            <wp:effectExtent l="0" t="0" r="0" b="0"/>
            <wp:docPr id="3" name="Picture 5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91355C" w:rsidRPr="0071410D">
        <w:rPr>
          <w:rFonts w:ascii="Arial" w:hAnsi="Arial"/>
          <w:sz w:val="20"/>
        </w:rPr>
        <w:t>3.</w:t>
      </w:r>
      <w:r w:rsidR="0091355C">
        <w:rPr>
          <w:rFonts w:ascii="Arial" w:hAnsi="Arial"/>
          <w:sz w:val="20"/>
        </w:rPr>
        <w:tab/>
      </w:r>
      <w:r w:rsidR="0091355C" w:rsidRPr="0071410D">
        <w:rPr>
          <w:rFonts w:ascii="Arial" w:hAnsi="Arial"/>
          <w:sz w:val="20"/>
        </w:rPr>
        <w:t>In the light of the absence of the appellant's or his representative I had the court clerk ring the solicitors JEIN solicitors whose was number was on file. They said that they were without instructions from the client and the reason why nobody was an appearance was because a lack of funds and instructions.</w:t>
      </w:r>
    </w:p>
    <w:p w14:paraId="0F9D12FA" w14:textId="77777777" w:rsidR="0091355C" w:rsidRDefault="0091355C" w:rsidP="0091355C">
      <w:pPr>
        <w:tabs>
          <w:tab w:val="left" w:pos="1440"/>
        </w:tabs>
        <w:ind w:left="1440" w:right="257" w:hanging="360"/>
        <w:jc w:val="both"/>
        <w:rPr>
          <w:rFonts w:ascii="Arial" w:hAnsi="Arial"/>
          <w:sz w:val="20"/>
        </w:rPr>
      </w:pPr>
    </w:p>
    <w:p w14:paraId="17EDCBC0" w14:textId="77777777" w:rsidR="0091355C" w:rsidRPr="0071410D" w:rsidRDefault="0091355C" w:rsidP="0091355C">
      <w:pPr>
        <w:tabs>
          <w:tab w:val="left" w:pos="1440"/>
        </w:tabs>
        <w:ind w:left="1440" w:right="257" w:hanging="360"/>
        <w:jc w:val="both"/>
        <w:rPr>
          <w:rFonts w:ascii="Arial" w:hAnsi="Arial"/>
          <w:sz w:val="20"/>
        </w:rPr>
      </w:pPr>
      <w:r>
        <w:rPr>
          <w:rFonts w:ascii="Arial" w:hAnsi="Arial"/>
          <w:sz w:val="20"/>
        </w:rPr>
        <w:t>4.</w:t>
      </w:r>
      <w:r>
        <w:rPr>
          <w:rFonts w:ascii="Arial" w:hAnsi="Arial"/>
          <w:sz w:val="20"/>
        </w:rPr>
        <w:tab/>
      </w:r>
      <w:r w:rsidRPr="0071410D">
        <w:rPr>
          <w:rFonts w:ascii="Arial" w:hAnsi="Arial"/>
          <w:sz w:val="20"/>
        </w:rPr>
        <w:t xml:space="preserve">I therefore decided it was appropriate to carry on </w:t>
      </w:r>
      <w:proofErr w:type="gramStart"/>
      <w:r w:rsidRPr="0071410D">
        <w:rPr>
          <w:rFonts w:ascii="Arial" w:hAnsi="Arial"/>
          <w:sz w:val="20"/>
        </w:rPr>
        <w:t>to hear</w:t>
      </w:r>
      <w:proofErr w:type="gramEnd"/>
      <w:r w:rsidRPr="0071410D">
        <w:rPr>
          <w:rFonts w:ascii="Arial" w:hAnsi="Arial"/>
          <w:sz w:val="20"/>
        </w:rPr>
        <w:t xml:space="preserve"> the appeal in the light of the fact that the appellant's clearly knew that the hearing was today and therefore there was presumably a decision by him not to attend the hearing and give evidence.</w:t>
      </w:r>
      <w:r>
        <w:rPr>
          <w:rFonts w:ascii="Arial" w:hAnsi="Arial"/>
          <w:sz w:val="20"/>
        </w:rPr>
        <w:t>"</w:t>
      </w:r>
    </w:p>
    <w:p w14:paraId="18AE50CE" w14:textId="77777777" w:rsidR="0091355C" w:rsidRDefault="0091355C" w:rsidP="0091355C">
      <w:pPr>
        <w:numPr>
          <w:ilvl w:val="0"/>
          <w:numId w:val="1"/>
        </w:numPr>
        <w:tabs>
          <w:tab w:val="left" w:pos="567"/>
        </w:tabs>
        <w:spacing w:before="240"/>
        <w:ind w:left="567" w:hanging="567"/>
        <w:jc w:val="both"/>
        <w:rPr>
          <w:rFonts w:ascii="Arial" w:hAnsi="Arial" w:cs="Arial"/>
        </w:rPr>
      </w:pPr>
      <w:r>
        <w:rPr>
          <w:rFonts w:ascii="Arial" w:hAnsi="Arial" w:cs="Arial"/>
        </w:rPr>
        <w:t xml:space="preserve">At paras 5-11 of his decision, </w:t>
      </w:r>
      <w:r w:rsidR="00512EBC">
        <w:rPr>
          <w:rFonts w:ascii="Arial" w:hAnsi="Arial" w:cs="Arial"/>
        </w:rPr>
        <w:t>t</w:t>
      </w:r>
      <w:r>
        <w:rPr>
          <w:rFonts w:ascii="Arial" w:hAnsi="Arial" w:cs="Arial"/>
        </w:rPr>
        <w:t xml:space="preserve">he </w:t>
      </w:r>
      <w:r w:rsidR="00091A57">
        <w:rPr>
          <w:rFonts w:ascii="Arial" w:hAnsi="Arial" w:cs="Arial"/>
        </w:rPr>
        <w:t>J</w:t>
      </w:r>
      <w:r w:rsidR="00512EBC">
        <w:rPr>
          <w:rFonts w:ascii="Arial" w:hAnsi="Arial" w:cs="Arial"/>
        </w:rPr>
        <w:t xml:space="preserve">udge </w:t>
      </w:r>
      <w:r>
        <w:rPr>
          <w:rFonts w:ascii="Arial" w:hAnsi="Arial" w:cs="Arial"/>
        </w:rPr>
        <w:t>set out aspects of the respondent's case</w:t>
      </w:r>
      <w:r w:rsidR="00512EBC">
        <w:rPr>
          <w:rFonts w:ascii="Arial" w:hAnsi="Arial" w:cs="Arial"/>
        </w:rPr>
        <w:t>,</w:t>
      </w:r>
      <w:r>
        <w:rPr>
          <w:rFonts w:ascii="Arial" w:hAnsi="Arial" w:cs="Arial"/>
        </w:rPr>
        <w:t xml:space="preserve"> i.e. that the respondent relied upon various inconsistencies that arose between the interview records of the appellant and the sponsor during marriage interviews conducted by the respondent.</w:t>
      </w:r>
    </w:p>
    <w:p w14:paraId="725EB052" w14:textId="77777777" w:rsidR="0091355C" w:rsidRDefault="0091355C" w:rsidP="0091355C">
      <w:pPr>
        <w:numPr>
          <w:ilvl w:val="0"/>
          <w:numId w:val="1"/>
        </w:numPr>
        <w:tabs>
          <w:tab w:val="left" w:pos="567"/>
        </w:tabs>
        <w:spacing w:before="240"/>
        <w:ind w:left="567" w:hanging="567"/>
        <w:jc w:val="both"/>
        <w:rPr>
          <w:rFonts w:ascii="Arial" w:hAnsi="Arial" w:cs="Arial"/>
        </w:rPr>
      </w:pPr>
      <w:r>
        <w:rPr>
          <w:rFonts w:ascii="Arial" w:hAnsi="Arial" w:cs="Arial"/>
        </w:rPr>
        <w:lastRenderedPageBreak/>
        <w:t xml:space="preserve">At para 13, the </w:t>
      </w:r>
      <w:r w:rsidR="008D73F7">
        <w:rPr>
          <w:rFonts w:ascii="Arial" w:hAnsi="Arial" w:cs="Arial"/>
        </w:rPr>
        <w:t>Judge</w:t>
      </w:r>
      <w:r>
        <w:rPr>
          <w:rFonts w:ascii="Arial" w:hAnsi="Arial" w:cs="Arial"/>
        </w:rPr>
        <w:t xml:space="preserve"> directed himself on the applicable burden and standard of proof as follows:</w:t>
      </w:r>
    </w:p>
    <w:p w14:paraId="359F308D" w14:textId="77777777" w:rsidR="0091355C" w:rsidRDefault="0091355C" w:rsidP="0091355C">
      <w:pPr>
        <w:tabs>
          <w:tab w:val="left" w:pos="1440"/>
        </w:tabs>
        <w:ind w:left="1440" w:right="257" w:hanging="360"/>
        <w:jc w:val="both"/>
        <w:rPr>
          <w:rFonts w:ascii="Arial" w:hAnsi="Arial"/>
          <w:sz w:val="20"/>
        </w:rPr>
      </w:pPr>
    </w:p>
    <w:p w14:paraId="37166751" w14:textId="77777777" w:rsidR="0091355C" w:rsidRPr="0071410D" w:rsidRDefault="0091355C" w:rsidP="0091355C">
      <w:pPr>
        <w:tabs>
          <w:tab w:val="left" w:pos="1440"/>
        </w:tabs>
        <w:ind w:left="1440" w:right="257" w:hanging="360"/>
        <w:jc w:val="both"/>
        <w:rPr>
          <w:rFonts w:ascii="Arial" w:hAnsi="Arial"/>
          <w:sz w:val="20"/>
        </w:rPr>
      </w:pPr>
      <w:r>
        <w:rPr>
          <w:rFonts w:ascii="Arial" w:hAnsi="Arial"/>
          <w:sz w:val="20"/>
        </w:rPr>
        <w:t>"13.</w:t>
      </w:r>
      <w:r>
        <w:rPr>
          <w:rFonts w:ascii="Arial" w:hAnsi="Arial"/>
          <w:sz w:val="20"/>
        </w:rPr>
        <w:tab/>
      </w:r>
      <w:r w:rsidRPr="0091355C">
        <w:rPr>
          <w:rFonts w:ascii="Arial" w:hAnsi="Arial"/>
          <w:sz w:val="20"/>
        </w:rPr>
        <w:t>The burden of proof rests on the appellant and the standard of proof is on a balance of probabilities. The relevant date the date of decision before me.</w:t>
      </w:r>
      <w:r>
        <w:rPr>
          <w:rFonts w:ascii="Arial" w:hAnsi="Arial"/>
          <w:sz w:val="20"/>
        </w:rPr>
        <w:t>"</w:t>
      </w:r>
      <w:r w:rsidRPr="0091355C">
        <w:rPr>
          <w:rFonts w:ascii="Arial" w:hAnsi="Arial"/>
          <w:sz w:val="20"/>
        </w:rPr>
        <w:t xml:space="preserve"> </w:t>
      </w:r>
    </w:p>
    <w:p w14:paraId="71865CF3" w14:textId="77777777" w:rsidR="0091355C" w:rsidRDefault="0091355C" w:rsidP="0091355C">
      <w:pPr>
        <w:numPr>
          <w:ilvl w:val="0"/>
          <w:numId w:val="1"/>
        </w:numPr>
        <w:tabs>
          <w:tab w:val="left" w:pos="567"/>
        </w:tabs>
        <w:spacing w:before="240"/>
        <w:ind w:left="567" w:hanging="567"/>
        <w:jc w:val="both"/>
        <w:rPr>
          <w:rFonts w:ascii="Arial" w:hAnsi="Arial" w:cs="Arial"/>
        </w:rPr>
      </w:pPr>
      <w:r>
        <w:rPr>
          <w:rFonts w:ascii="Arial" w:hAnsi="Arial" w:cs="Arial"/>
        </w:rPr>
        <w:t xml:space="preserve">The </w:t>
      </w:r>
      <w:r w:rsidR="008D73F7">
        <w:rPr>
          <w:rFonts w:ascii="Arial" w:hAnsi="Arial" w:cs="Arial"/>
        </w:rPr>
        <w:t>Judge</w:t>
      </w:r>
      <w:r>
        <w:rPr>
          <w:rFonts w:ascii="Arial" w:hAnsi="Arial" w:cs="Arial"/>
        </w:rPr>
        <w:t xml:space="preserve"> then gave his reasons for finding that the marriage was a marriage of convenience at paras 14-17 which read:  </w:t>
      </w:r>
    </w:p>
    <w:p w14:paraId="4AA8BDE7" w14:textId="77777777" w:rsidR="0091355C" w:rsidRDefault="0091355C" w:rsidP="0091355C">
      <w:pPr>
        <w:tabs>
          <w:tab w:val="left" w:pos="1080"/>
          <w:tab w:val="left" w:pos="1440"/>
        </w:tabs>
        <w:ind w:left="1440" w:hanging="802"/>
        <w:jc w:val="both"/>
        <w:rPr>
          <w:rFonts w:ascii="Arial" w:hAnsi="Arial"/>
          <w:sz w:val="20"/>
          <w:u w:val="single" w:color="000000"/>
        </w:rPr>
      </w:pPr>
    </w:p>
    <w:p w14:paraId="468A28D9" w14:textId="77777777" w:rsidR="0091355C" w:rsidRPr="0091355C" w:rsidRDefault="0091355C" w:rsidP="0091355C">
      <w:pPr>
        <w:tabs>
          <w:tab w:val="left" w:pos="1080"/>
          <w:tab w:val="left" w:pos="1440"/>
        </w:tabs>
        <w:ind w:left="1440" w:hanging="802"/>
        <w:jc w:val="both"/>
        <w:rPr>
          <w:rFonts w:ascii="Arial" w:hAnsi="Arial"/>
          <w:sz w:val="20"/>
        </w:rPr>
      </w:pPr>
      <w:r>
        <w:rPr>
          <w:rFonts w:ascii="Arial" w:hAnsi="Arial"/>
          <w:sz w:val="20"/>
          <w:u w:color="000000"/>
        </w:rPr>
        <w:tab/>
        <w:t>"</w:t>
      </w:r>
      <w:r w:rsidRPr="0091355C">
        <w:rPr>
          <w:rFonts w:ascii="Arial" w:hAnsi="Arial"/>
          <w:sz w:val="20"/>
          <w:u w:color="000000"/>
        </w:rPr>
        <w:t>My Findings of Fact and Law Relating to this Appeal</w:t>
      </w:r>
    </w:p>
    <w:p w14:paraId="3D4DF62F" w14:textId="77777777" w:rsidR="0091355C" w:rsidRDefault="0091355C" w:rsidP="0091355C">
      <w:pPr>
        <w:tabs>
          <w:tab w:val="left" w:pos="1080"/>
          <w:tab w:val="left" w:pos="1440"/>
        </w:tabs>
        <w:ind w:left="1440" w:right="226" w:hanging="802"/>
        <w:jc w:val="both"/>
        <w:rPr>
          <w:rFonts w:ascii="Arial" w:hAnsi="Arial"/>
          <w:sz w:val="20"/>
        </w:rPr>
      </w:pPr>
    </w:p>
    <w:p w14:paraId="72EA2B62" w14:textId="77777777" w:rsidR="0091355C" w:rsidRPr="0071410D" w:rsidRDefault="0091355C" w:rsidP="0091355C">
      <w:pPr>
        <w:tabs>
          <w:tab w:val="left" w:pos="1080"/>
          <w:tab w:val="left" w:pos="1440"/>
        </w:tabs>
        <w:ind w:left="1440" w:right="226" w:hanging="802"/>
        <w:jc w:val="both"/>
        <w:rPr>
          <w:rFonts w:ascii="Arial" w:hAnsi="Arial"/>
          <w:sz w:val="20"/>
        </w:rPr>
      </w:pPr>
      <w:r>
        <w:rPr>
          <w:rFonts w:ascii="Arial" w:hAnsi="Arial"/>
          <w:sz w:val="20"/>
        </w:rPr>
        <w:tab/>
        <w:t>14.</w:t>
      </w:r>
      <w:r>
        <w:rPr>
          <w:rFonts w:ascii="Arial" w:hAnsi="Arial"/>
          <w:sz w:val="20"/>
        </w:rPr>
        <w:tab/>
      </w:r>
      <w:r w:rsidRPr="0071410D">
        <w:rPr>
          <w:rFonts w:ascii="Arial" w:hAnsi="Arial"/>
          <w:sz w:val="20"/>
        </w:rPr>
        <w:t xml:space="preserve">The respondent does have a duty to identify marriages of convenience and therefore it is normal practice for the respondent to interview the appellant in such circumstances independently to attempt to verify whether it is a genuine and subsisting marriage. Having carefully looked at the discrepancies listed in the respondent's refusal letter they are by and large answers which one would normally expect of a married couple. The previous interview in 2015 relied upon when one looks it did in the round does not count contain major discrepancies and in fact for the most part the answers are very similar. This is an unusual case because if the parties had simply turned up and confirmed what was in their interview and their present </w:t>
      </w:r>
      <w:proofErr w:type="gramStart"/>
      <w:r w:rsidRPr="0071410D">
        <w:rPr>
          <w:rFonts w:ascii="Arial" w:hAnsi="Arial"/>
          <w:sz w:val="20"/>
        </w:rPr>
        <w:t>circumstances</w:t>
      </w:r>
      <w:proofErr w:type="gramEnd"/>
      <w:r w:rsidRPr="0071410D">
        <w:rPr>
          <w:rFonts w:ascii="Arial" w:hAnsi="Arial"/>
          <w:sz w:val="20"/>
        </w:rPr>
        <w:t xml:space="preserve"> I would have probably had little doubt in allowing the appeal.</w:t>
      </w:r>
    </w:p>
    <w:p w14:paraId="1C8F454A" w14:textId="77777777" w:rsidR="0091355C" w:rsidRDefault="0091355C" w:rsidP="0091355C">
      <w:pPr>
        <w:tabs>
          <w:tab w:val="left" w:pos="1080"/>
          <w:tab w:val="left" w:pos="1440"/>
        </w:tabs>
        <w:ind w:left="1440" w:right="226" w:hanging="802"/>
        <w:jc w:val="both"/>
        <w:rPr>
          <w:rFonts w:ascii="Arial" w:hAnsi="Arial"/>
          <w:sz w:val="20"/>
        </w:rPr>
      </w:pPr>
    </w:p>
    <w:p w14:paraId="3F61F6EF" w14:textId="2C49BB05" w:rsidR="0091355C" w:rsidRPr="0071410D" w:rsidRDefault="0091355C" w:rsidP="0091355C">
      <w:pPr>
        <w:tabs>
          <w:tab w:val="left" w:pos="1080"/>
          <w:tab w:val="left" w:pos="1440"/>
        </w:tabs>
        <w:ind w:left="1440" w:right="226" w:hanging="802"/>
        <w:jc w:val="both"/>
        <w:rPr>
          <w:rFonts w:ascii="Arial" w:hAnsi="Arial"/>
          <w:sz w:val="20"/>
        </w:rPr>
      </w:pPr>
      <w:r>
        <w:rPr>
          <w:rFonts w:ascii="Arial" w:hAnsi="Arial"/>
          <w:sz w:val="20"/>
        </w:rPr>
        <w:tab/>
        <w:t>15.</w:t>
      </w:r>
      <w:r>
        <w:rPr>
          <w:rFonts w:ascii="Arial" w:hAnsi="Arial"/>
          <w:sz w:val="20"/>
        </w:rPr>
        <w:tab/>
      </w:r>
      <w:r w:rsidR="00FE2F82" w:rsidRPr="0071410D">
        <w:rPr>
          <w:rFonts w:ascii="Arial" w:hAnsi="Arial"/>
          <w:noProof/>
          <w:sz w:val="20"/>
        </w:rPr>
        <w:drawing>
          <wp:anchor distT="0" distB="0" distL="114300" distR="114300" simplePos="0" relativeHeight="251657216" behindDoc="0" locked="0" layoutInCell="1" allowOverlap="0" wp14:anchorId="4E1EEBBE" wp14:editId="0A3848B3">
            <wp:simplePos x="0" y="0"/>
            <wp:positionH relativeFrom="page">
              <wp:posOffset>6849110</wp:posOffset>
            </wp:positionH>
            <wp:positionV relativeFrom="page">
              <wp:posOffset>3966845</wp:posOffset>
            </wp:positionV>
            <wp:extent cx="12065" cy="8890"/>
            <wp:effectExtent l="0" t="0" r="0" b="0"/>
            <wp:wrapSquare wrapText="bothSides"/>
            <wp:docPr id="10" name="Picture 13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065" cy="8890"/>
                    </a:xfrm>
                    <a:prstGeom prst="rect">
                      <a:avLst/>
                    </a:prstGeom>
                    <a:noFill/>
                  </pic:spPr>
                </pic:pic>
              </a:graphicData>
            </a:graphic>
            <wp14:sizeRelH relativeFrom="page">
              <wp14:pctWidth>0</wp14:pctWidth>
            </wp14:sizeRelH>
            <wp14:sizeRelV relativeFrom="page">
              <wp14:pctHeight>0</wp14:pctHeight>
            </wp14:sizeRelV>
          </wp:anchor>
        </w:drawing>
      </w:r>
      <w:r w:rsidR="00FE2F82" w:rsidRPr="0071410D">
        <w:rPr>
          <w:rFonts w:ascii="Arial" w:hAnsi="Arial"/>
          <w:noProof/>
          <w:sz w:val="20"/>
        </w:rPr>
        <w:drawing>
          <wp:anchor distT="0" distB="0" distL="114300" distR="114300" simplePos="0" relativeHeight="251658240" behindDoc="0" locked="0" layoutInCell="1" allowOverlap="0" wp14:anchorId="1346B636" wp14:editId="6540F8A4">
            <wp:simplePos x="0" y="0"/>
            <wp:positionH relativeFrom="page">
              <wp:posOffset>6915785</wp:posOffset>
            </wp:positionH>
            <wp:positionV relativeFrom="page">
              <wp:posOffset>7692390</wp:posOffset>
            </wp:positionV>
            <wp:extent cx="12065" cy="12065"/>
            <wp:effectExtent l="0" t="0" r="0" b="0"/>
            <wp:wrapSquare wrapText="bothSides"/>
            <wp:docPr id="9" name="Picture 13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pic:spPr>
                </pic:pic>
              </a:graphicData>
            </a:graphic>
            <wp14:sizeRelH relativeFrom="page">
              <wp14:pctWidth>0</wp14:pctWidth>
            </wp14:sizeRelH>
            <wp14:sizeRelV relativeFrom="page">
              <wp14:pctHeight>0</wp14:pctHeight>
            </wp14:sizeRelV>
          </wp:anchor>
        </w:drawing>
      </w:r>
      <w:r w:rsidRPr="0071410D">
        <w:rPr>
          <w:rFonts w:ascii="Arial" w:hAnsi="Arial"/>
          <w:sz w:val="20"/>
        </w:rPr>
        <w:t xml:space="preserve">One of the features of a marriage which is no longer genuine subsisting however is that the parties do not appear or do not decide to instruct solicitors to appear </w:t>
      </w:r>
      <w:r w:rsidR="00FE2F82" w:rsidRPr="0071410D">
        <w:rPr>
          <w:rFonts w:ascii="Arial" w:hAnsi="Arial"/>
          <w:noProof/>
          <w:sz w:val="20"/>
        </w:rPr>
        <w:drawing>
          <wp:inline distT="0" distB="0" distL="0" distR="0" wp14:anchorId="1AC8F575" wp14:editId="2002A5C5">
            <wp:extent cx="9525" cy="9525"/>
            <wp:effectExtent l="0" t="0" r="0" b="0"/>
            <wp:docPr id="4" name="Picture 13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71410D">
        <w:rPr>
          <w:rFonts w:ascii="Arial" w:hAnsi="Arial"/>
          <w:sz w:val="20"/>
        </w:rPr>
        <w:t xml:space="preserve">on their behalf. It may well be that there is some other reason for the appellants </w:t>
      </w:r>
      <w:proofErr w:type="gramStart"/>
      <w:r w:rsidRPr="0071410D">
        <w:rPr>
          <w:rFonts w:ascii="Arial" w:hAnsi="Arial"/>
          <w:sz w:val="20"/>
        </w:rPr>
        <w:t>non-attendance</w:t>
      </w:r>
      <w:proofErr w:type="gramEnd"/>
      <w:r w:rsidRPr="0071410D">
        <w:rPr>
          <w:rFonts w:ascii="Arial" w:hAnsi="Arial"/>
          <w:sz w:val="20"/>
        </w:rPr>
        <w:t xml:space="preserve"> but I have none before me. In the circumstances the </w:t>
      </w:r>
      <w:proofErr w:type="gramStart"/>
      <w:r w:rsidRPr="0071410D">
        <w:rPr>
          <w:rFonts w:ascii="Arial" w:hAnsi="Arial"/>
          <w:sz w:val="20"/>
        </w:rPr>
        <w:t>respondents</w:t>
      </w:r>
      <w:proofErr w:type="gramEnd"/>
      <w:r w:rsidRPr="0071410D">
        <w:rPr>
          <w:rFonts w:ascii="Arial" w:hAnsi="Arial"/>
          <w:sz w:val="20"/>
        </w:rPr>
        <w:t xml:space="preserve"> suggestion that this is on a marriage of convenience does not face any opposition from the appellants and from the appellant and his wife say for what is </w:t>
      </w:r>
      <w:r w:rsidR="00FE2F82" w:rsidRPr="0071410D">
        <w:rPr>
          <w:rFonts w:ascii="Arial" w:hAnsi="Arial"/>
          <w:noProof/>
          <w:sz w:val="20"/>
        </w:rPr>
        <w:drawing>
          <wp:inline distT="0" distB="0" distL="0" distR="0" wp14:anchorId="2A7D5A0E" wp14:editId="4FE84B42">
            <wp:extent cx="19050" cy="19050"/>
            <wp:effectExtent l="0" t="0" r="0" b="0"/>
            <wp:docPr id="5" name="Picture 13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71410D">
        <w:rPr>
          <w:rFonts w:ascii="Arial" w:hAnsi="Arial"/>
          <w:sz w:val="20"/>
        </w:rPr>
        <w:t xml:space="preserve">contained in the interview of February 2015. On that basis therefore as to whether turning the clock back and looking at the marriage itself whether it was a marriage of </w:t>
      </w:r>
      <w:proofErr w:type="gramStart"/>
      <w:r w:rsidRPr="0071410D">
        <w:rPr>
          <w:rFonts w:ascii="Arial" w:hAnsi="Arial"/>
          <w:sz w:val="20"/>
        </w:rPr>
        <w:t>convenience</w:t>
      </w:r>
      <w:proofErr w:type="gramEnd"/>
      <w:r w:rsidRPr="0071410D">
        <w:rPr>
          <w:rFonts w:ascii="Arial" w:hAnsi="Arial"/>
          <w:sz w:val="20"/>
        </w:rPr>
        <w:t xml:space="preserve"> I can only make an assessment on the interview of February 2015. And on that whether the appellants are before me today.</w:t>
      </w:r>
    </w:p>
    <w:p w14:paraId="2C4AFA81" w14:textId="77777777" w:rsidR="0091355C" w:rsidRDefault="0091355C" w:rsidP="0091355C">
      <w:pPr>
        <w:tabs>
          <w:tab w:val="left" w:pos="1080"/>
          <w:tab w:val="left" w:pos="1440"/>
        </w:tabs>
        <w:ind w:left="1440" w:right="226" w:hanging="802"/>
        <w:jc w:val="both"/>
        <w:rPr>
          <w:rFonts w:ascii="Arial" w:hAnsi="Arial"/>
          <w:sz w:val="20"/>
        </w:rPr>
      </w:pPr>
    </w:p>
    <w:p w14:paraId="5378EBDF" w14:textId="77777777" w:rsidR="0091355C" w:rsidRPr="0071410D" w:rsidRDefault="0091355C" w:rsidP="0091355C">
      <w:pPr>
        <w:tabs>
          <w:tab w:val="left" w:pos="1080"/>
          <w:tab w:val="left" w:pos="1440"/>
        </w:tabs>
        <w:ind w:left="1440" w:right="226" w:hanging="802"/>
        <w:jc w:val="both"/>
        <w:rPr>
          <w:rFonts w:ascii="Arial" w:hAnsi="Arial"/>
          <w:sz w:val="20"/>
        </w:rPr>
      </w:pPr>
      <w:r>
        <w:rPr>
          <w:rFonts w:ascii="Arial" w:hAnsi="Arial"/>
          <w:sz w:val="20"/>
        </w:rPr>
        <w:tab/>
        <w:t>16.</w:t>
      </w:r>
      <w:r>
        <w:rPr>
          <w:rFonts w:ascii="Arial" w:hAnsi="Arial"/>
          <w:sz w:val="20"/>
        </w:rPr>
        <w:tab/>
      </w:r>
      <w:r w:rsidRPr="0071410D">
        <w:rPr>
          <w:rFonts w:ascii="Arial" w:hAnsi="Arial"/>
          <w:sz w:val="20"/>
        </w:rPr>
        <w:t xml:space="preserve">As I have already indicated the discrepancies relied upon by the respondents are minor and </w:t>
      </w:r>
      <w:proofErr w:type="gramStart"/>
      <w:r w:rsidRPr="0071410D">
        <w:rPr>
          <w:rFonts w:ascii="Arial" w:hAnsi="Arial"/>
          <w:sz w:val="20"/>
        </w:rPr>
        <w:t>the vast majority of</w:t>
      </w:r>
      <w:proofErr w:type="gramEnd"/>
      <w:r w:rsidRPr="0071410D">
        <w:rPr>
          <w:rFonts w:ascii="Arial" w:hAnsi="Arial"/>
          <w:sz w:val="20"/>
        </w:rPr>
        <w:t xml:space="preserve"> the answers that were given by the appellant and his wife were similar. The only issue that undermines that finding is the failure of the appellant to appear before me today.</w:t>
      </w:r>
    </w:p>
    <w:p w14:paraId="60FDAF03" w14:textId="77777777" w:rsidR="0091355C" w:rsidRDefault="0091355C" w:rsidP="0091355C">
      <w:pPr>
        <w:tabs>
          <w:tab w:val="left" w:pos="1080"/>
          <w:tab w:val="left" w:pos="1440"/>
        </w:tabs>
        <w:ind w:left="1440" w:right="226" w:hanging="802"/>
        <w:jc w:val="both"/>
        <w:rPr>
          <w:rFonts w:ascii="Arial" w:hAnsi="Arial"/>
          <w:sz w:val="20"/>
        </w:rPr>
      </w:pPr>
    </w:p>
    <w:p w14:paraId="7F300098" w14:textId="3D784678" w:rsidR="0091355C" w:rsidRPr="0071410D" w:rsidRDefault="0091355C" w:rsidP="0091355C">
      <w:pPr>
        <w:tabs>
          <w:tab w:val="left" w:pos="1080"/>
          <w:tab w:val="left" w:pos="1440"/>
        </w:tabs>
        <w:ind w:left="1440" w:right="226" w:hanging="802"/>
        <w:jc w:val="both"/>
        <w:rPr>
          <w:rFonts w:ascii="Arial" w:hAnsi="Arial"/>
          <w:sz w:val="20"/>
        </w:rPr>
      </w:pPr>
      <w:r>
        <w:rPr>
          <w:rFonts w:ascii="Arial" w:hAnsi="Arial"/>
          <w:sz w:val="20"/>
        </w:rPr>
        <w:tab/>
        <w:t>17.</w:t>
      </w:r>
      <w:r>
        <w:rPr>
          <w:rFonts w:ascii="Arial" w:hAnsi="Arial"/>
          <w:sz w:val="20"/>
        </w:rPr>
        <w:tab/>
      </w:r>
      <w:r w:rsidRPr="0071410D">
        <w:rPr>
          <w:rFonts w:ascii="Arial" w:hAnsi="Arial"/>
          <w:sz w:val="20"/>
        </w:rPr>
        <w:t xml:space="preserve">Notwithstanding that this is a finely balanced case and I decide I have come to the view that on a balance of probabilities it is more likely than not that this was a balance of convenience simply because of the appellant's failure to appear before me today with his wife or to arrange representation. In those circumstances therefore I find that it is more likely than not that this was a marriage of convenience from the outset and that is why neither the appellant </w:t>
      </w:r>
      <w:r w:rsidR="00FE2F82" w:rsidRPr="0071410D">
        <w:rPr>
          <w:rFonts w:ascii="Arial" w:hAnsi="Arial"/>
          <w:noProof/>
          <w:sz w:val="20"/>
        </w:rPr>
        <w:drawing>
          <wp:inline distT="0" distB="0" distL="0" distR="0" wp14:anchorId="25F488AE" wp14:editId="71DCC4D6">
            <wp:extent cx="19050" cy="9525"/>
            <wp:effectExtent l="0" t="0" r="0" b="0"/>
            <wp:docPr id="6" name="Picture 13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r w:rsidRPr="0071410D">
        <w:rPr>
          <w:rFonts w:ascii="Arial" w:hAnsi="Arial"/>
          <w:sz w:val="20"/>
        </w:rPr>
        <w:t xml:space="preserve"> nor spouse has decided to appear today. In the circumstances therefore the </w:t>
      </w:r>
      <w:r w:rsidR="00FE2F82" w:rsidRPr="0071410D">
        <w:rPr>
          <w:rFonts w:ascii="Arial" w:hAnsi="Arial"/>
          <w:noProof/>
          <w:sz w:val="20"/>
        </w:rPr>
        <w:drawing>
          <wp:inline distT="0" distB="0" distL="0" distR="0" wp14:anchorId="312C3A87" wp14:editId="364279F3">
            <wp:extent cx="19050" cy="76200"/>
            <wp:effectExtent l="0" t="0" r="0" b="0"/>
            <wp:docPr id="7" name="Picture 24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9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50" cy="76200"/>
                    </a:xfrm>
                    <a:prstGeom prst="rect">
                      <a:avLst/>
                    </a:prstGeom>
                    <a:noFill/>
                    <a:ln>
                      <a:noFill/>
                    </a:ln>
                  </pic:spPr>
                </pic:pic>
              </a:graphicData>
            </a:graphic>
          </wp:inline>
        </w:drawing>
      </w:r>
      <w:r>
        <w:rPr>
          <w:rFonts w:ascii="Arial" w:hAnsi="Arial"/>
          <w:sz w:val="20"/>
        </w:rPr>
        <w:t>applicant'</w:t>
      </w:r>
      <w:r w:rsidRPr="0071410D">
        <w:rPr>
          <w:rFonts w:ascii="Arial" w:hAnsi="Arial"/>
          <w:sz w:val="20"/>
        </w:rPr>
        <w:t>s application for a residence card must fail as it would not comply with regulation 2 of the Immigration (Europe Economic Area) Regulations 2016.</w:t>
      </w:r>
      <w:r w:rsidR="00FE2F82" w:rsidRPr="0071410D">
        <w:rPr>
          <w:rFonts w:ascii="Arial" w:hAnsi="Arial"/>
          <w:noProof/>
          <w:sz w:val="20"/>
        </w:rPr>
        <w:drawing>
          <wp:inline distT="0" distB="0" distL="0" distR="0" wp14:anchorId="08CE132E" wp14:editId="049F18F6">
            <wp:extent cx="9525" cy="9525"/>
            <wp:effectExtent l="0" t="0" r="0" b="0"/>
            <wp:docPr id="8" name="Picture 13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Arial" w:hAnsi="Arial"/>
          <w:noProof/>
          <w:sz w:val="20"/>
        </w:rPr>
        <w:t>"</w:t>
      </w:r>
    </w:p>
    <w:p w14:paraId="6F93C6BE" w14:textId="77777777" w:rsidR="0091355C" w:rsidRPr="00070890" w:rsidRDefault="00070890" w:rsidP="00070890">
      <w:pPr>
        <w:tabs>
          <w:tab w:val="left" w:pos="567"/>
        </w:tabs>
        <w:spacing w:before="240"/>
        <w:jc w:val="both"/>
        <w:rPr>
          <w:rFonts w:ascii="Arial" w:hAnsi="Arial" w:cs="Arial"/>
          <w:b/>
          <w:u w:val="single"/>
        </w:rPr>
      </w:pPr>
      <w:r w:rsidRPr="00070890">
        <w:rPr>
          <w:rFonts w:ascii="Arial" w:hAnsi="Arial" w:cs="Arial"/>
          <w:b/>
          <w:u w:val="single"/>
        </w:rPr>
        <w:t xml:space="preserve">Assessment </w:t>
      </w:r>
    </w:p>
    <w:p w14:paraId="133C6D39" w14:textId="77777777" w:rsidR="0091355C" w:rsidRDefault="00070890" w:rsidP="0091355C">
      <w:pPr>
        <w:numPr>
          <w:ilvl w:val="0"/>
          <w:numId w:val="1"/>
        </w:numPr>
        <w:tabs>
          <w:tab w:val="left" w:pos="567"/>
        </w:tabs>
        <w:spacing w:before="240"/>
        <w:ind w:left="567" w:hanging="567"/>
        <w:jc w:val="both"/>
        <w:rPr>
          <w:rFonts w:ascii="Arial" w:hAnsi="Arial" w:cs="Arial"/>
        </w:rPr>
      </w:pPr>
      <w:r>
        <w:rPr>
          <w:rFonts w:ascii="Arial" w:hAnsi="Arial" w:cs="Arial"/>
        </w:rPr>
        <w:t xml:space="preserve">Given that the parties agree that the Judge materially erred in law, I deal with the grounds and the parties' submissions only to the extent necessary to explain my own reasons for setting aside the Judge's decision and for deciding the appropriate disposal and the ambit of the re-making of the decision on the appeal. </w:t>
      </w:r>
      <w:r w:rsidR="0091355C">
        <w:rPr>
          <w:rFonts w:ascii="Arial" w:hAnsi="Arial" w:cs="Arial"/>
        </w:rPr>
        <w:t xml:space="preserve"> </w:t>
      </w:r>
    </w:p>
    <w:p w14:paraId="1036E379" w14:textId="77777777" w:rsidR="00070890" w:rsidRPr="008F35A3" w:rsidRDefault="00070890" w:rsidP="0091355C">
      <w:pPr>
        <w:numPr>
          <w:ilvl w:val="0"/>
          <w:numId w:val="1"/>
        </w:numPr>
        <w:tabs>
          <w:tab w:val="left" w:pos="567"/>
        </w:tabs>
        <w:spacing w:before="240"/>
        <w:ind w:left="567" w:hanging="567"/>
        <w:jc w:val="both"/>
        <w:rPr>
          <w:rFonts w:ascii="Arial" w:hAnsi="Arial" w:cs="Arial"/>
        </w:rPr>
      </w:pPr>
      <w:r>
        <w:rPr>
          <w:rFonts w:ascii="Arial" w:hAnsi="Arial" w:cs="Arial"/>
        </w:rPr>
        <w:t xml:space="preserve">The Judge appeared to be unaware of relevant case-law concerning marriages of convenience. As Mr Solomon </w:t>
      </w:r>
      <w:r w:rsidR="000A0007">
        <w:rPr>
          <w:rFonts w:ascii="Arial" w:hAnsi="Arial" w:cs="Arial"/>
        </w:rPr>
        <w:t xml:space="preserve">submits </w:t>
      </w:r>
      <w:r>
        <w:rPr>
          <w:rFonts w:ascii="Arial" w:hAnsi="Arial" w:cs="Arial"/>
        </w:rPr>
        <w:t xml:space="preserve">in his Further submissions, the relevant cases include </w:t>
      </w:r>
      <w:proofErr w:type="spellStart"/>
      <w:r w:rsidRPr="008F35A3">
        <w:rPr>
          <w:rFonts w:ascii="Arial" w:hAnsi="Arial" w:cs="Arial"/>
          <w:u w:val="single"/>
        </w:rPr>
        <w:t>Papajorgi</w:t>
      </w:r>
      <w:proofErr w:type="spellEnd"/>
      <w:r>
        <w:rPr>
          <w:rFonts w:ascii="Arial" w:hAnsi="Arial" w:cs="Arial"/>
        </w:rPr>
        <w:t xml:space="preserve"> (EEA spouse </w:t>
      </w:r>
      <w:r w:rsidR="008F35A3">
        <w:rPr>
          <w:rFonts w:ascii="Arial" w:hAnsi="Arial" w:cs="Arial"/>
        </w:rPr>
        <w:t xml:space="preserve">- marriage of convenience) Greece [2012] UKUT 00038 (IAC), </w:t>
      </w:r>
      <w:proofErr w:type="spellStart"/>
      <w:r w:rsidR="008F35A3" w:rsidRPr="008F35A3">
        <w:rPr>
          <w:rFonts w:ascii="Arial" w:hAnsi="Arial" w:cs="Arial"/>
          <w:u w:val="single"/>
        </w:rPr>
        <w:t>Agho</w:t>
      </w:r>
      <w:proofErr w:type="spellEnd"/>
      <w:r w:rsidR="008F35A3" w:rsidRPr="008F35A3">
        <w:rPr>
          <w:rFonts w:ascii="Arial" w:hAnsi="Arial" w:cs="Arial"/>
          <w:u w:val="single"/>
        </w:rPr>
        <w:t xml:space="preserve"> v SSHD</w:t>
      </w:r>
      <w:r w:rsidR="008F35A3">
        <w:rPr>
          <w:rFonts w:ascii="Arial" w:hAnsi="Arial" w:cs="Arial"/>
        </w:rPr>
        <w:t xml:space="preserve"> [2015] EWCA </w:t>
      </w:r>
      <w:proofErr w:type="spellStart"/>
      <w:r w:rsidR="008F35A3">
        <w:rPr>
          <w:rFonts w:ascii="Arial" w:hAnsi="Arial" w:cs="Arial"/>
        </w:rPr>
        <w:t>Civ</w:t>
      </w:r>
      <w:proofErr w:type="spellEnd"/>
      <w:r w:rsidR="008F35A3">
        <w:rPr>
          <w:rFonts w:ascii="Arial" w:hAnsi="Arial" w:cs="Arial"/>
        </w:rPr>
        <w:t xml:space="preserve"> 1998, </w:t>
      </w:r>
      <w:r w:rsidR="008F35A3" w:rsidRPr="008F35A3">
        <w:rPr>
          <w:rFonts w:ascii="Arial" w:hAnsi="Arial" w:cs="Arial"/>
          <w:u w:val="single"/>
        </w:rPr>
        <w:t>Rosa v SSHD</w:t>
      </w:r>
      <w:r w:rsidR="008F35A3">
        <w:rPr>
          <w:rFonts w:ascii="Arial" w:hAnsi="Arial" w:cs="Arial"/>
        </w:rPr>
        <w:t xml:space="preserve"> [2016] EWCA </w:t>
      </w:r>
      <w:proofErr w:type="spellStart"/>
      <w:r w:rsidR="008F35A3">
        <w:rPr>
          <w:rFonts w:ascii="Arial" w:hAnsi="Arial" w:cs="Arial"/>
        </w:rPr>
        <w:t>Civ</w:t>
      </w:r>
      <w:proofErr w:type="spellEnd"/>
      <w:r w:rsidR="008F35A3">
        <w:rPr>
          <w:rFonts w:ascii="Arial" w:hAnsi="Arial" w:cs="Arial"/>
        </w:rPr>
        <w:t xml:space="preserve"> 14 and </w:t>
      </w:r>
      <w:proofErr w:type="spellStart"/>
      <w:r w:rsidR="008F35A3" w:rsidRPr="008F35A3">
        <w:rPr>
          <w:rFonts w:ascii="Arial" w:hAnsi="Arial" w:cs="Arial"/>
          <w:u w:val="single"/>
        </w:rPr>
        <w:t>Sadovska</w:t>
      </w:r>
      <w:proofErr w:type="spellEnd"/>
      <w:r w:rsidR="008F35A3" w:rsidRPr="008F35A3">
        <w:rPr>
          <w:rFonts w:ascii="Arial" w:hAnsi="Arial" w:cs="Arial"/>
          <w:u w:val="single"/>
        </w:rPr>
        <w:t xml:space="preserve"> v SSHD</w:t>
      </w:r>
      <w:r w:rsidR="008F35A3">
        <w:rPr>
          <w:rFonts w:ascii="Arial" w:hAnsi="Arial" w:cs="Arial"/>
        </w:rPr>
        <w:t xml:space="preserve"> [2017] UKSC 54. These cases establish </w:t>
      </w:r>
      <w:proofErr w:type="gramStart"/>
      <w:r w:rsidR="008F35A3">
        <w:rPr>
          <w:rFonts w:ascii="Arial" w:hAnsi="Arial" w:cs="Arial"/>
        </w:rPr>
        <w:t>a number of</w:t>
      </w:r>
      <w:proofErr w:type="gramEnd"/>
      <w:r w:rsidR="008F35A3">
        <w:rPr>
          <w:rFonts w:ascii="Arial" w:hAnsi="Arial" w:cs="Arial"/>
        </w:rPr>
        <w:t xml:space="preserve"> principles, none of which the Judge appears to be aware of. Firstly, there </w:t>
      </w:r>
      <w:r w:rsidR="00551FF1">
        <w:rPr>
          <w:rFonts w:ascii="Arial" w:hAnsi="Arial" w:cs="Arial"/>
        </w:rPr>
        <w:t>is no</w:t>
      </w:r>
      <w:r w:rsidR="008F35A3">
        <w:rPr>
          <w:rFonts w:ascii="Arial" w:hAnsi="Arial" w:cs="Arial"/>
        </w:rPr>
        <w:t xml:space="preserve"> burden at the outset on an applicant to demonstrate that his marriage is not one of </w:t>
      </w:r>
      <w:r w:rsidR="008F35A3">
        <w:rPr>
          <w:rFonts w:ascii="Arial" w:hAnsi="Arial" w:cs="Arial"/>
        </w:rPr>
        <w:lastRenderedPageBreak/>
        <w:t xml:space="preserve">convenience. The legal burden of proof is upon the respondent to establish that the marriage is a marriage of convenience. However, if the respondent produces evidence to demonstrate that there is a reasonable suspicion that the marriage is a marriage of convenience, then the </w:t>
      </w:r>
      <w:r w:rsidR="008F35A3" w:rsidRPr="008F35A3">
        <w:rPr>
          <w:rFonts w:ascii="Arial" w:hAnsi="Arial" w:cs="Arial"/>
          <w:i/>
        </w:rPr>
        <w:t>evidential</w:t>
      </w:r>
      <w:r w:rsidR="008F35A3">
        <w:rPr>
          <w:rFonts w:ascii="Arial" w:hAnsi="Arial" w:cs="Arial"/>
        </w:rPr>
        <w:t xml:space="preserve"> burden shifts to the appellant </w:t>
      </w:r>
      <w:r w:rsidR="008F35A3" w:rsidRPr="008F35A3">
        <w:rPr>
          <w:rFonts w:ascii="Arial" w:hAnsi="Arial" w:cs="Arial"/>
        </w:rPr>
        <w:t>to address the evidence justifying reasonable suspicion</w:t>
      </w:r>
      <w:r w:rsidR="008F35A3">
        <w:rPr>
          <w:rFonts w:ascii="Arial" w:hAnsi="Arial" w:cs="Arial"/>
        </w:rPr>
        <w:t xml:space="preserve">. However, </w:t>
      </w:r>
      <w:proofErr w:type="gramStart"/>
      <w:r w:rsidR="008F35A3">
        <w:rPr>
          <w:rFonts w:ascii="Arial" w:hAnsi="Arial" w:cs="Arial"/>
        </w:rPr>
        <w:t>at all times</w:t>
      </w:r>
      <w:proofErr w:type="gramEnd"/>
      <w:r w:rsidR="008F35A3">
        <w:rPr>
          <w:rFonts w:ascii="Arial" w:hAnsi="Arial" w:cs="Arial"/>
        </w:rPr>
        <w:t xml:space="preserve">, the </w:t>
      </w:r>
      <w:r w:rsidR="008F35A3" w:rsidRPr="008F35A3">
        <w:rPr>
          <w:rFonts w:ascii="Arial" w:hAnsi="Arial" w:cs="Arial"/>
          <w:i/>
        </w:rPr>
        <w:t>legal</w:t>
      </w:r>
      <w:r w:rsidR="008F35A3">
        <w:rPr>
          <w:rFonts w:ascii="Arial" w:hAnsi="Arial" w:cs="Arial"/>
        </w:rPr>
        <w:t xml:space="preserve"> burden of establishing that the marriage was a marriage of convenience rests on the respondent and the standard of proof is the balance of probabilities. </w:t>
      </w:r>
    </w:p>
    <w:p w14:paraId="24C1628A" w14:textId="77777777" w:rsidR="008F35A3" w:rsidRPr="008F35A3" w:rsidRDefault="0091355C" w:rsidP="0091355C">
      <w:pPr>
        <w:numPr>
          <w:ilvl w:val="0"/>
          <w:numId w:val="1"/>
        </w:numPr>
        <w:tabs>
          <w:tab w:val="left" w:pos="567"/>
        </w:tabs>
        <w:spacing w:before="240"/>
        <w:ind w:left="567" w:hanging="567"/>
        <w:jc w:val="both"/>
        <w:rPr>
          <w:rFonts w:ascii="Arial" w:hAnsi="Arial" w:cs="Arial"/>
        </w:rPr>
      </w:pPr>
      <w:r w:rsidRPr="00070890">
        <w:rPr>
          <w:rFonts w:ascii="Arial" w:hAnsi="Arial"/>
        </w:rPr>
        <w:t xml:space="preserve">Given that </w:t>
      </w:r>
      <w:r w:rsidR="008F35A3">
        <w:rPr>
          <w:rFonts w:ascii="Arial" w:hAnsi="Arial"/>
        </w:rPr>
        <w:t xml:space="preserve">the Judge said </w:t>
      </w:r>
      <w:r w:rsidRPr="00070890">
        <w:rPr>
          <w:rFonts w:ascii="Arial" w:hAnsi="Arial"/>
        </w:rPr>
        <w:t xml:space="preserve">that the inconsistencies in the interviews </w:t>
      </w:r>
      <w:r w:rsidR="008F35A3">
        <w:rPr>
          <w:rFonts w:ascii="Arial" w:hAnsi="Arial"/>
        </w:rPr>
        <w:t xml:space="preserve">of the appellant and the sponsor </w:t>
      </w:r>
      <w:r w:rsidRPr="00070890">
        <w:rPr>
          <w:rFonts w:ascii="Arial" w:hAnsi="Arial"/>
        </w:rPr>
        <w:t xml:space="preserve">were minor, he should have made a finding as to whether the respondent had discharged the initial burden. He failed to do so.  </w:t>
      </w:r>
    </w:p>
    <w:p w14:paraId="29EE09D9" w14:textId="77777777" w:rsidR="00551FF1" w:rsidRPr="00551FF1" w:rsidRDefault="008F35A3" w:rsidP="0091355C">
      <w:pPr>
        <w:numPr>
          <w:ilvl w:val="0"/>
          <w:numId w:val="1"/>
        </w:numPr>
        <w:tabs>
          <w:tab w:val="left" w:pos="567"/>
        </w:tabs>
        <w:spacing w:before="240"/>
        <w:ind w:left="567" w:hanging="567"/>
        <w:jc w:val="both"/>
        <w:rPr>
          <w:rFonts w:ascii="Arial" w:hAnsi="Arial" w:cs="Arial"/>
        </w:rPr>
      </w:pPr>
      <w:r>
        <w:rPr>
          <w:rFonts w:ascii="Arial" w:hAnsi="Arial"/>
        </w:rPr>
        <w:t xml:space="preserve">It is evident that the sole </w:t>
      </w:r>
      <w:r w:rsidR="0091355C" w:rsidRPr="00070890">
        <w:rPr>
          <w:rFonts w:ascii="Arial" w:hAnsi="Arial"/>
        </w:rPr>
        <w:t>reason for dismissing the appeal was the fact that the appellant and his wi</w:t>
      </w:r>
      <w:r>
        <w:rPr>
          <w:rFonts w:ascii="Arial" w:hAnsi="Arial"/>
        </w:rPr>
        <w:t>fe did not attend the hearing</w:t>
      </w:r>
      <w:r w:rsidR="001E2AAE">
        <w:rPr>
          <w:rFonts w:ascii="Arial" w:hAnsi="Arial"/>
        </w:rPr>
        <w:t xml:space="preserve">. Whilst non-attendance of a hearing may leave a judge in a position </w:t>
      </w:r>
      <w:proofErr w:type="gramStart"/>
      <w:r w:rsidR="001E2AAE">
        <w:rPr>
          <w:rFonts w:ascii="Arial" w:hAnsi="Arial"/>
        </w:rPr>
        <w:t>whereby</w:t>
      </w:r>
      <w:proofErr w:type="gramEnd"/>
      <w:r w:rsidR="001E2AAE">
        <w:rPr>
          <w:rFonts w:ascii="Arial" w:hAnsi="Arial"/>
        </w:rPr>
        <w:t xml:space="preserve"> he or she does not have explanations for inconsistencies or other credibility issues that call for an explanation, it is not permissible to draw an adverse inference from the mere fact of non-attendance.  </w:t>
      </w:r>
    </w:p>
    <w:p w14:paraId="2BFC88C6" w14:textId="77777777" w:rsidR="008F35A3" w:rsidRPr="001E2AAE" w:rsidRDefault="001E2AAE" w:rsidP="0091355C">
      <w:pPr>
        <w:numPr>
          <w:ilvl w:val="0"/>
          <w:numId w:val="1"/>
        </w:numPr>
        <w:tabs>
          <w:tab w:val="left" w:pos="567"/>
        </w:tabs>
        <w:spacing w:before="240"/>
        <w:ind w:left="567" w:hanging="567"/>
        <w:jc w:val="both"/>
        <w:rPr>
          <w:rFonts w:ascii="Arial" w:hAnsi="Arial" w:cs="Arial"/>
        </w:rPr>
      </w:pPr>
      <w:r>
        <w:rPr>
          <w:rFonts w:ascii="Arial" w:hAnsi="Arial"/>
        </w:rPr>
        <w:t xml:space="preserve">Furthermore, the Judge's decision to draw such an inference and rely upon it as the sole reason for dismissing the appeal </w:t>
      </w:r>
      <w:r w:rsidR="00551FF1">
        <w:rPr>
          <w:rFonts w:ascii="Arial" w:hAnsi="Arial"/>
        </w:rPr>
        <w:t xml:space="preserve">meant that, in effect, the appellant was deprived of a fair hearing. This is because his substantive case was not considered at all </w:t>
      </w:r>
      <w:proofErr w:type="gramStart"/>
      <w:r w:rsidR="00551FF1">
        <w:rPr>
          <w:rFonts w:ascii="Arial" w:hAnsi="Arial"/>
        </w:rPr>
        <w:t>as a consequence of</w:t>
      </w:r>
      <w:proofErr w:type="gramEnd"/>
      <w:r w:rsidR="00551FF1">
        <w:rPr>
          <w:rFonts w:ascii="Arial" w:hAnsi="Arial"/>
        </w:rPr>
        <w:t xml:space="preserve"> the fact that the Judge dismissed his appeal solely because he had not attended the hearing. </w:t>
      </w:r>
    </w:p>
    <w:p w14:paraId="1217DD96" w14:textId="77777777" w:rsidR="001E2AAE" w:rsidRPr="001E2AAE" w:rsidRDefault="001E2AAE" w:rsidP="0091355C">
      <w:pPr>
        <w:numPr>
          <w:ilvl w:val="0"/>
          <w:numId w:val="1"/>
        </w:numPr>
        <w:tabs>
          <w:tab w:val="left" w:pos="567"/>
        </w:tabs>
        <w:spacing w:before="240"/>
        <w:ind w:left="567" w:hanging="567"/>
        <w:jc w:val="both"/>
        <w:rPr>
          <w:rFonts w:ascii="Arial" w:hAnsi="Arial" w:cs="Arial"/>
        </w:rPr>
      </w:pPr>
      <w:r>
        <w:rPr>
          <w:rFonts w:ascii="Arial" w:hAnsi="Arial"/>
        </w:rPr>
        <w:t xml:space="preserve">It appears from the Judge's decision that he had a full copy of the interview records and that he was also aware that the appellant did not, given that the basis of the appellant's adjournment request was that he and his representatives had not received a full transcript of the interview records. Given that he had in his possession relevant documentary evidence to which the appellant did not have access, the Judge ought to have considered of his own volition whether it was fair </w:t>
      </w:r>
      <w:r w:rsidR="00F656B2">
        <w:rPr>
          <w:rFonts w:ascii="Arial" w:hAnsi="Arial"/>
        </w:rPr>
        <w:t xml:space="preserve">to proceed with the hearing of the </w:t>
      </w:r>
      <w:r>
        <w:rPr>
          <w:rFonts w:ascii="Arial" w:hAnsi="Arial"/>
        </w:rPr>
        <w:t xml:space="preserve">appeal without giving the appellant an opportunity to consider the interview records. </w:t>
      </w:r>
      <w:r w:rsidR="000A0007">
        <w:rPr>
          <w:rFonts w:ascii="Arial" w:hAnsi="Arial"/>
        </w:rPr>
        <w:t xml:space="preserve">Accordingly, in this regard as well, </w:t>
      </w:r>
      <w:r>
        <w:rPr>
          <w:rFonts w:ascii="Arial" w:hAnsi="Arial"/>
        </w:rPr>
        <w:t xml:space="preserve">the appellant has been deprived of a fair hearing. </w:t>
      </w:r>
    </w:p>
    <w:p w14:paraId="389C8C2C" w14:textId="77777777" w:rsidR="0091355C" w:rsidRPr="00070890" w:rsidRDefault="001E2AAE" w:rsidP="0091355C">
      <w:pPr>
        <w:numPr>
          <w:ilvl w:val="0"/>
          <w:numId w:val="1"/>
        </w:numPr>
        <w:tabs>
          <w:tab w:val="left" w:pos="567"/>
        </w:tabs>
        <w:spacing w:before="240"/>
        <w:ind w:left="567" w:hanging="567"/>
        <w:jc w:val="both"/>
        <w:rPr>
          <w:rFonts w:ascii="Arial" w:hAnsi="Arial" w:cs="Arial"/>
        </w:rPr>
      </w:pPr>
      <w:r>
        <w:rPr>
          <w:rFonts w:ascii="Arial" w:hAnsi="Arial"/>
        </w:rPr>
        <w:t xml:space="preserve">The Judge's </w:t>
      </w:r>
      <w:r w:rsidR="0091355C" w:rsidRPr="00070890">
        <w:rPr>
          <w:rFonts w:ascii="Arial" w:hAnsi="Arial"/>
        </w:rPr>
        <w:t>decision is poorly proofed</w:t>
      </w:r>
      <w:r>
        <w:rPr>
          <w:rFonts w:ascii="Arial" w:hAnsi="Arial"/>
        </w:rPr>
        <w:t xml:space="preserve">, contains grammatical errors and, in part, is unintelligible. </w:t>
      </w:r>
      <w:r w:rsidR="000A0007">
        <w:rPr>
          <w:rFonts w:ascii="Arial" w:hAnsi="Arial"/>
        </w:rPr>
        <w:t>Further, it refers to the "immigration appellate authority"</w:t>
      </w:r>
      <w:r w:rsidR="001571EE">
        <w:rPr>
          <w:rFonts w:ascii="Arial" w:hAnsi="Arial"/>
        </w:rPr>
        <w:t xml:space="preserve">. This </w:t>
      </w:r>
      <w:r w:rsidR="000A0007">
        <w:rPr>
          <w:rFonts w:ascii="Arial" w:hAnsi="Arial"/>
        </w:rPr>
        <w:t xml:space="preserve">body was abolished some years ago, a fact that the Judge appears to be unaware of. </w:t>
      </w:r>
    </w:p>
    <w:p w14:paraId="68BA552A" w14:textId="77777777" w:rsidR="00A41AA1" w:rsidRDefault="001E2AAE" w:rsidP="00646A8C">
      <w:pPr>
        <w:numPr>
          <w:ilvl w:val="0"/>
          <w:numId w:val="1"/>
        </w:numPr>
        <w:tabs>
          <w:tab w:val="left" w:pos="567"/>
        </w:tabs>
        <w:spacing w:before="240"/>
        <w:ind w:left="567" w:hanging="567"/>
        <w:jc w:val="both"/>
        <w:rPr>
          <w:rFonts w:ascii="Arial" w:hAnsi="Arial" w:cs="Arial"/>
        </w:rPr>
      </w:pPr>
      <w:r>
        <w:rPr>
          <w:rFonts w:ascii="Arial" w:hAnsi="Arial" w:cs="Arial"/>
        </w:rPr>
        <w:t xml:space="preserve">I am satisfied not only that the Judge materially erred in law and misdirected himself in law for the reasons given at paras 24-26 above but also that the appellant simply has not had a fair hearing for the reasons given at paras </w:t>
      </w:r>
      <w:r w:rsidR="00551FF1">
        <w:rPr>
          <w:rFonts w:ascii="Arial" w:hAnsi="Arial" w:cs="Arial"/>
        </w:rPr>
        <w:t xml:space="preserve">27-28. That the </w:t>
      </w:r>
      <w:r w:rsidR="00551FF1">
        <w:rPr>
          <w:rFonts w:ascii="Arial" w:hAnsi="Arial"/>
        </w:rPr>
        <w:t xml:space="preserve">Judge's </w:t>
      </w:r>
      <w:r w:rsidR="00551FF1" w:rsidRPr="00070890">
        <w:rPr>
          <w:rFonts w:ascii="Arial" w:hAnsi="Arial"/>
        </w:rPr>
        <w:t>decision is poorly proofed</w:t>
      </w:r>
      <w:r w:rsidR="00551FF1">
        <w:rPr>
          <w:rFonts w:ascii="Arial" w:hAnsi="Arial"/>
        </w:rPr>
        <w:t xml:space="preserve">, contains grammatical errors and, in part, is unintelligible simply compounds matters. </w:t>
      </w:r>
    </w:p>
    <w:p w14:paraId="4F621CA6" w14:textId="77777777" w:rsidR="00A41AA1" w:rsidRDefault="00A41AA1" w:rsidP="00A41AA1">
      <w:pPr>
        <w:numPr>
          <w:ilvl w:val="0"/>
          <w:numId w:val="1"/>
        </w:numPr>
        <w:tabs>
          <w:tab w:val="left" w:pos="567"/>
        </w:tabs>
        <w:spacing w:before="240"/>
        <w:ind w:left="567" w:hanging="567"/>
        <w:jc w:val="both"/>
        <w:rPr>
          <w:rFonts w:ascii="Arial" w:hAnsi="Arial" w:cs="Arial"/>
        </w:rPr>
      </w:pPr>
      <w:r>
        <w:rPr>
          <w:rFonts w:ascii="Arial" w:hAnsi="Arial" w:cs="Arial"/>
        </w:rPr>
        <w:t xml:space="preserve">For </w:t>
      </w:r>
      <w:proofErr w:type="gramStart"/>
      <w:r>
        <w:rPr>
          <w:rFonts w:ascii="Arial" w:hAnsi="Arial" w:cs="Arial"/>
        </w:rPr>
        <w:t>all of</w:t>
      </w:r>
      <w:proofErr w:type="gramEnd"/>
      <w:r>
        <w:rPr>
          <w:rFonts w:ascii="Arial" w:hAnsi="Arial" w:cs="Arial"/>
        </w:rPr>
        <w:t xml:space="preserve"> the above reasons, I set aside the decision of </w:t>
      </w:r>
      <w:r w:rsidR="006E582A">
        <w:rPr>
          <w:rFonts w:ascii="Arial" w:hAnsi="Arial" w:cs="Arial"/>
        </w:rPr>
        <w:t xml:space="preserve">the </w:t>
      </w:r>
      <w:r w:rsidR="008D73F7">
        <w:rPr>
          <w:rFonts w:ascii="Arial" w:hAnsi="Arial" w:cs="Arial"/>
        </w:rPr>
        <w:t>Judge</w:t>
      </w:r>
      <w:r w:rsidR="006E582A">
        <w:rPr>
          <w:rFonts w:ascii="Arial" w:hAnsi="Arial" w:cs="Arial"/>
        </w:rPr>
        <w:t xml:space="preserve"> in its entirety. </w:t>
      </w:r>
    </w:p>
    <w:p w14:paraId="01F1F7D5" w14:textId="77777777" w:rsidR="000A0007" w:rsidRDefault="000A0007" w:rsidP="00A41AA1">
      <w:pPr>
        <w:numPr>
          <w:ilvl w:val="0"/>
          <w:numId w:val="1"/>
        </w:numPr>
        <w:tabs>
          <w:tab w:val="left" w:pos="567"/>
        </w:tabs>
        <w:spacing w:before="240"/>
        <w:ind w:left="567" w:hanging="567"/>
        <w:jc w:val="both"/>
        <w:rPr>
          <w:rFonts w:ascii="Arial" w:hAnsi="Arial" w:cs="Arial"/>
        </w:rPr>
      </w:pPr>
      <w:r>
        <w:rPr>
          <w:rFonts w:ascii="Arial" w:hAnsi="Arial" w:cs="Arial"/>
        </w:rPr>
        <w:t xml:space="preserve">At para 7 of his Further submissions, Mr Solomon explains that, as at the hearing date, </w:t>
      </w:r>
      <w:proofErr w:type="spellStart"/>
      <w:r>
        <w:rPr>
          <w:rFonts w:ascii="Arial" w:hAnsi="Arial" w:cs="Arial"/>
        </w:rPr>
        <w:t>Jein</w:t>
      </w:r>
      <w:proofErr w:type="spellEnd"/>
      <w:r>
        <w:rPr>
          <w:rFonts w:ascii="Arial" w:hAnsi="Arial" w:cs="Arial"/>
        </w:rPr>
        <w:t xml:space="preserve"> Solicitors were awaiting the appellant's further instructions having notified him by email of an earlier refusal</w:t>
      </w:r>
      <w:r w:rsidR="00F656B2">
        <w:rPr>
          <w:rFonts w:ascii="Arial" w:hAnsi="Arial" w:cs="Arial"/>
        </w:rPr>
        <w:t xml:space="preserve"> </w:t>
      </w:r>
      <w:r>
        <w:rPr>
          <w:rFonts w:ascii="Arial" w:hAnsi="Arial" w:cs="Arial"/>
        </w:rPr>
        <w:t>of an adjournment request</w:t>
      </w:r>
      <w:r w:rsidR="00F656B2">
        <w:rPr>
          <w:rFonts w:ascii="Arial" w:hAnsi="Arial" w:cs="Arial"/>
        </w:rPr>
        <w:t xml:space="preserve"> made on 10 September 2019</w:t>
      </w:r>
      <w:r>
        <w:rPr>
          <w:rFonts w:ascii="Arial" w:hAnsi="Arial" w:cs="Arial"/>
        </w:rPr>
        <w:t xml:space="preserve">. It is accepted that they informed the </w:t>
      </w:r>
      <w:proofErr w:type="spellStart"/>
      <w:r>
        <w:rPr>
          <w:rFonts w:ascii="Arial" w:hAnsi="Arial" w:cs="Arial"/>
        </w:rPr>
        <w:t>FtT's</w:t>
      </w:r>
      <w:proofErr w:type="spellEnd"/>
      <w:r>
        <w:rPr>
          <w:rFonts w:ascii="Arial" w:hAnsi="Arial" w:cs="Arial"/>
        </w:rPr>
        <w:t xml:space="preserve"> clerk that they were without instructions. However, Mr Solomon states that </w:t>
      </w:r>
      <w:proofErr w:type="spellStart"/>
      <w:r w:rsidR="00F656B2">
        <w:rPr>
          <w:rFonts w:ascii="Arial" w:hAnsi="Arial" w:cs="Arial"/>
        </w:rPr>
        <w:t>Jein</w:t>
      </w:r>
      <w:proofErr w:type="spellEnd"/>
      <w:r w:rsidR="00F656B2">
        <w:rPr>
          <w:rFonts w:ascii="Arial" w:hAnsi="Arial" w:cs="Arial"/>
        </w:rPr>
        <w:t xml:space="preserve"> Solicitors </w:t>
      </w:r>
      <w:r>
        <w:rPr>
          <w:rFonts w:ascii="Arial" w:hAnsi="Arial" w:cs="Arial"/>
        </w:rPr>
        <w:t xml:space="preserve">subsequently came to learn that the appellant had not seen </w:t>
      </w:r>
      <w:r w:rsidR="00F656B2">
        <w:rPr>
          <w:rFonts w:ascii="Arial" w:hAnsi="Arial" w:cs="Arial"/>
        </w:rPr>
        <w:t xml:space="preserve">their </w:t>
      </w:r>
      <w:r>
        <w:rPr>
          <w:rFonts w:ascii="Arial" w:hAnsi="Arial" w:cs="Arial"/>
        </w:rPr>
        <w:t>email because the email went to his junk mail</w:t>
      </w:r>
      <w:r w:rsidR="00F656B2">
        <w:rPr>
          <w:rFonts w:ascii="Arial" w:hAnsi="Arial" w:cs="Arial"/>
        </w:rPr>
        <w:t xml:space="preserve"> folder</w:t>
      </w:r>
      <w:r>
        <w:rPr>
          <w:rFonts w:ascii="Arial" w:hAnsi="Arial" w:cs="Arial"/>
        </w:rPr>
        <w:t xml:space="preserve">. </w:t>
      </w:r>
      <w:r w:rsidR="00F656B2">
        <w:rPr>
          <w:rFonts w:ascii="Arial" w:hAnsi="Arial" w:cs="Arial"/>
        </w:rPr>
        <w:t>I noted that t</w:t>
      </w:r>
      <w:r>
        <w:rPr>
          <w:rFonts w:ascii="Arial" w:hAnsi="Arial" w:cs="Arial"/>
        </w:rPr>
        <w:t xml:space="preserve">here was no witness statement in support of these assertions. However, I did not need to consider </w:t>
      </w:r>
      <w:proofErr w:type="gramStart"/>
      <w:r>
        <w:rPr>
          <w:rFonts w:ascii="Arial" w:hAnsi="Arial" w:cs="Arial"/>
        </w:rPr>
        <w:t>whether or not</w:t>
      </w:r>
      <w:proofErr w:type="gramEnd"/>
      <w:r>
        <w:rPr>
          <w:rFonts w:ascii="Arial" w:hAnsi="Arial" w:cs="Arial"/>
        </w:rPr>
        <w:t xml:space="preserve"> the appellant had been deprived of a fair </w:t>
      </w:r>
      <w:r>
        <w:rPr>
          <w:rFonts w:ascii="Arial" w:hAnsi="Arial" w:cs="Arial"/>
        </w:rPr>
        <w:lastRenderedPageBreak/>
        <w:t xml:space="preserve">hearing on account of these matters given that I have reached the conclusion, for different reasons, that he was deprived of a fair hearing. </w:t>
      </w:r>
    </w:p>
    <w:p w14:paraId="3ABD4C98" w14:textId="77777777" w:rsidR="00F656B2" w:rsidRDefault="00F656B2" w:rsidP="00F656B2">
      <w:pPr>
        <w:tabs>
          <w:tab w:val="left" w:pos="567"/>
        </w:tabs>
        <w:spacing w:before="240"/>
        <w:jc w:val="both"/>
        <w:rPr>
          <w:rFonts w:ascii="Arial" w:hAnsi="Arial" w:cs="Arial"/>
        </w:rPr>
      </w:pPr>
    </w:p>
    <w:p w14:paraId="0B302F21" w14:textId="77777777" w:rsidR="006E582A" w:rsidRPr="006E582A" w:rsidRDefault="00F656B2" w:rsidP="004F15A7">
      <w:pPr>
        <w:tabs>
          <w:tab w:val="left" w:pos="567"/>
        </w:tabs>
        <w:spacing w:before="240"/>
        <w:ind w:left="2268" w:hanging="2268"/>
        <w:jc w:val="both"/>
        <w:rPr>
          <w:rFonts w:ascii="Arial" w:hAnsi="Arial" w:cs="Arial"/>
          <w:b/>
        </w:rPr>
      </w:pPr>
      <w:r>
        <w:rPr>
          <w:rFonts w:ascii="Arial" w:hAnsi="Arial" w:cs="Arial"/>
          <w:b/>
        </w:rPr>
        <w:t xml:space="preserve">The appropriate disposal </w:t>
      </w:r>
    </w:p>
    <w:p w14:paraId="528CA92E" w14:textId="77777777" w:rsidR="00F656B2" w:rsidRDefault="00F656B2" w:rsidP="00A41AA1">
      <w:pPr>
        <w:numPr>
          <w:ilvl w:val="0"/>
          <w:numId w:val="1"/>
        </w:numPr>
        <w:tabs>
          <w:tab w:val="clear" w:pos="720"/>
          <w:tab w:val="num" w:pos="540"/>
        </w:tabs>
        <w:spacing w:before="240"/>
        <w:ind w:left="567" w:hanging="567"/>
        <w:jc w:val="both"/>
        <w:rPr>
          <w:rFonts w:ascii="Arial" w:hAnsi="Arial" w:cs="Arial"/>
        </w:rPr>
      </w:pPr>
      <w:r>
        <w:rPr>
          <w:rFonts w:ascii="Arial" w:hAnsi="Arial" w:cs="Arial"/>
        </w:rPr>
        <w:t xml:space="preserve">In his Further submissions, Mr Solomon suggested, inter alia, that the Upper Tribunal re-make the decision on the applicant's appeal by allowing it. I refuse to do so. My reasons are as follows: </w:t>
      </w:r>
      <w:proofErr w:type="gramStart"/>
      <w:r>
        <w:rPr>
          <w:rFonts w:ascii="Arial" w:hAnsi="Arial" w:cs="Arial"/>
        </w:rPr>
        <w:t>It is clear that the</w:t>
      </w:r>
      <w:proofErr w:type="gramEnd"/>
      <w:r>
        <w:rPr>
          <w:rFonts w:ascii="Arial" w:hAnsi="Arial" w:cs="Arial"/>
        </w:rPr>
        <w:t xml:space="preserve"> Judge was unaware of applicable legal principles and case-law. In my judgment, it is impossible and indeed unfair to the respondent to construct an inferred finding, that the respondent had failed to discharge the initial burden, from a decision made in total ignorance of relevant legal principles. </w:t>
      </w:r>
    </w:p>
    <w:p w14:paraId="79431948" w14:textId="77777777" w:rsidR="00F656B2" w:rsidRDefault="00F656B2" w:rsidP="00A41AA1">
      <w:pPr>
        <w:numPr>
          <w:ilvl w:val="0"/>
          <w:numId w:val="1"/>
        </w:numPr>
        <w:tabs>
          <w:tab w:val="clear" w:pos="720"/>
          <w:tab w:val="num" w:pos="540"/>
        </w:tabs>
        <w:spacing w:before="240"/>
        <w:ind w:left="567" w:hanging="567"/>
        <w:jc w:val="both"/>
        <w:rPr>
          <w:rFonts w:ascii="Arial" w:hAnsi="Arial" w:cs="Arial"/>
        </w:rPr>
      </w:pPr>
      <w:r>
        <w:rPr>
          <w:rFonts w:ascii="Arial" w:hAnsi="Arial" w:cs="Arial"/>
        </w:rPr>
        <w:t>I therefore turn to consider whether the decision on the appellant's appeal should be re-made in the Upper Tribunal or whether the appeal should be remitted.</w:t>
      </w:r>
    </w:p>
    <w:p w14:paraId="1E2DDB9D" w14:textId="77777777" w:rsidR="00A41AA1" w:rsidRPr="00C65B93" w:rsidRDefault="00A41AA1" w:rsidP="00A41AA1">
      <w:pPr>
        <w:numPr>
          <w:ilvl w:val="0"/>
          <w:numId w:val="1"/>
        </w:numPr>
        <w:tabs>
          <w:tab w:val="clear" w:pos="720"/>
          <w:tab w:val="num" w:pos="540"/>
        </w:tabs>
        <w:spacing w:before="240"/>
        <w:ind w:left="567" w:hanging="567"/>
        <w:jc w:val="both"/>
        <w:rPr>
          <w:rFonts w:ascii="Arial" w:hAnsi="Arial" w:cs="Arial"/>
        </w:rPr>
      </w:pPr>
      <w:r w:rsidRPr="00C65B93">
        <w:rPr>
          <w:rFonts w:ascii="Arial" w:hAnsi="Arial" w:cs="Arial"/>
        </w:rPr>
        <w:t xml:space="preserve">In </w:t>
      </w:r>
      <w:proofErr w:type="gramStart"/>
      <w:r w:rsidRPr="00C65B93">
        <w:rPr>
          <w:rFonts w:ascii="Arial" w:hAnsi="Arial" w:cs="Arial"/>
        </w:rPr>
        <w:t>the majority of</w:t>
      </w:r>
      <w:proofErr w:type="gramEnd"/>
      <w:r w:rsidRPr="00C65B93">
        <w:rPr>
          <w:rFonts w:ascii="Arial" w:hAnsi="Arial" w:cs="Arial"/>
        </w:rPr>
        <w:t xml:space="preserve"> cases</w:t>
      </w:r>
      <w:r>
        <w:rPr>
          <w:rFonts w:ascii="Arial" w:hAnsi="Arial" w:cs="Arial"/>
        </w:rPr>
        <w:t>,</w:t>
      </w:r>
      <w:r w:rsidRPr="00C65B93">
        <w:rPr>
          <w:rFonts w:ascii="Arial" w:hAnsi="Arial" w:cs="Arial"/>
        </w:rPr>
        <w:t xml:space="preserve"> the Upper Tribunal when setting aside the decision </w:t>
      </w:r>
      <w:r>
        <w:rPr>
          <w:rFonts w:ascii="Arial" w:hAnsi="Arial" w:cs="Arial"/>
        </w:rPr>
        <w:t xml:space="preserve">will </w:t>
      </w:r>
      <w:r w:rsidRPr="00C65B93">
        <w:rPr>
          <w:rFonts w:ascii="Arial" w:hAnsi="Arial" w:cs="Arial"/>
        </w:rPr>
        <w:t>re</w:t>
      </w:r>
      <w:r>
        <w:rPr>
          <w:rFonts w:ascii="Arial" w:hAnsi="Arial" w:cs="Arial"/>
        </w:rPr>
        <w:t>-</w:t>
      </w:r>
      <w:r w:rsidRPr="00C65B93">
        <w:rPr>
          <w:rFonts w:ascii="Arial" w:hAnsi="Arial" w:cs="Arial"/>
        </w:rPr>
        <w:t xml:space="preserve">make the relevant decision itself.  However, </w:t>
      </w:r>
      <w:r>
        <w:rPr>
          <w:rFonts w:ascii="Arial" w:hAnsi="Arial" w:cs="Arial"/>
        </w:rPr>
        <w:t xml:space="preserve">para 7.2 of the Practice Statements for the Immigration and Asylum Chambers of the First-tier Tribunal and the Upper Tribunal (the “Practice Statements”) </w:t>
      </w:r>
      <w:r w:rsidRPr="00C65B93">
        <w:rPr>
          <w:rFonts w:ascii="Arial" w:hAnsi="Arial" w:cs="Arial"/>
        </w:rPr>
        <w:t>recognises that it may not be possible for the Upper Tribunal to proceed to re-make the decision when it is satisfied that:</w:t>
      </w:r>
    </w:p>
    <w:p w14:paraId="604EE4A2" w14:textId="77777777" w:rsidR="00A41AA1" w:rsidRDefault="00A41AA1" w:rsidP="00A41AA1">
      <w:pPr>
        <w:pStyle w:val="q"/>
        <w:ind w:left="1701" w:hanging="567"/>
        <w:rPr>
          <w:rFonts w:ascii="Arial" w:hAnsi="Arial"/>
          <w:sz w:val="20"/>
        </w:rPr>
      </w:pPr>
      <w:r w:rsidRPr="00C65B93">
        <w:rPr>
          <w:rFonts w:ascii="Arial" w:hAnsi="Arial"/>
          <w:sz w:val="20"/>
        </w:rPr>
        <w:t>“(a)</w:t>
      </w:r>
      <w:r w:rsidRPr="00C65B93">
        <w:rPr>
          <w:rFonts w:ascii="Arial" w:hAnsi="Arial"/>
          <w:sz w:val="20"/>
        </w:rPr>
        <w:tab/>
      </w:r>
      <w:r>
        <w:rPr>
          <w:rFonts w:ascii="Arial" w:hAnsi="Arial"/>
          <w:sz w:val="20"/>
        </w:rPr>
        <w:t>t</w:t>
      </w:r>
      <w:r w:rsidRPr="00C65B93">
        <w:rPr>
          <w:rFonts w:ascii="Arial" w:hAnsi="Arial"/>
          <w:sz w:val="20"/>
        </w:rPr>
        <w:t>he effect of the error has been to deprive a party before the First-tier Tribunal of a fair hearing or other opportunity for that party’s case to be put to and considered by the First-tier Tribunal</w:t>
      </w:r>
      <w:r>
        <w:rPr>
          <w:rFonts w:ascii="Arial" w:hAnsi="Arial"/>
          <w:sz w:val="20"/>
        </w:rPr>
        <w:t>; or</w:t>
      </w:r>
    </w:p>
    <w:p w14:paraId="4DA60972" w14:textId="77777777" w:rsidR="00A41AA1" w:rsidRPr="00C65B93" w:rsidRDefault="00A41AA1" w:rsidP="00A41AA1">
      <w:pPr>
        <w:pStyle w:val="q"/>
        <w:ind w:left="1701" w:hanging="567"/>
        <w:rPr>
          <w:rFonts w:ascii="Arial" w:hAnsi="Arial"/>
          <w:sz w:val="20"/>
        </w:rPr>
      </w:pPr>
      <w:r>
        <w:rPr>
          <w:rFonts w:ascii="Arial" w:hAnsi="Arial"/>
          <w:sz w:val="20"/>
        </w:rPr>
        <w:t>(b)</w:t>
      </w:r>
      <w:r>
        <w:rPr>
          <w:rFonts w:ascii="Arial" w:hAnsi="Arial"/>
          <w:sz w:val="20"/>
        </w:rPr>
        <w:tab/>
        <w:t xml:space="preserve">the nature or extent of any judicial fact finding which is necessary </w:t>
      </w:r>
      <w:proofErr w:type="gramStart"/>
      <w:r>
        <w:rPr>
          <w:rFonts w:ascii="Arial" w:hAnsi="Arial"/>
          <w:sz w:val="20"/>
        </w:rPr>
        <w:t>in order for</w:t>
      </w:r>
      <w:proofErr w:type="gramEnd"/>
      <w:r>
        <w:rPr>
          <w:rFonts w:ascii="Arial" w:hAnsi="Arial"/>
          <w:sz w:val="20"/>
        </w:rPr>
        <w:t xml:space="preserve"> the decision in the appeal to be re-made is such that, having regard to the overriding objective in rule 2, it is appropriate to remit the case to the First-tier Tribunal</w:t>
      </w:r>
      <w:r w:rsidRPr="00C65B93">
        <w:rPr>
          <w:rFonts w:ascii="Arial" w:hAnsi="Arial"/>
          <w:sz w:val="20"/>
        </w:rPr>
        <w:t>.”</w:t>
      </w:r>
    </w:p>
    <w:p w14:paraId="75C53825" w14:textId="77777777" w:rsidR="006E582A" w:rsidRDefault="006E582A" w:rsidP="00A41AA1">
      <w:pPr>
        <w:numPr>
          <w:ilvl w:val="0"/>
          <w:numId w:val="1"/>
        </w:numPr>
        <w:tabs>
          <w:tab w:val="left" w:pos="567"/>
        </w:tabs>
        <w:spacing w:before="240"/>
        <w:ind w:left="567" w:hanging="567"/>
        <w:jc w:val="both"/>
        <w:rPr>
          <w:rFonts w:ascii="Arial" w:hAnsi="Arial" w:cs="Arial"/>
        </w:rPr>
      </w:pPr>
      <w:r>
        <w:rPr>
          <w:rFonts w:ascii="Arial" w:hAnsi="Arial" w:cs="Arial"/>
        </w:rPr>
        <w:t xml:space="preserve">In view of my conclusion that the appellant has been deprived of a </w:t>
      </w:r>
      <w:r w:rsidR="00551FF1">
        <w:rPr>
          <w:rFonts w:ascii="Arial" w:hAnsi="Arial" w:cs="Arial"/>
        </w:rPr>
        <w:t xml:space="preserve">fair </w:t>
      </w:r>
      <w:r>
        <w:rPr>
          <w:rFonts w:ascii="Arial" w:hAnsi="Arial" w:cs="Arial"/>
        </w:rPr>
        <w:t xml:space="preserve">hearing, I am satisfied that para 7.2(a) of the Practice Statements applies.  </w:t>
      </w:r>
    </w:p>
    <w:p w14:paraId="2A07EC90" w14:textId="77777777" w:rsidR="00A41AA1" w:rsidRDefault="006E582A" w:rsidP="00646A8C">
      <w:pPr>
        <w:numPr>
          <w:ilvl w:val="0"/>
          <w:numId w:val="1"/>
        </w:numPr>
        <w:tabs>
          <w:tab w:val="left" w:pos="567"/>
        </w:tabs>
        <w:spacing w:before="240"/>
        <w:ind w:left="567" w:hanging="567"/>
        <w:jc w:val="both"/>
        <w:rPr>
          <w:rFonts w:ascii="Arial" w:hAnsi="Arial" w:cs="Arial"/>
        </w:rPr>
      </w:pPr>
      <w:r>
        <w:rPr>
          <w:rFonts w:ascii="Arial" w:hAnsi="Arial" w:cs="Arial"/>
        </w:rPr>
        <w:t xml:space="preserve">This appeal is therefore remitted to the </w:t>
      </w:r>
      <w:proofErr w:type="spellStart"/>
      <w:r>
        <w:rPr>
          <w:rFonts w:ascii="Arial" w:hAnsi="Arial" w:cs="Arial"/>
        </w:rPr>
        <w:t>FtT</w:t>
      </w:r>
      <w:proofErr w:type="spellEnd"/>
      <w:r>
        <w:rPr>
          <w:rFonts w:ascii="Arial" w:hAnsi="Arial" w:cs="Arial"/>
        </w:rPr>
        <w:t xml:space="preserve"> for that Tribunal to re-make the decision on the </w:t>
      </w:r>
      <w:r w:rsidR="00551FF1">
        <w:rPr>
          <w:rFonts w:ascii="Arial" w:hAnsi="Arial" w:cs="Arial"/>
        </w:rPr>
        <w:t xml:space="preserve">appellant's </w:t>
      </w:r>
      <w:r>
        <w:rPr>
          <w:rFonts w:ascii="Arial" w:hAnsi="Arial" w:cs="Arial"/>
        </w:rPr>
        <w:t>appeal.</w:t>
      </w:r>
    </w:p>
    <w:p w14:paraId="0D0B1360" w14:textId="77777777" w:rsidR="006A7DDA" w:rsidRPr="00CF0490" w:rsidRDefault="006A7DDA" w:rsidP="00A41AA1">
      <w:pPr>
        <w:tabs>
          <w:tab w:val="left" w:pos="567"/>
        </w:tabs>
        <w:spacing w:before="240"/>
        <w:jc w:val="both"/>
        <w:rPr>
          <w:rFonts w:ascii="Arial" w:hAnsi="Arial" w:cs="Arial"/>
        </w:rPr>
      </w:pPr>
      <w:r w:rsidRPr="00CF0490">
        <w:rPr>
          <w:rFonts w:ascii="Arial" w:hAnsi="Arial" w:cs="Arial"/>
          <w:b/>
          <w:u w:val="single"/>
        </w:rPr>
        <w:t>Notice of Decision</w:t>
      </w:r>
    </w:p>
    <w:p w14:paraId="7CF31327" w14:textId="77777777" w:rsidR="00551FF1" w:rsidRDefault="00551FF1" w:rsidP="00551FF1">
      <w:pPr>
        <w:numPr>
          <w:ilvl w:val="0"/>
          <w:numId w:val="1"/>
        </w:numPr>
        <w:tabs>
          <w:tab w:val="left" w:pos="567"/>
        </w:tabs>
        <w:spacing w:before="240"/>
        <w:ind w:left="567" w:hanging="567"/>
        <w:jc w:val="both"/>
        <w:rPr>
          <w:rFonts w:ascii="Arial" w:hAnsi="Arial" w:cs="Arial"/>
        </w:rPr>
      </w:pPr>
      <w:r w:rsidRPr="006E582A">
        <w:rPr>
          <w:rFonts w:ascii="Arial" w:hAnsi="Arial" w:cs="Arial"/>
        </w:rPr>
        <w:t xml:space="preserve">The decision of the First-tier Tribunal involved the making of errors on points of law such that the decision is set aside. This case is remitted to the First-tier Tribunal for a hearing on the merits on all issues by a </w:t>
      </w:r>
      <w:r>
        <w:rPr>
          <w:rFonts w:ascii="Arial" w:hAnsi="Arial" w:cs="Arial"/>
        </w:rPr>
        <w:t>Judge</w:t>
      </w:r>
      <w:r w:rsidRPr="006E582A">
        <w:rPr>
          <w:rFonts w:ascii="Arial" w:hAnsi="Arial" w:cs="Arial"/>
        </w:rPr>
        <w:t xml:space="preserve"> other than Judge of the First-tier Tribunal D.P. Herbert OBE.</w:t>
      </w:r>
    </w:p>
    <w:p w14:paraId="1432B1BD" w14:textId="77777777" w:rsidR="00A41AA1" w:rsidRDefault="00A41AA1" w:rsidP="00911C81">
      <w:pPr>
        <w:tabs>
          <w:tab w:val="left" w:pos="540"/>
          <w:tab w:val="left" w:pos="567"/>
          <w:tab w:val="left" w:pos="1080"/>
        </w:tabs>
        <w:ind w:left="540" w:hanging="540"/>
        <w:jc w:val="both"/>
        <w:rPr>
          <w:rFonts w:ascii="Arial" w:hAnsi="Arial" w:cs="Arial"/>
          <w:color w:val="000000"/>
          <w:szCs w:val="22"/>
        </w:rPr>
      </w:pPr>
    </w:p>
    <w:p w14:paraId="77D948CB" w14:textId="77777777" w:rsidR="00A41AA1" w:rsidRDefault="00A41AA1" w:rsidP="00911C81">
      <w:pPr>
        <w:tabs>
          <w:tab w:val="left" w:pos="540"/>
          <w:tab w:val="left" w:pos="567"/>
          <w:tab w:val="left" w:pos="1080"/>
        </w:tabs>
        <w:ind w:left="540" w:hanging="540"/>
        <w:jc w:val="both"/>
        <w:rPr>
          <w:rFonts w:ascii="Arial" w:hAnsi="Arial" w:cs="Arial"/>
          <w:color w:val="000000"/>
          <w:szCs w:val="22"/>
        </w:rPr>
      </w:pPr>
    </w:p>
    <w:p w14:paraId="65CA893B" w14:textId="77777777" w:rsidR="00A41AA1" w:rsidRDefault="00A41AA1" w:rsidP="00911C81">
      <w:pPr>
        <w:tabs>
          <w:tab w:val="left" w:pos="540"/>
          <w:tab w:val="left" w:pos="567"/>
          <w:tab w:val="left" w:pos="1080"/>
        </w:tabs>
        <w:ind w:left="540" w:hanging="540"/>
        <w:jc w:val="both"/>
        <w:rPr>
          <w:rFonts w:ascii="Arial" w:hAnsi="Arial" w:cs="Arial"/>
          <w:color w:val="000000"/>
          <w:szCs w:val="22"/>
        </w:rPr>
      </w:pPr>
    </w:p>
    <w:p w14:paraId="25FF9572" w14:textId="77777777" w:rsidR="00911C81" w:rsidRDefault="00911C81" w:rsidP="00911C81">
      <w:pPr>
        <w:tabs>
          <w:tab w:val="left" w:pos="567"/>
        </w:tabs>
        <w:jc w:val="both"/>
        <w:rPr>
          <w:rFonts w:ascii="Arial" w:hAnsi="Arial" w:cs="Arial"/>
          <w:sz w:val="22"/>
          <w:szCs w:val="22"/>
        </w:rPr>
      </w:pPr>
      <w:r w:rsidRPr="00EA6134">
        <w:rPr>
          <w:rFonts w:ascii="Lucida Handwriting" w:hAnsi="Lucida Handwriting" w:cs="Arial"/>
          <w:b/>
          <w:color w:val="000000"/>
          <w:sz w:val="22"/>
          <w:szCs w:val="22"/>
        </w:rPr>
        <w:t>Upper Tribunal Judge Gill</w:t>
      </w:r>
      <w:r w:rsidRPr="0078659C">
        <w:rPr>
          <w:rFonts w:ascii="Arial" w:hAnsi="Arial" w:cs="Arial"/>
          <w:color w:val="000000"/>
          <w:sz w:val="22"/>
          <w:szCs w:val="22"/>
        </w:rPr>
        <w:t xml:space="preserve"> </w:t>
      </w:r>
      <w:r w:rsidRPr="0078659C">
        <w:rPr>
          <w:rFonts w:ascii="Arial" w:hAnsi="Arial" w:cs="Arial"/>
          <w:color w:val="000000"/>
          <w:sz w:val="22"/>
          <w:szCs w:val="22"/>
        </w:rPr>
        <w:tab/>
      </w:r>
      <w:r w:rsidRPr="0078659C">
        <w:rPr>
          <w:rFonts w:ascii="Arial" w:hAnsi="Arial" w:cs="Arial"/>
          <w:color w:val="000000"/>
          <w:sz w:val="22"/>
          <w:szCs w:val="22"/>
        </w:rPr>
        <w:tab/>
      </w:r>
      <w:r w:rsidR="00EA6134">
        <w:rPr>
          <w:rFonts w:ascii="Arial" w:hAnsi="Arial" w:cs="Arial"/>
          <w:color w:val="000000"/>
          <w:sz w:val="22"/>
          <w:szCs w:val="22"/>
        </w:rPr>
        <w:tab/>
      </w:r>
      <w:r w:rsidR="00EA6134">
        <w:rPr>
          <w:rFonts w:ascii="Arial" w:hAnsi="Arial" w:cs="Arial"/>
          <w:color w:val="000000"/>
          <w:sz w:val="22"/>
          <w:szCs w:val="22"/>
        </w:rPr>
        <w:tab/>
        <w:t xml:space="preserve">Signed: </w:t>
      </w:r>
      <w:r w:rsidR="00551FF1">
        <w:rPr>
          <w:rFonts w:ascii="Arial" w:hAnsi="Arial" w:cs="Arial"/>
          <w:color w:val="000000"/>
          <w:sz w:val="22"/>
          <w:szCs w:val="22"/>
        </w:rPr>
        <w:t xml:space="preserve">20 </w:t>
      </w:r>
      <w:r w:rsidR="006E582A" w:rsidRPr="00551FF1">
        <w:rPr>
          <w:rFonts w:ascii="Arial" w:hAnsi="Arial" w:cs="Arial"/>
          <w:sz w:val="22"/>
          <w:szCs w:val="22"/>
        </w:rPr>
        <w:t>August 2020</w:t>
      </w:r>
      <w:r w:rsidR="006E582A">
        <w:rPr>
          <w:rFonts w:ascii="Arial" w:hAnsi="Arial" w:cs="Arial"/>
          <w:color w:val="000000"/>
          <w:sz w:val="22"/>
          <w:szCs w:val="22"/>
        </w:rPr>
        <w:t xml:space="preserve"> </w:t>
      </w:r>
    </w:p>
    <w:sectPr w:rsidR="00911C81" w:rsidSect="00371225">
      <w:headerReference w:type="default" r:id="rId17"/>
      <w:footerReference w:type="default" r:id="rId18"/>
      <w:footerReference w:type="first" r:id="rId19"/>
      <w:pgSz w:w="11906" w:h="16838"/>
      <w:pgMar w:top="851" w:right="1134"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2C666" w14:textId="77777777" w:rsidR="00272EC4" w:rsidRDefault="00272EC4">
      <w:r>
        <w:separator/>
      </w:r>
    </w:p>
  </w:endnote>
  <w:endnote w:type="continuationSeparator" w:id="0">
    <w:p w14:paraId="514C5535" w14:textId="77777777" w:rsidR="00272EC4" w:rsidRDefault="00272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B1944" w14:textId="77777777" w:rsidR="001E2AAE" w:rsidRPr="0044285D" w:rsidRDefault="001E2AAE" w:rsidP="00593795">
    <w:pPr>
      <w:pStyle w:val="Footer"/>
      <w:jc w:val="center"/>
      <w:rPr>
        <w:rFonts w:ascii="Arial" w:hAnsi="Arial" w:cs="Arial"/>
      </w:rPr>
    </w:pPr>
    <w:r w:rsidRPr="0044285D">
      <w:rPr>
        <w:rStyle w:val="PageNumber"/>
        <w:rFonts w:ascii="Arial" w:hAnsi="Arial" w:cs="Arial"/>
      </w:rPr>
      <w:fldChar w:fldCharType="begin"/>
    </w:r>
    <w:r w:rsidRPr="0044285D">
      <w:rPr>
        <w:rStyle w:val="PageNumber"/>
        <w:rFonts w:ascii="Arial" w:hAnsi="Arial" w:cs="Arial"/>
      </w:rPr>
      <w:instrText xml:space="preserve"> PAGE </w:instrText>
    </w:r>
    <w:r w:rsidRPr="0044285D">
      <w:rPr>
        <w:rStyle w:val="PageNumber"/>
        <w:rFonts w:ascii="Arial" w:hAnsi="Arial" w:cs="Arial"/>
      </w:rPr>
      <w:fldChar w:fldCharType="separate"/>
    </w:r>
    <w:r w:rsidR="00FE2F82" w:rsidRPr="0044285D">
      <w:rPr>
        <w:rStyle w:val="PageNumber"/>
        <w:rFonts w:ascii="Arial" w:hAnsi="Arial" w:cs="Arial"/>
        <w:noProof/>
      </w:rPr>
      <w:t>6</w:t>
    </w:r>
    <w:r w:rsidRPr="0044285D">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0D566" w14:textId="77777777" w:rsidR="001E2AAE" w:rsidRPr="00090CF9" w:rsidRDefault="001E2AAE" w:rsidP="00090CF9">
    <w:pPr>
      <w:jc w:val="center"/>
      <w:rPr>
        <w:rFonts w:ascii="Arial" w:hAnsi="Arial" w:cs="Arial"/>
        <w:b/>
      </w:rPr>
    </w:pPr>
    <w:r w:rsidRPr="00090CF9">
      <w:rPr>
        <w:rFonts w:ascii="Arial" w:hAnsi="Arial" w:cs="Arial"/>
        <w:b/>
        <w:spacing w:val="-6"/>
      </w:rPr>
      <w:t>©</w:t>
    </w:r>
    <w:r>
      <w:rPr>
        <w:rFonts w:ascii="Arial" w:hAnsi="Arial" w:cs="Arial"/>
        <w:b/>
      </w:rPr>
      <w:t xml:space="preserve"> CROWN COPYRIGHT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76C40" w14:textId="77777777" w:rsidR="00272EC4" w:rsidRDefault="00272EC4">
      <w:r>
        <w:separator/>
      </w:r>
    </w:p>
  </w:footnote>
  <w:footnote w:type="continuationSeparator" w:id="0">
    <w:p w14:paraId="1C84E4FE" w14:textId="77777777" w:rsidR="00272EC4" w:rsidRDefault="00272E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CC00E" w14:textId="77777777" w:rsidR="001E2AAE" w:rsidRPr="0044285D" w:rsidRDefault="001E2AAE" w:rsidP="00593795">
    <w:pPr>
      <w:pStyle w:val="Header"/>
      <w:jc w:val="right"/>
      <w:rPr>
        <w:rFonts w:ascii="Arial" w:hAnsi="Arial" w:cs="Arial"/>
        <w:sz w:val="16"/>
        <w:szCs w:val="16"/>
      </w:rPr>
    </w:pPr>
    <w:r w:rsidRPr="0044285D">
      <w:rPr>
        <w:rFonts w:ascii="Arial" w:hAnsi="Arial" w:cs="Arial"/>
        <w:sz w:val="16"/>
        <w:szCs w:val="16"/>
      </w:rPr>
      <w:t>App</w:t>
    </w:r>
    <w:r w:rsidR="00392663" w:rsidRPr="0044285D">
      <w:rPr>
        <w:rFonts w:ascii="Arial" w:hAnsi="Arial" w:cs="Arial"/>
        <w:sz w:val="16"/>
        <w:szCs w:val="16"/>
      </w:rPr>
      <w:t>eal Number:  EA/00450/2019(</w:t>
    </w:r>
    <w:r w:rsidRPr="0044285D">
      <w:rPr>
        <w:rFonts w:ascii="Arial" w:hAnsi="Arial" w:cs="Arial"/>
        <w:sz w:val="16"/>
        <w:szCs w:val="16"/>
      </w:rPr>
      <w:t>P</w:t>
    </w:r>
    <w:r w:rsidR="00392663" w:rsidRPr="0044285D">
      <w:rPr>
        <w:rFonts w:ascii="Arial" w:hAnsi="Arial" w:cs="Arial"/>
        <w:sz w:val="16"/>
        <w:szCs w:val="16"/>
      </w:rPr>
      <w:t>)</w:t>
    </w:r>
    <w:r w:rsidRPr="0044285D">
      <w:rPr>
        <w:rFonts w:ascii="Arial" w:hAnsi="Arial" w:cs="Arial"/>
        <w:sz w:val="16"/>
        <w:szCs w:val="16"/>
      </w:rPr>
      <w:t xml:space="preserve">  </w:t>
    </w:r>
  </w:p>
  <w:p w14:paraId="5560A86F" w14:textId="77777777" w:rsidR="001E2AAE" w:rsidRPr="003C5CE5" w:rsidRDefault="001E2AAE" w:rsidP="00593795">
    <w:pPr>
      <w:pStyle w:val="Header"/>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7B04"/>
    <w:multiLevelType w:val="hybridMultilevel"/>
    <w:tmpl w:val="4C9C8826"/>
    <w:lvl w:ilvl="0" w:tplc="ABB4A47C">
      <w:start w:val="7"/>
      <w:numFmt w:val="decimal"/>
      <w:lvlText w:val="%1."/>
      <w:lvlJc w:val="left"/>
      <w:pPr>
        <w:ind w:left="68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B42CB22C">
      <w:start w:val="1"/>
      <w:numFmt w:val="lowerLetter"/>
      <w:lvlText w:val="%2"/>
      <w:lvlJc w:val="left"/>
      <w:pPr>
        <w:ind w:left="1105"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DF9AB3EA">
      <w:start w:val="1"/>
      <w:numFmt w:val="lowerRoman"/>
      <w:lvlText w:val="%3"/>
      <w:lvlJc w:val="left"/>
      <w:pPr>
        <w:ind w:left="1825"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ACEA007E">
      <w:start w:val="1"/>
      <w:numFmt w:val="decimal"/>
      <w:lvlText w:val="%4"/>
      <w:lvlJc w:val="left"/>
      <w:pPr>
        <w:ind w:left="2545"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2D44EEB4">
      <w:start w:val="1"/>
      <w:numFmt w:val="lowerLetter"/>
      <w:lvlText w:val="%5"/>
      <w:lvlJc w:val="left"/>
      <w:pPr>
        <w:ind w:left="3265"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1B12CABE">
      <w:start w:val="1"/>
      <w:numFmt w:val="lowerRoman"/>
      <w:lvlText w:val="%6"/>
      <w:lvlJc w:val="left"/>
      <w:pPr>
        <w:ind w:left="3985"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9636436C">
      <w:start w:val="1"/>
      <w:numFmt w:val="decimal"/>
      <w:lvlText w:val="%7"/>
      <w:lvlJc w:val="left"/>
      <w:pPr>
        <w:ind w:left="4705"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1988D7EE">
      <w:start w:val="1"/>
      <w:numFmt w:val="lowerLetter"/>
      <w:lvlText w:val="%8"/>
      <w:lvlJc w:val="left"/>
      <w:pPr>
        <w:ind w:left="5425"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774AE7B0">
      <w:start w:val="1"/>
      <w:numFmt w:val="lowerRoman"/>
      <w:lvlText w:val="%9"/>
      <w:lvlJc w:val="left"/>
      <w:pPr>
        <w:ind w:left="6145"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14D60EB8"/>
    <w:multiLevelType w:val="multilevel"/>
    <w:tmpl w:val="41AA6AF0"/>
    <w:lvl w:ilvl="0">
      <w:start w:val="1"/>
      <w:numFmt w:val="decimal"/>
      <w:pStyle w:val="p"/>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C1F0E6F"/>
    <w:multiLevelType w:val="multilevel"/>
    <w:tmpl w:val="0EBED6D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54F5541"/>
    <w:multiLevelType w:val="hybridMultilevel"/>
    <w:tmpl w:val="E74A94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3B317847"/>
    <w:multiLevelType w:val="hybridMultilevel"/>
    <w:tmpl w:val="29A03C68"/>
    <w:lvl w:ilvl="0" w:tplc="AE48A8BE">
      <w:start w:val="22"/>
      <w:numFmt w:val="decimal"/>
      <w:lvlText w:val="%1."/>
      <w:lvlJc w:val="left"/>
      <w:pPr>
        <w:ind w:left="56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28F6B3C2">
      <w:start w:val="1"/>
      <w:numFmt w:val="lowerLetter"/>
      <w:lvlText w:val="%2"/>
      <w:lvlJc w:val="left"/>
      <w:pPr>
        <w:ind w:left="109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ACAE1D76">
      <w:start w:val="1"/>
      <w:numFmt w:val="lowerRoman"/>
      <w:lvlText w:val="%3"/>
      <w:lvlJc w:val="left"/>
      <w:pPr>
        <w:ind w:left="181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866A1F6C">
      <w:start w:val="1"/>
      <w:numFmt w:val="decimal"/>
      <w:lvlText w:val="%4"/>
      <w:lvlJc w:val="left"/>
      <w:pPr>
        <w:ind w:left="253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FCC2626A">
      <w:start w:val="1"/>
      <w:numFmt w:val="lowerLetter"/>
      <w:lvlText w:val="%5"/>
      <w:lvlJc w:val="left"/>
      <w:pPr>
        <w:ind w:left="325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0E0AD446">
      <w:start w:val="1"/>
      <w:numFmt w:val="lowerRoman"/>
      <w:lvlText w:val="%6"/>
      <w:lvlJc w:val="left"/>
      <w:pPr>
        <w:ind w:left="397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3216CFFE">
      <w:start w:val="1"/>
      <w:numFmt w:val="decimal"/>
      <w:lvlText w:val="%7"/>
      <w:lvlJc w:val="left"/>
      <w:pPr>
        <w:ind w:left="469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E2380F08">
      <w:start w:val="1"/>
      <w:numFmt w:val="lowerLetter"/>
      <w:lvlText w:val="%8"/>
      <w:lvlJc w:val="left"/>
      <w:pPr>
        <w:ind w:left="541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13166F84">
      <w:start w:val="1"/>
      <w:numFmt w:val="lowerRoman"/>
      <w:lvlText w:val="%9"/>
      <w:lvlJc w:val="left"/>
      <w:pPr>
        <w:ind w:left="6136"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3D216566"/>
    <w:multiLevelType w:val="multilevel"/>
    <w:tmpl w:val="0EBED6D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3ED94768"/>
    <w:multiLevelType w:val="hybridMultilevel"/>
    <w:tmpl w:val="60E21148"/>
    <w:lvl w:ilvl="0" w:tplc="7A42C08C">
      <w:start w:val="2"/>
      <w:numFmt w:val="decimal"/>
      <w:lvlText w:val="%1."/>
      <w:lvlJc w:val="left"/>
      <w:pPr>
        <w:ind w:left="38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2E8C2B52">
      <w:start w:val="1"/>
      <w:numFmt w:val="lowerLetter"/>
      <w:lvlText w:val="%2"/>
      <w:lvlJc w:val="left"/>
      <w:pPr>
        <w:ind w:left="10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6361266">
      <w:start w:val="1"/>
      <w:numFmt w:val="lowerRoman"/>
      <w:lvlText w:val="%3"/>
      <w:lvlJc w:val="left"/>
      <w:pPr>
        <w:ind w:left="18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3AC4DE76">
      <w:start w:val="1"/>
      <w:numFmt w:val="decimal"/>
      <w:lvlText w:val="%4"/>
      <w:lvlJc w:val="left"/>
      <w:pPr>
        <w:ind w:left="25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BA623AC">
      <w:start w:val="1"/>
      <w:numFmt w:val="lowerLetter"/>
      <w:lvlText w:val="%5"/>
      <w:lvlJc w:val="left"/>
      <w:pPr>
        <w:ind w:left="32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A16C676">
      <w:start w:val="1"/>
      <w:numFmt w:val="lowerRoman"/>
      <w:lvlText w:val="%6"/>
      <w:lvlJc w:val="left"/>
      <w:pPr>
        <w:ind w:left="39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2BD4DEB2">
      <w:start w:val="1"/>
      <w:numFmt w:val="decimal"/>
      <w:lvlText w:val="%7"/>
      <w:lvlJc w:val="left"/>
      <w:pPr>
        <w:ind w:left="46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037630F8">
      <w:start w:val="1"/>
      <w:numFmt w:val="lowerLetter"/>
      <w:lvlText w:val="%8"/>
      <w:lvlJc w:val="left"/>
      <w:pPr>
        <w:ind w:left="54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EFFC1904">
      <w:start w:val="1"/>
      <w:numFmt w:val="lowerRoman"/>
      <w:lvlText w:val="%9"/>
      <w:lvlJc w:val="left"/>
      <w:pPr>
        <w:ind w:left="61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41A51FAB"/>
    <w:multiLevelType w:val="hybridMultilevel"/>
    <w:tmpl w:val="1612145A"/>
    <w:lvl w:ilvl="0" w:tplc="274632D2">
      <w:start w:val="36"/>
      <w:numFmt w:val="decimal"/>
      <w:lvlText w:val="%1."/>
      <w:lvlJc w:val="left"/>
      <w:pPr>
        <w:ind w:left="95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84878AE">
      <w:start w:val="1"/>
      <w:numFmt w:val="lowerLetter"/>
      <w:lvlText w:val="%2"/>
      <w:lvlJc w:val="left"/>
      <w:pPr>
        <w:ind w:left="11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BE679EE">
      <w:start w:val="1"/>
      <w:numFmt w:val="lowerRoman"/>
      <w:lvlText w:val="%3"/>
      <w:lvlJc w:val="left"/>
      <w:pPr>
        <w:ind w:left="18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0382F238">
      <w:start w:val="1"/>
      <w:numFmt w:val="decimal"/>
      <w:lvlText w:val="%4"/>
      <w:lvlJc w:val="left"/>
      <w:pPr>
        <w:ind w:left="25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1C07744">
      <w:start w:val="1"/>
      <w:numFmt w:val="lowerLetter"/>
      <w:lvlText w:val="%5"/>
      <w:lvlJc w:val="left"/>
      <w:pPr>
        <w:ind w:left="32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A407E90">
      <w:start w:val="1"/>
      <w:numFmt w:val="lowerRoman"/>
      <w:lvlText w:val="%6"/>
      <w:lvlJc w:val="left"/>
      <w:pPr>
        <w:ind w:left="39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CEE0F922">
      <w:start w:val="1"/>
      <w:numFmt w:val="decimal"/>
      <w:lvlText w:val="%7"/>
      <w:lvlJc w:val="left"/>
      <w:pPr>
        <w:ind w:left="4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A844CE4">
      <w:start w:val="1"/>
      <w:numFmt w:val="lowerLetter"/>
      <w:lvlText w:val="%8"/>
      <w:lvlJc w:val="left"/>
      <w:pPr>
        <w:ind w:left="54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F96AAD6">
      <w:start w:val="1"/>
      <w:numFmt w:val="lowerRoman"/>
      <w:lvlText w:val="%9"/>
      <w:lvlJc w:val="left"/>
      <w:pPr>
        <w:ind w:left="61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436E0B23"/>
    <w:multiLevelType w:val="hybridMultilevel"/>
    <w:tmpl w:val="E14CC182"/>
    <w:lvl w:ilvl="0" w:tplc="3F7CC7FE">
      <w:start w:val="31"/>
      <w:numFmt w:val="decimal"/>
      <w:lvlText w:val="%1."/>
      <w:lvlJc w:val="left"/>
      <w:pPr>
        <w:ind w:left="5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E9A1074">
      <w:start w:val="1"/>
      <w:numFmt w:val="lowerLetter"/>
      <w:lvlText w:val="%2"/>
      <w:lvlJc w:val="left"/>
      <w:pPr>
        <w:ind w:left="11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A1EC7074">
      <w:start w:val="1"/>
      <w:numFmt w:val="lowerRoman"/>
      <w:lvlText w:val="%3"/>
      <w:lvlJc w:val="left"/>
      <w:pPr>
        <w:ind w:left="18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696323C">
      <w:start w:val="1"/>
      <w:numFmt w:val="decimal"/>
      <w:lvlText w:val="%4"/>
      <w:lvlJc w:val="left"/>
      <w:pPr>
        <w:ind w:left="25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726E064">
      <w:start w:val="1"/>
      <w:numFmt w:val="lowerLetter"/>
      <w:lvlText w:val="%5"/>
      <w:lvlJc w:val="left"/>
      <w:pPr>
        <w:ind w:left="32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700CED0">
      <w:start w:val="1"/>
      <w:numFmt w:val="lowerRoman"/>
      <w:lvlText w:val="%6"/>
      <w:lvlJc w:val="left"/>
      <w:pPr>
        <w:ind w:left="39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2BCC6C4">
      <w:start w:val="1"/>
      <w:numFmt w:val="decimal"/>
      <w:lvlText w:val="%7"/>
      <w:lvlJc w:val="left"/>
      <w:pPr>
        <w:ind w:left="47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CBDA0C54">
      <w:start w:val="1"/>
      <w:numFmt w:val="lowerLetter"/>
      <w:lvlText w:val="%8"/>
      <w:lvlJc w:val="left"/>
      <w:pPr>
        <w:ind w:left="54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F7A2CCE">
      <w:start w:val="1"/>
      <w:numFmt w:val="lowerRoman"/>
      <w:lvlText w:val="%9"/>
      <w:lvlJc w:val="left"/>
      <w:pPr>
        <w:ind w:left="61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5B7F502E"/>
    <w:multiLevelType w:val="hybridMultilevel"/>
    <w:tmpl w:val="0EBED6D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F8C584D"/>
    <w:multiLevelType w:val="hybridMultilevel"/>
    <w:tmpl w:val="9CD41F1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65B409D1"/>
    <w:multiLevelType w:val="hybridMultilevel"/>
    <w:tmpl w:val="11D44AB4"/>
    <w:lvl w:ilvl="0" w:tplc="C2B2A904">
      <w:start w:val="1"/>
      <w:numFmt w:val="decimal"/>
      <w:lvlText w:val="%1."/>
      <w:lvlJc w:val="left"/>
      <w:pPr>
        <w:tabs>
          <w:tab w:val="num" w:pos="720"/>
        </w:tabs>
        <w:ind w:left="720" w:hanging="72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670E5BD4"/>
    <w:multiLevelType w:val="hybridMultilevel"/>
    <w:tmpl w:val="4552C3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A96960"/>
    <w:multiLevelType w:val="hybridMultilevel"/>
    <w:tmpl w:val="9EEA09BC"/>
    <w:lvl w:ilvl="0" w:tplc="C89472BC">
      <w:start w:val="2"/>
      <w:numFmt w:val="decimal"/>
      <w:lvlText w:val="%1."/>
      <w:lvlJc w:val="left"/>
      <w:pPr>
        <w:ind w:left="41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8DCFFE8">
      <w:start w:val="1"/>
      <w:numFmt w:val="lowerLetter"/>
      <w:lvlText w:val="%2"/>
      <w:lvlJc w:val="left"/>
      <w:pPr>
        <w:ind w:left="111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DBAE0F0">
      <w:start w:val="1"/>
      <w:numFmt w:val="lowerRoman"/>
      <w:lvlText w:val="%3"/>
      <w:lvlJc w:val="left"/>
      <w:pPr>
        <w:ind w:left="183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D186BA40">
      <w:start w:val="1"/>
      <w:numFmt w:val="decimal"/>
      <w:lvlText w:val="%4"/>
      <w:lvlJc w:val="left"/>
      <w:pPr>
        <w:ind w:left="255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F603CD2">
      <w:start w:val="1"/>
      <w:numFmt w:val="lowerLetter"/>
      <w:lvlText w:val="%5"/>
      <w:lvlJc w:val="left"/>
      <w:pPr>
        <w:ind w:left="327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2CC8CC6">
      <w:start w:val="1"/>
      <w:numFmt w:val="lowerRoman"/>
      <w:lvlText w:val="%6"/>
      <w:lvlJc w:val="left"/>
      <w:pPr>
        <w:ind w:left="399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26F4D506">
      <w:start w:val="1"/>
      <w:numFmt w:val="decimal"/>
      <w:lvlText w:val="%7"/>
      <w:lvlJc w:val="left"/>
      <w:pPr>
        <w:ind w:left="471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DBE304A">
      <w:start w:val="1"/>
      <w:numFmt w:val="lowerLetter"/>
      <w:lvlText w:val="%8"/>
      <w:lvlJc w:val="left"/>
      <w:pPr>
        <w:ind w:left="543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B88A0E4">
      <w:start w:val="1"/>
      <w:numFmt w:val="lowerRoman"/>
      <w:lvlText w:val="%9"/>
      <w:lvlJc w:val="left"/>
      <w:pPr>
        <w:ind w:left="6154"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6F597581"/>
    <w:multiLevelType w:val="hybridMultilevel"/>
    <w:tmpl w:val="689ED6CE"/>
    <w:lvl w:ilvl="0" w:tplc="49360D0A">
      <w:start w:val="12"/>
      <w:numFmt w:val="decimal"/>
      <w:lvlText w:val="%1."/>
      <w:lvlJc w:val="left"/>
      <w:pPr>
        <w:ind w:left="3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520EF32">
      <w:start w:val="1"/>
      <w:numFmt w:val="lowerLetter"/>
      <w:lvlText w:val="%2"/>
      <w:lvlJc w:val="left"/>
      <w:pPr>
        <w:ind w:left="108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53CB502">
      <w:start w:val="1"/>
      <w:numFmt w:val="lowerRoman"/>
      <w:lvlText w:val="%3"/>
      <w:lvlJc w:val="left"/>
      <w:pPr>
        <w:ind w:left="18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694DAE4">
      <w:start w:val="1"/>
      <w:numFmt w:val="decimal"/>
      <w:lvlText w:val="%4"/>
      <w:lvlJc w:val="left"/>
      <w:pPr>
        <w:ind w:left="252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14A8AF06">
      <w:start w:val="1"/>
      <w:numFmt w:val="lowerLetter"/>
      <w:lvlText w:val="%5"/>
      <w:lvlJc w:val="left"/>
      <w:pPr>
        <w:ind w:left="324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4EA7E80">
      <w:start w:val="1"/>
      <w:numFmt w:val="lowerRoman"/>
      <w:lvlText w:val="%6"/>
      <w:lvlJc w:val="left"/>
      <w:pPr>
        <w:ind w:left="396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E2037CA">
      <w:start w:val="1"/>
      <w:numFmt w:val="decimal"/>
      <w:lvlText w:val="%7"/>
      <w:lvlJc w:val="left"/>
      <w:pPr>
        <w:ind w:left="468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E50D6F0">
      <w:start w:val="1"/>
      <w:numFmt w:val="lowerLetter"/>
      <w:lvlText w:val="%8"/>
      <w:lvlJc w:val="left"/>
      <w:pPr>
        <w:ind w:left="54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60492E6">
      <w:start w:val="1"/>
      <w:numFmt w:val="lowerRoman"/>
      <w:lvlText w:val="%9"/>
      <w:lvlJc w:val="left"/>
      <w:pPr>
        <w:ind w:left="612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5" w15:restartNumberingAfterBreak="0">
    <w:nsid w:val="771A6874"/>
    <w:multiLevelType w:val="hybridMultilevel"/>
    <w:tmpl w:val="E884C3EA"/>
    <w:lvl w:ilvl="0" w:tplc="08090017">
      <w:start w:val="1"/>
      <w:numFmt w:val="lower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7CC26F03"/>
    <w:multiLevelType w:val="hybridMultilevel"/>
    <w:tmpl w:val="60EEEF6C"/>
    <w:lvl w:ilvl="0" w:tplc="2B76D70C">
      <w:start w:val="1"/>
      <w:numFmt w:val="lowerRoman"/>
      <w:lvlText w:val="(%1)"/>
      <w:lvlJc w:val="left"/>
      <w:pPr>
        <w:ind w:left="1440" w:hanging="72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9"/>
  </w:num>
  <w:num w:numId="2">
    <w:abstractNumId w:val="12"/>
  </w:num>
  <w:num w:numId="3">
    <w:abstractNumId w:val="1"/>
  </w:num>
  <w:num w:numId="4">
    <w:abstractNumId w:val="11"/>
  </w:num>
  <w:num w:numId="5">
    <w:abstractNumId w:val="10"/>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4"/>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3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032"/>
    <w:rsid w:val="00000621"/>
    <w:rsid w:val="000036C2"/>
    <w:rsid w:val="00027E31"/>
    <w:rsid w:val="00033D3D"/>
    <w:rsid w:val="00040567"/>
    <w:rsid w:val="00054143"/>
    <w:rsid w:val="00056609"/>
    <w:rsid w:val="00057601"/>
    <w:rsid w:val="0006109D"/>
    <w:rsid w:val="00062F02"/>
    <w:rsid w:val="00070890"/>
    <w:rsid w:val="00071A7E"/>
    <w:rsid w:val="000746C0"/>
    <w:rsid w:val="00074D1D"/>
    <w:rsid w:val="00075BDF"/>
    <w:rsid w:val="000765FE"/>
    <w:rsid w:val="00090CF9"/>
    <w:rsid w:val="00091A57"/>
    <w:rsid w:val="00092580"/>
    <w:rsid w:val="00093D4D"/>
    <w:rsid w:val="00094A84"/>
    <w:rsid w:val="000A0007"/>
    <w:rsid w:val="000A147F"/>
    <w:rsid w:val="000A5A9E"/>
    <w:rsid w:val="000B799A"/>
    <w:rsid w:val="000D5D94"/>
    <w:rsid w:val="000E610F"/>
    <w:rsid w:val="000F1A0E"/>
    <w:rsid w:val="000F3AC5"/>
    <w:rsid w:val="001165A7"/>
    <w:rsid w:val="00121BDE"/>
    <w:rsid w:val="00121EB3"/>
    <w:rsid w:val="00127716"/>
    <w:rsid w:val="00130576"/>
    <w:rsid w:val="0014284D"/>
    <w:rsid w:val="001571EE"/>
    <w:rsid w:val="00167D3A"/>
    <w:rsid w:val="001768E2"/>
    <w:rsid w:val="00176E81"/>
    <w:rsid w:val="0018389B"/>
    <w:rsid w:val="00183B86"/>
    <w:rsid w:val="00186D71"/>
    <w:rsid w:val="0018704B"/>
    <w:rsid w:val="001A3082"/>
    <w:rsid w:val="001A656E"/>
    <w:rsid w:val="001B186A"/>
    <w:rsid w:val="001B2F75"/>
    <w:rsid w:val="001B37B3"/>
    <w:rsid w:val="001C4344"/>
    <w:rsid w:val="001E2AAE"/>
    <w:rsid w:val="001F2716"/>
    <w:rsid w:val="001F7C57"/>
    <w:rsid w:val="00203AF2"/>
    <w:rsid w:val="00207617"/>
    <w:rsid w:val="00217A74"/>
    <w:rsid w:val="00220733"/>
    <w:rsid w:val="00221DA8"/>
    <w:rsid w:val="0023134B"/>
    <w:rsid w:val="00234CA6"/>
    <w:rsid w:val="002373B2"/>
    <w:rsid w:val="00250368"/>
    <w:rsid w:val="00256327"/>
    <w:rsid w:val="0026015E"/>
    <w:rsid w:val="002667BE"/>
    <w:rsid w:val="00270E13"/>
    <w:rsid w:val="00272B07"/>
    <w:rsid w:val="00272EC4"/>
    <w:rsid w:val="00283659"/>
    <w:rsid w:val="002B0D3C"/>
    <w:rsid w:val="002B5149"/>
    <w:rsid w:val="002C2683"/>
    <w:rsid w:val="002C6BD4"/>
    <w:rsid w:val="002C7B6F"/>
    <w:rsid w:val="002D1446"/>
    <w:rsid w:val="002D225F"/>
    <w:rsid w:val="002D68BF"/>
    <w:rsid w:val="002F0490"/>
    <w:rsid w:val="002F3CC6"/>
    <w:rsid w:val="002F59C1"/>
    <w:rsid w:val="002F6B98"/>
    <w:rsid w:val="003076E7"/>
    <w:rsid w:val="003105BD"/>
    <w:rsid w:val="00311214"/>
    <w:rsid w:val="0031538F"/>
    <w:rsid w:val="0031716F"/>
    <w:rsid w:val="0033270B"/>
    <w:rsid w:val="00336CBF"/>
    <w:rsid w:val="00343FE3"/>
    <w:rsid w:val="0034495D"/>
    <w:rsid w:val="00344D4E"/>
    <w:rsid w:val="003546C8"/>
    <w:rsid w:val="00355E93"/>
    <w:rsid w:val="00371225"/>
    <w:rsid w:val="00392663"/>
    <w:rsid w:val="003A2449"/>
    <w:rsid w:val="003A7CF2"/>
    <w:rsid w:val="003C4BB7"/>
    <w:rsid w:val="003C5CE5"/>
    <w:rsid w:val="003D0E11"/>
    <w:rsid w:val="003D12C4"/>
    <w:rsid w:val="003D1CF2"/>
    <w:rsid w:val="003E267B"/>
    <w:rsid w:val="003E5773"/>
    <w:rsid w:val="003E7CD1"/>
    <w:rsid w:val="003F481E"/>
    <w:rsid w:val="00400BC5"/>
    <w:rsid w:val="00402B9E"/>
    <w:rsid w:val="00420643"/>
    <w:rsid w:val="004249CB"/>
    <w:rsid w:val="00440E84"/>
    <w:rsid w:val="0044127D"/>
    <w:rsid w:val="0044285D"/>
    <w:rsid w:val="004442DE"/>
    <w:rsid w:val="004448DB"/>
    <w:rsid w:val="00446C9A"/>
    <w:rsid w:val="0045088A"/>
    <w:rsid w:val="00452F2B"/>
    <w:rsid w:val="004749DF"/>
    <w:rsid w:val="0047556D"/>
    <w:rsid w:val="00477193"/>
    <w:rsid w:val="00485182"/>
    <w:rsid w:val="00485AA1"/>
    <w:rsid w:val="00485F12"/>
    <w:rsid w:val="0049691D"/>
    <w:rsid w:val="004A1848"/>
    <w:rsid w:val="004A51CE"/>
    <w:rsid w:val="004A6C52"/>
    <w:rsid w:val="004A6F3C"/>
    <w:rsid w:val="004A6F4A"/>
    <w:rsid w:val="004B79CE"/>
    <w:rsid w:val="004B7EDE"/>
    <w:rsid w:val="004D4D0A"/>
    <w:rsid w:val="004D61D3"/>
    <w:rsid w:val="004E0E59"/>
    <w:rsid w:val="004E3BC4"/>
    <w:rsid w:val="004E4717"/>
    <w:rsid w:val="004F0511"/>
    <w:rsid w:val="004F0886"/>
    <w:rsid w:val="004F15A7"/>
    <w:rsid w:val="005035E7"/>
    <w:rsid w:val="005038A6"/>
    <w:rsid w:val="00507FEC"/>
    <w:rsid w:val="00510F0E"/>
    <w:rsid w:val="00512EBC"/>
    <w:rsid w:val="0052092C"/>
    <w:rsid w:val="00527D2C"/>
    <w:rsid w:val="00541348"/>
    <w:rsid w:val="005479E1"/>
    <w:rsid w:val="00551FF1"/>
    <w:rsid w:val="00553585"/>
    <w:rsid w:val="00553E0A"/>
    <w:rsid w:val="005570FD"/>
    <w:rsid w:val="005575EA"/>
    <w:rsid w:val="0057790C"/>
    <w:rsid w:val="00590716"/>
    <w:rsid w:val="00593795"/>
    <w:rsid w:val="00593821"/>
    <w:rsid w:val="00594520"/>
    <w:rsid w:val="0059608D"/>
    <w:rsid w:val="005967B7"/>
    <w:rsid w:val="005A18E1"/>
    <w:rsid w:val="005A2018"/>
    <w:rsid w:val="005A549B"/>
    <w:rsid w:val="005A5B58"/>
    <w:rsid w:val="005A5F58"/>
    <w:rsid w:val="005A75FF"/>
    <w:rsid w:val="005D10AB"/>
    <w:rsid w:val="005D6E4C"/>
    <w:rsid w:val="005D7956"/>
    <w:rsid w:val="005F1F19"/>
    <w:rsid w:val="005F2435"/>
    <w:rsid w:val="005F4BCB"/>
    <w:rsid w:val="005F789E"/>
    <w:rsid w:val="00601D8F"/>
    <w:rsid w:val="006039A5"/>
    <w:rsid w:val="00603F14"/>
    <w:rsid w:val="00611011"/>
    <w:rsid w:val="00622E90"/>
    <w:rsid w:val="0062327C"/>
    <w:rsid w:val="006253E2"/>
    <w:rsid w:val="00636868"/>
    <w:rsid w:val="00646A8C"/>
    <w:rsid w:val="006502DA"/>
    <w:rsid w:val="00651FBA"/>
    <w:rsid w:val="00653E97"/>
    <w:rsid w:val="00662E8B"/>
    <w:rsid w:val="00676204"/>
    <w:rsid w:val="00682943"/>
    <w:rsid w:val="00684A74"/>
    <w:rsid w:val="00690B8A"/>
    <w:rsid w:val="0069724A"/>
    <w:rsid w:val="006A55E0"/>
    <w:rsid w:val="006A6550"/>
    <w:rsid w:val="006A7DDA"/>
    <w:rsid w:val="006C66C2"/>
    <w:rsid w:val="006D6BFB"/>
    <w:rsid w:val="006E3C5D"/>
    <w:rsid w:val="006E582A"/>
    <w:rsid w:val="006F15B5"/>
    <w:rsid w:val="006F1610"/>
    <w:rsid w:val="006F2CF1"/>
    <w:rsid w:val="006F67DD"/>
    <w:rsid w:val="00701517"/>
    <w:rsid w:val="007038ED"/>
    <w:rsid w:val="00703BC3"/>
    <w:rsid w:val="00704B61"/>
    <w:rsid w:val="00716F09"/>
    <w:rsid w:val="00722F54"/>
    <w:rsid w:val="007303A1"/>
    <w:rsid w:val="007334B3"/>
    <w:rsid w:val="007552A9"/>
    <w:rsid w:val="00756533"/>
    <w:rsid w:val="0075665D"/>
    <w:rsid w:val="00761858"/>
    <w:rsid w:val="00767D59"/>
    <w:rsid w:val="00776E97"/>
    <w:rsid w:val="00780F86"/>
    <w:rsid w:val="00781725"/>
    <w:rsid w:val="00787F83"/>
    <w:rsid w:val="007912AD"/>
    <w:rsid w:val="00796229"/>
    <w:rsid w:val="007A2531"/>
    <w:rsid w:val="007A37E8"/>
    <w:rsid w:val="007B0824"/>
    <w:rsid w:val="007B5D3C"/>
    <w:rsid w:val="007D06A1"/>
    <w:rsid w:val="007F21F0"/>
    <w:rsid w:val="0082047E"/>
    <w:rsid w:val="00821B72"/>
    <w:rsid w:val="00823EF2"/>
    <w:rsid w:val="008303B8"/>
    <w:rsid w:val="00833DCE"/>
    <w:rsid w:val="0084047A"/>
    <w:rsid w:val="008528B2"/>
    <w:rsid w:val="00855E9F"/>
    <w:rsid w:val="00864DE8"/>
    <w:rsid w:val="00871D34"/>
    <w:rsid w:val="008741D7"/>
    <w:rsid w:val="008B270C"/>
    <w:rsid w:val="008B382D"/>
    <w:rsid w:val="008B5078"/>
    <w:rsid w:val="008B7489"/>
    <w:rsid w:val="008C04CB"/>
    <w:rsid w:val="008C3D3D"/>
    <w:rsid w:val="008D00B0"/>
    <w:rsid w:val="008D1CA2"/>
    <w:rsid w:val="008D4131"/>
    <w:rsid w:val="008D73F7"/>
    <w:rsid w:val="008F1932"/>
    <w:rsid w:val="008F35A3"/>
    <w:rsid w:val="00907D1B"/>
    <w:rsid w:val="00911C81"/>
    <w:rsid w:val="0091355C"/>
    <w:rsid w:val="009171C1"/>
    <w:rsid w:val="00921062"/>
    <w:rsid w:val="00925AB2"/>
    <w:rsid w:val="00930C45"/>
    <w:rsid w:val="009336C2"/>
    <w:rsid w:val="00942571"/>
    <w:rsid w:val="00950E31"/>
    <w:rsid w:val="009553DE"/>
    <w:rsid w:val="00962C3E"/>
    <w:rsid w:val="009651E2"/>
    <w:rsid w:val="009722BC"/>
    <w:rsid w:val="009727A3"/>
    <w:rsid w:val="00981B10"/>
    <w:rsid w:val="00987774"/>
    <w:rsid w:val="0099079A"/>
    <w:rsid w:val="00995384"/>
    <w:rsid w:val="009A11E8"/>
    <w:rsid w:val="009A6DAF"/>
    <w:rsid w:val="009B5C98"/>
    <w:rsid w:val="009C1361"/>
    <w:rsid w:val="009C4702"/>
    <w:rsid w:val="009D53C6"/>
    <w:rsid w:val="009E257A"/>
    <w:rsid w:val="009F5220"/>
    <w:rsid w:val="00A01CAD"/>
    <w:rsid w:val="00A15234"/>
    <w:rsid w:val="00A201AB"/>
    <w:rsid w:val="00A21522"/>
    <w:rsid w:val="00A240AA"/>
    <w:rsid w:val="00A24613"/>
    <w:rsid w:val="00A253BF"/>
    <w:rsid w:val="00A27695"/>
    <w:rsid w:val="00A30398"/>
    <w:rsid w:val="00A31C8B"/>
    <w:rsid w:val="00A32B11"/>
    <w:rsid w:val="00A41AA1"/>
    <w:rsid w:val="00A47786"/>
    <w:rsid w:val="00A509FA"/>
    <w:rsid w:val="00A516E9"/>
    <w:rsid w:val="00A57AEA"/>
    <w:rsid w:val="00A60427"/>
    <w:rsid w:val="00A76551"/>
    <w:rsid w:val="00A81FAF"/>
    <w:rsid w:val="00A845DC"/>
    <w:rsid w:val="00A97DA6"/>
    <w:rsid w:val="00AA47B3"/>
    <w:rsid w:val="00AD2A51"/>
    <w:rsid w:val="00AD2FFE"/>
    <w:rsid w:val="00AE0830"/>
    <w:rsid w:val="00AE5A3A"/>
    <w:rsid w:val="00AE7B45"/>
    <w:rsid w:val="00AF6E22"/>
    <w:rsid w:val="00B1373B"/>
    <w:rsid w:val="00B2531C"/>
    <w:rsid w:val="00B26AA2"/>
    <w:rsid w:val="00B3231A"/>
    <w:rsid w:val="00B3524D"/>
    <w:rsid w:val="00B40F69"/>
    <w:rsid w:val="00B46616"/>
    <w:rsid w:val="00B7040A"/>
    <w:rsid w:val="00B83391"/>
    <w:rsid w:val="00B8427F"/>
    <w:rsid w:val="00B912E0"/>
    <w:rsid w:val="00B95326"/>
    <w:rsid w:val="00B97285"/>
    <w:rsid w:val="00BA5D95"/>
    <w:rsid w:val="00BD10DD"/>
    <w:rsid w:val="00BD15FC"/>
    <w:rsid w:val="00BD4196"/>
    <w:rsid w:val="00BF22CA"/>
    <w:rsid w:val="00BF23BB"/>
    <w:rsid w:val="00C0375B"/>
    <w:rsid w:val="00C10660"/>
    <w:rsid w:val="00C12F97"/>
    <w:rsid w:val="00C171DA"/>
    <w:rsid w:val="00C26032"/>
    <w:rsid w:val="00C345E1"/>
    <w:rsid w:val="00C41CDE"/>
    <w:rsid w:val="00C43BFD"/>
    <w:rsid w:val="00C56381"/>
    <w:rsid w:val="00C65B93"/>
    <w:rsid w:val="00C74C22"/>
    <w:rsid w:val="00C76569"/>
    <w:rsid w:val="00C81206"/>
    <w:rsid w:val="00C8162C"/>
    <w:rsid w:val="00C84935"/>
    <w:rsid w:val="00C94895"/>
    <w:rsid w:val="00C95666"/>
    <w:rsid w:val="00CA0F83"/>
    <w:rsid w:val="00CB6E35"/>
    <w:rsid w:val="00CB6E3A"/>
    <w:rsid w:val="00CE0CA5"/>
    <w:rsid w:val="00CE1530"/>
    <w:rsid w:val="00CE1A46"/>
    <w:rsid w:val="00CF0490"/>
    <w:rsid w:val="00D02378"/>
    <w:rsid w:val="00D148D4"/>
    <w:rsid w:val="00D20757"/>
    <w:rsid w:val="00D22636"/>
    <w:rsid w:val="00D308EE"/>
    <w:rsid w:val="00D3597A"/>
    <w:rsid w:val="00D40FD9"/>
    <w:rsid w:val="00D41356"/>
    <w:rsid w:val="00D53769"/>
    <w:rsid w:val="00D617C7"/>
    <w:rsid w:val="00D61D0C"/>
    <w:rsid w:val="00D75D46"/>
    <w:rsid w:val="00D8183D"/>
    <w:rsid w:val="00D85C13"/>
    <w:rsid w:val="00D9111A"/>
    <w:rsid w:val="00D91BE3"/>
    <w:rsid w:val="00D94AFC"/>
    <w:rsid w:val="00D975AF"/>
    <w:rsid w:val="00DB63AC"/>
    <w:rsid w:val="00DB70AE"/>
    <w:rsid w:val="00DC19DC"/>
    <w:rsid w:val="00DC3299"/>
    <w:rsid w:val="00DD0A80"/>
    <w:rsid w:val="00DD5071"/>
    <w:rsid w:val="00DD5C39"/>
    <w:rsid w:val="00DE7DB7"/>
    <w:rsid w:val="00DF2D62"/>
    <w:rsid w:val="00DF5648"/>
    <w:rsid w:val="00DF7E88"/>
    <w:rsid w:val="00E00A0A"/>
    <w:rsid w:val="00E066DE"/>
    <w:rsid w:val="00E07F57"/>
    <w:rsid w:val="00E100F2"/>
    <w:rsid w:val="00E10ABC"/>
    <w:rsid w:val="00E13020"/>
    <w:rsid w:val="00E278C7"/>
    <w:rsid w:val="00E30683"/>
    <w:rsid w:val="00E36D94"/>
    <w:rsid w:val="00E453D8"/>
    <w:rsid w:val="00E50BCE"/>
    <w:rsid w:val="00E50D9A"/>
    <w:rsid w:val="00E574BF"/>
    <w:rsid w:val="00E61292"/>
    <w:rsid w:val="00E631EE"/>
    <w:rsid w:val="00E64826"/>
    <w:rsid w:val="00E70C8A"/>
    <w:rsid w:val="00E72DE9"/>
    <w:rsid w:val="00E77C4D"/>
    <w:rsid w:val="00E80AD9"/>
    <w:rsid w:val="00E81B8F"/>
    <w:rsid w:val="00E81D01"/>
    <w:rsid w:val="00E83B65"/>
    <w:rsid w:val="00EA6134"/>
    <w:rsid w:val="00EB18EB"/>
    <w:rsid w:val="00EB77BD"/>
    <w:rsid w:val="00EC0114"/>
    <w:rsid w:val="00EC2035"/>
    <w:rsid w:val="00EE43F3"/>
    <w:rsid w:val="00EE45D8"/>
    <w:rsid w:val="00F022AC"/>
    <w:rsid w:val="00F047DA"/>
    <w:rsid w:val="00F058FD"/>
    <w:rsid w:val="00F12DFB"/>
    <w:rsid w:val="00F15907"/>
    <w:rsid w:val="00F20CC4"/>
    <w:rsid w:val="00F22EDA"/>
    <w:rsid w:val="00F31817"/>
    <w:rsid w:val="00F37EF5"/>
    <w:rsid w:val="00F4773A"/>
    <w:rsid w:val="00F5644F"/>
    <w:rsid w:val="00F62810"/>
    <w:rsid w:val="00F656B2"/>
    <w:rsid w:val="00F97154"/>
    <w:rsid w:val="00F97703"/>
    <w:rsid w:val="00FA3762"/>
    <w:rsid w:val="00FB4847"/>
    <w:rsid w:val="00FC57D5"/>
    <w:rsid w:val="00FC7933"/>
    <w:rsid w:val="00FE2F82"/>
    <w:rsid w:val="00FE32EE"/>
    <w:rsid w:val="00FF1E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13D0DAB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51FF1"/>
    <w:rPr>
      <w:sz w:val="24"/>
      <w:szCs w:val="24"/>
    </w:rPr>
  </w:style>
  <w:style w:type="paragraph" w:styleId="Heading2">
    <w:name w:val="heading 2"/>
    <w:basedOn w:val="Normal"/>
    <w:next w:val="Normal"/>
    <w:qFormat/>
    <w:rsid w:val="0079622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96229"/>
    <w:pPr>
      <w:keepNext/>
      <w:spacing w:before="240" w:after="60"/>
      <w:outlineLvl w:val="2"/>
    </w:pPr>
    <w:rPr>
      <w:rFonts w:ascii="Arial" w:hAnsi="Arial" w:cs="Arial"/>
      <w:b/>
      <w:bCs/>
      <w:sz w:val="26"/>
      <w:szCs w:val="26"/>
    </w:rPr>
  </w:style>
  <w:style w:type="paragraph" w:styleId="Heading4">
    <w:name w:val="heading 4"/>
    <w:basedOn w:val="Normal"/>
    <w:next w:val="Normal"/>
    <w:qFormat/>
    <w:rsid w:val="00796229"/>
    <w:pPr>
      <w:keepNext/>
      <w:spacing w:before="240" w:after="60"/>
      <w:outlineLvl w:val="3"/>
    </w:pPr>
    <w:rPr>
      <w:b/>
      <w:bCs/>
      <w:sz w:val="28"/>
      <w:szCs w:val="28"/>
    </w:rPr>
  </w:style>
  <w:style w:type="paragraph" w:styleId="Heading5">
    <w:name w:val="heading 5"/>
    <w:basedOn w:val="Normal"/>
    <w:next w:val="Normal"/>
    <w:qFormat/>
    <w:rsid w:val="00796229"/>
    <w:pPr>
      <w:spacing w:before="240" w:after="60"/>
      <w:outlineLvl w:val="4"/>
    </w:pPr>
    <w:rPr>
      <w:rFonts w:ascii="Georgia" w:hAnsi="Georgi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customStyle="1" w:styleId="q">
    <w:name w:val="q"/>
    <w:basedOn w:val="Normal"/>
    <w:rsid w:val="00C65B93"/>
    <w:pPr>
      <w:spacing w:before="240"/>
      <w:ind w:left="1134"/>
      <w:jc w:val="both"/>
    </w:pPr>
    <w:rPr>
      <w:rFonts w:ascii="Book Antiqua" w:hAnsi="Book Antiqua" w:cs="Arial"/>
    </w:rPr>
  </w:style>
  <w:style w:type="paragraph" w:customStyle="1" w:styleId="p">
    <w:name w:val="p"/>
    <w:basedOn w:val="Normal"/>
    <w:rsid w:val="00C65B93"/>
    <w:pPr>
      <w:numPr>
        <w:numId w:val="3"/>
      </w:numPr>
      <w:spacing w:before="240"/>
      <w:jc w:val="both"/>
    </w:pPr>
    <w:rPr>
      <w:rFonts w:ascii="Book Antiqua" w:hAnsi="Book Antiqua" w:cs="Arial"/>
    </w:rPr>
  </w:style>
  <w:style w:type="paragraph" w:customStyle="1" w:styleId="msolistparagraph0">
    <w:name w:val="msolistparagraph"/>
    <w:basedOn w:val="Normal"/>
    <w:rsid w:val="00911C81"/>
    <w:pPr>
      <w:spacing w:after="160" w:line="256" w:lineRule="auto"/>
      <w:ind w:left="720"/>
      <w:contextualSpacing/>
    </w:pPr>
    <w:rPr>
      <w:rFonts w:ascii="Calibri" w:eastAsia="Calibri" w:hAnsi="Calibri"/>
      <w:sz w:val="22"/>
      <w:szCs w:val="22"/>
      <w:lang w:eastAsia="en-US"/>
    </w:rPr>
  </w:style>
  <w:style w:type="character" w:styleId="CommentReference">
    <w:name w:val="annotation reference"/>
    <w:basedOn w:val="DefaultParagraphFont"/>
    <w:semiHidden/>
    <w:rsid w:val="002C2683"/>
    <w:rPr>
      <w:sz w:val="16"/>
      <w:szCs w:val="16"/>
    </w:rPr>
  </w:style>
  <w:style w:type="paragraph" w:styleId="CommentText">
    <w:name w:val="annotation text"/>
    <w:basedOn w:val="Normal"/>
    <w:semiHidden/>
    <w:rsid w:val="002C2683"/>
    <w:rPr>
      <w:sz w:val="20"/>
      <w:szCs w:val="20"/>
    </w:rPr>
  </w:style>
  <w:style w:type="paragraph" w:styleId="CommentSubject">
    <w:name w:val="annotation subject"/>
    <w:basedOn w:val="CommentText"/>
    <w:next w:val="CommentText"/>
    <w:semiHidden/>
    <w:rsid w:val="002C2683"/>
    <w:rPr>
      <w:b/>
      <w:bCs/>
    </w:rPr>
  </w:style>
  <w:style w:type="paragraph" w:styleId="FootnoteText">
    <w:name w:val="footnote text"/>
    <w:basedOn w:val="Normal"/>
    <w:semiHidden/>
    <w:rsid w:val="002C2683"/>
    <w:rPr>
      <w:sz w:val="20"/>
      <w:szCs w:val="20"/>
    </w:rPr>
  </w:style>
  <w:style w:type="character" w:styleId="FootnoteReference">
    <w:name w:val="footnote reference"/>
    <w:basedOn w:val="DefaultParagraphFont"/>
    <w:semiHidden/>
    <w:rsid w:val="002C2683"/>
    <w:rPr>
      <w:vertAlign w:val="superscript"/>
    </w:rPr>
  </w:style>
  <w:style w:type="paragraph" w:styleId="NormalWeb">
    <w:name w:val="Normal (Web)"/>
    <w:basedOn w:val="Normal"/>
    <w:semiHidden/>
    <w:rsid w:val="00FB4847"/>
    <w:pPr>
      <w:spacing w:before="100" w:beforeAutospacing="1" w:after="100" w:afterAutospacing="1"/>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42153">
      <w:bodyDiv w:val="1"/>
      <w:marLeft w:val="0"/>
      <w:marRight w:val="0"/>
      <w:marTop w:val="0"/>
      <w:marBottom w:val="0"/>
      <w:divBdr>
        <w:top w:val="none" w:sz="0" w:space="0" w:color="auto"/>
        <w:left w:val="none" w:sz="0" w:space="0" w:color="auto"/>
        <w:bottom w:val="none" w:sz="0" w:space="0" w:color="auto"/>
        <w:right w:val="none" w:sz="0" w:space="0" w:color="auto"/>
      </w:divBdr>
    </w:div>
    <w:div w:id="646859704">
      <w:bodyDiv w:val="1"/>
      <w:marLeft w:val="0"/>
      <w:marRight w:val="0"/>
      <w:marTop w:val="0"/>
      <w:marBottom w:val="0"/>
      <w:divBdr>
        <w:top w:val="none" w:sz="0" w:space="0" w:color="auto"/>
        <w:left w:val="none" w:sz="0" w:space="0" w:color="auto"/>
        <w:bottom w:val="none" w:sz="0" w:space="0" w:color="auto"/>
        <w:right w:val="none" w:sz="0" w:space="0" w:color="auto"/>
      </w:divBdr>
    </w:div>
    <w:div w:id="836572935">
      <w:bodyDiv w:val="1"/>
      <w:marLeft w:val="0"/>
      <w:marRight w:val="0"/>
      <w:marTop w:val="0"/>
      <w:marBottom w:val="0"/>
      <w:divBdr>
        <w:top w:val="none" w:sz="0" w:space="0" w:color="auto"/>
        <w:left w:val="none" w:sz="0" w:space="0" w:color="auto"/>
        <w:bottom w:val="none" w:sz="0" w:space="0" w:color="auto"/>
        <w:right w:val="none" w:sz="0" w:space="0" w:color="auto"/>
      </w:divBdr>
    </w:div>
    <w:div w:id="1508448338">
      <w:bodyDiv w:val="1"/>
      <w:marLeft w:val="0"/>
      <w:marRight w:val="0"/>
      <w:marTop w:val="0"/>
      <w:marBottom w:val="0"/>
      <w:divBdr>
        <w:top w:val="none" w:sz="0" w:space="0" w:color="auto"/>
        <w:left w:val="none" w:sz="0" w:space="0" w:color="auto"/>
        <w:bottom w:val="none" w:sz="0" w:space="0" w:color="auto"/>
        <w:right w:val="none" w:sz="0" w:space="0" w:color="auto"/>
      </w:divBdr>
    </w:div>
    <w:div w:id="1597595978">
      <w:bodyDiv w:val="1"/>
      <w:marLeft w:val="0"/>
      <w:marRight w:val="0"/>
      <w:marTop w:val="0"/>
      <w:marBottom w:val="0"/>
      <w:divBdr>
        <w:top w:val="none" w:sz="0" w:space="0" w:color="auto"/>
        <w:left w:val="none" w:sz="0" w:space="0" w:color="auto"/>
        <w:bottom w:val="none" w:sz="0" w:space="0" w:color="auto"/>
        <w:right w:val="none" w:sz="0" w:space="0" w:color="auto"/>
      </w:divBdr>
    </w:div>
    <w:div w:id="1825857293">
      <w:bodyDiv w:val="1"/>
      <w:marLeft w:val="0"/>
      <w:marRight w:val="0"/>
      <w:marTop w:val="0"/>
      <w:marBottom w:val="0"/>
      <w:divBdr>
        <w:top w:val="none" w:sz="0" w:space="0" w:color="auto"/>
        <w:left w:val="none" w:sz="0" w:space="0" w:color="auto"/>
        <w:bottom w:val="none" w:sz="0" w:space="0" w:color="auto"/>
        <w:right w:val="none" w:sz="0" w:space="0" w:color="auto"/>
      </w:divBdr>
    </w:div>
    <w:div w:id="200135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3651</Words>
  <Characters>17724</Characters>
  <Application>Microsoft Office Word</Application>
  <DocSecurity>2</DocSecurity>
  <Lines>147</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2020-09-07T12:20:00Z</dcterms:created>
  <dcterms:modified xsi:type="dcterms:W3CDTF">2020-09-07T12:20:00Z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