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B801AF" w:rsidRDefault="000C2E6A" w:rsidP="0019650B">
      <w:pPr>
        <w:jc w:val="center"/>
        <w:rPr>
          <w:rFonts w:ascii="Book Antiqua" w:hAnsi="Book Antiqua" w:cs="Arial"/>
          <w:caps/>
          <w:color w:val="000000"/>
          <w:sz w:val="16"/>
          <w:szCs w:val="16"/>
        </w:rPr>
      </w:pPr>
      <w:r w:rsidRPr="00B801AF">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B801AF" w:rsidRDefault="00D94AFC">
      <w:pPr>
        <w:rPr>
          <w:rFonts w:ascii="Book Antiqua" w:hAnsi="Book Antiqua" w:cs="Arial"/>
          <w:color w:val="000000"/>
          <w:sz w:val="16"/>
          <w:szCs w:val="16"/>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6A2EAE">
        <w:rPr>
          <w:rFonts w:ascii="Book Antiqua" w:hAnsi="Book Antiqua" w:cs="Arial"/>
          <w:caps/>
          <w:color w:val="000000"/>
        </w:rPr>
        <w:t>EA/00582/2017</w:t>
      </w:r>
      <w:bookmarkEnd w:id="0"/>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6A2EAE">
              <w:rPr>
                <w:rFonts w:ascii="Book Antiqua" w:hAnsi="Book Antiqua" w:cs="Arial"/>
                <w:b/>
              </w:rPr>
              <w:t>Field House</w:t>
            </w:r>
          </w:p>
        </w:tc>
        <w:tc>
          <w:tcPr>
            <w:tcW w:w="3960" w:type="dxa"/>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180E36">
        <w:tc>
          <w:tcPr>
            <w:tcW w:w="6048"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6A2EAE">
              <w:rPr>
                <w:rFonts w:ascii="Book Antiqua" w:hAnsi="Book Antiqua" w:cs="Arial"/>
                <w:b/>
              </w:rPr>
              <w:t>21</w:t>
            </w:r>
            <w:r w:rsidR="006A2EAE" w:rsidRPr="006A2EAE">
              <w:rPr>
                <w:rFonts w:ascii="Book Antiqua" w:hAnsi="Book Antiqua" w:cs="Arial"/>
                <w:b/>
                <w:vertAlign w:val="superscript"/>
              </w:rPr>
              <w:t>st</w:t>
            </w:r>
            <w:r w:rsidR="006A2EAE">
              <w:rPr>
                <w:rFonts w:ascii="Book Antiqua" w:hAnsi="Book Antiqua" w:cs="Arial"/>
                <w:b/>
              </w:rPr>
              <w:t xml:space="preserve"> August 2018</w:t>
            </w:r>
          </w:p>
        </w:tc>
        <w:tc>
          <w:tcPr>
            <w:tcW w:w="3960" w:type="dxa"/>
          </w:tcPr>
          <w:p w:rsidR="00D22636" w:rsidRPr="008A78F0" w:rsidRDefault="003579E0" w:rsidP="004A1848">
            <w:pPr>
              <w:jc w:val="both"/>
              <w:rPr>
                <w:rFonts w:ascii="Book Antiqua" w:hAnsi="Book Antiqua" w:cs="Arial"/>
                <w:b/>
              </w:rPr>
            </w:pPr>
            <w:r>
              <w:rPr>
                <w:rFonts w:ascii="Book Antiqua" w:hAnsi="Book Antiqua" w:cs="Arial"/>
                <w:b/>
              </w:rPr>
              <w:t>On 5</w:t>
            </w:r>
            <w:r w:rsidRPr="003579E0">
              <w:rPr>
                <w:rFonts w:ascii="Book Antiqua" w:hAnsi="Book Antiqua" w:cs="Arial"/>
                <w:b/>
                <w:vertAlign w:val="superscript"/>
              </w:rPr>
              <w:t>th</w:t>
            </w:r>
            <w:r>
              <w:rPr>
                <w:rFonts w:ascii="Book Antiqua" w:hAnsi="Book Antiqua" w:cs="Arial"/>
                <w:b/>
              </w:rPr>
              <w:t xml:space="preserve"> September 2018</w:t>
            </w:r>
          </w:p>
        </w:tc>
      </w:tr>
    </w:tbl>
    <w:p w:rsidR="00A15234" w:rsidRPr="008A78F0" w:rsidRDefault="00A15234" w:rsidP="00A15234">
      <w:pPr>
        <w:jc w:val="center"/>
        <w:rPr>
          <w:rFonts w:ascii="Book Antiqua" w:hAnsi="Book Antiqua" w:cs="Arial"/>
        </w:rPr>
      </w:pPr>
    </w:p>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6A2EAE">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Default="00D20757" w:rsidP="00A15234">
      <w:pPr>
        <w:jc w:val="center"/>
        <w:rPr>
          <w:rFonts w:ascii="Book Antiqua" w:hAnsi="Book Antiqua" w:cs="Arial"/>
          <w:b/>
        </w:rPr>
      </w:pPr>
    </w:p>
    <w:p w:rsidR="00B801AF" w:rsidRPr="008A78F0" w:rsidRDefault="00B801AF"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6A2EAE" w:rsidP="00A15234">
      <w:pPr>
        <w:jc w:val="center"/>
        <w:rPr>
          <w:rFonts w:ascii="Book Antiqua" w:hAnsi="Book Antiqua" w:cs="Arial"/>
          <w:b/>
          <w:caps/>
        </w:rPr>
      </w:pPr>
      <w:r w:rsidRPr="006A2EAE">
        <w:rPr>
          <w:rFonts w:ascii="Book Antiqua" w:hAnsi="Book Antiqua" w:cs="Arial"/>
          <w:b/>
          <w:caps/>
        </w:rPr>
        <w:t>Faheem</w:t>
      </w:r>
      <w:r>
        <w:rPr>
          <w:rFonts w:ascii="Book Antiqua" w:hAnsi="Book Antiqua" w:cs="Arial"/>
          <w:b/>
          <w:caps/>
        </w:rPr>
        <w:t xml:space="preserve"> </w:t>
      </w:r>
      <w:r w:rsidRPr="006A2EAE">
        <w:rPr>
          <w:rFonts w:ascii="Book Antiqua" w:hAnsi="Book Antiqua" w:cs="Arial"/>
          <w:b/>
          <w:caps/>
        </w:rPr>
        <w:t>Bin Rahim</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DD5071" w:rsidP="007D63BB">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B801AF">
      <w:pPr>
        <w:tabs>
          <w:tab w:val="left" w:pos="2552"/>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6A2EAE">
        <w:rPr>
          <w:rFonts w:ascii="Book Antiqua" w:hAnsi="Book Antiqua" w:cs="Arial"/>
        </w:rPr>
        <w:t xml:space="preserve">Ms J </w:t>
      </w:r>
      <w:proofErr w:type="spellStart"/>
      <w:r w:rsidR="006A2EAE">
        <w:rPr>
          <w:rFonts w:ascii="Book Antiqua" w:hAnsi="Book Antiqua" w:cs="Arial"/>
        </w:rPr>
        <w:t>Heybrook</w:t>
      </w:r>
      <w:proofErr w:type="spellEnd"/>
      <w:r w:rsidR="006A2EAE">
        <w:rPr>
          <w:rFonts w:ascii="Book Antiqua" w:hAnsi="Book Antiqua" w:cs="Arial"/>
        </w:rPr>
        <w:t xml:space="preserve"> of Counsel, instructed by Pioneer Solicitors</w:t>
      </w:r>
    </w:p>
    <w:p w:rsidR="00DE7DB7" w:rsidRPr="008A78F0" w:rsidRDefault="00DE7DB7" w:rsidP="00B801AF">
      <w:pPr>
        <w:tabs>
          <w:tab w:val="left" w:pos="2552"/>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6A2EAE">
        <w:rPr>
          <w:rFonts w:ascii="Book Antiqua" w:hAnsi="Book Antiqua" w:cs="Arial"/>
        </w:rPr>
        <w:t xml:space="preserve">Mr E </w:t>
      </w:r>
      <w:proofErr w:type="spellStart"/>
      <w:r w:rsidR="006A2EAE">
        <w:rPr>
          <w:rFonts w:ascii="Book Antiqua" w:hAnsi="Book Antiqua" w:cs="Arial"/>
        </w:rPr>
        <w:t>Tufan</w:t>
      </w:r>
      <w:proofErr w:type="spellEnd"/>
      <w:r w:rsidR="006A2EAE">
        <w:rPr>
          <w:rFonts w:ascii="Book Antiqua" w:hAnsi="Book Antiqua" w:cs="Arial"/>
        </w:rPr>
        <w:t>, Home Office Presenting Officer</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6A2EAE" w:rsidRDefault="00402B9E" w:rsidP="007D6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6A2EAE">
        <w:rPr>
          <w:rFonts w:ascii="Book Antiqua" w:hAnsi="Book Antiqua" w:cs="Arial"/>
        </w:rPr>
        <w:t xml:space="preserve">The appellant is a citizen of India seeking a residence card in confirmation of a retained right of residence as the former family member of </w:t>
      </w:r>
      <w:r w:rsidR="00B801AF">
        <w:rPr>
          <w:rFonts w:ascii="Book Antiqua" w:hAnsi="Book Antiqua" w:cs="Arial"/>
        </w:rPr>
        <w:t>[</w:t>
      </w:r>
      <w:r w:rsidR="006A2EAE">
        <w:rPr>
          <w:rFonts w:ascii="Book Antiqua" w:hAnsi="Book Antiqua" w:cs="Arial"/>
        </w:rPr>
        <w:t>LQ</w:t>
      </w:r>
      <w:r w:rsidR="00B801AF">
        <w:rPr>
          <w:rFonts w:ascii="Book Antiqua" w:hAnsi="Book Antiqua" w:cs="Arial"/>
        </w:rPr>
        <w:t xml:space="preserve">] </w:t>
      </w:r>
      <w:r w:rsidR="006A2EAE">
        <w:rPr>
          <w:rFonts w:ascii="Book Antiqua" w:hAnsi="Book Antiqua" w:cs="Arial"/>
        </w:rPr>
        <w:t>an EEA national.  By a decision dated 4</w:t>
      </w:r>
      <w:r w:rsidR="006A2EAE" w:rsidRPr="006A2EAE">
        <w:rPr>
          <w:rFonts w:ascii="Book Antiqua" w:hAnsi="Book Antiqua" w:cs="Arial"/>
          <w:vertAlign w:val="superscript"/>
        </w:rPr>
        <w:t>th</w:t>
      </w:r>
      <w:r w:rsidR="006A2EAE">
        <w:rPr>
          <w:rFonts w:ascii="Book Antiqua" w:hAnsi="Book Antiqua" w:cs="Arial"/>
        </w:rPr>
        <w:t xml:space="preserve"> January 2017 that application was refused.  </w:t>
      </w:r>
    </w:p>
    <w:p w:rsidR="00B801AF" w:rsidRDefault="00B801AF"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2.</w:t>
      </w:r>
      <w:r w:rsidRPr="008B5901">
        <w:rPr>
          <w:rFonts w:ascii="Book Antiqua" w:hAnsi="Book Antiqua" w:cs="Arial"/>
        </w:rPr>
        <w:tab/>
      </w:r>
      <w:r>
        <w:rPr>
          <w:rFonts w:ascii="Book Antiqua" w:hAnsi="Book Antiqua" w:cs="Arial"/>
        </w:rPr>
        <w:t xml:space="preserve">The refusal was in relatively </w:t>
      </w:r>
      <w:r w:rsidR="00D444BD">
        <w:rPr>
          <w:rFonts w:ascii="Book Antiqua" w:hAnsi="Book Antiqua" w:cs="Arial"/>
        </w:rPr>
        <w:t xml:space="preserve">narrow terms.  </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3.</w:t>
      </w:r>
      <w:r w:rsidRPr="008B5901">
        <w:rPr>
          <w:rFonts w:ascii="Book Antiqua" w:hAnsi="Book Antiqua" w:cs="Arial"/>
        </w:rPr>
        <w:tab/>
      </w:r>
      <w:r>
        <w:rPr>
          <w:rFonts w:ascii="Book Antiqua" w:hAnsi="Book Antiqua" w:cs="Arial"/>
        </w:rPr>
        <w:t>The appellant married on 29</w:t>
      </w:r>
      <w:r w:rsidRPr="006A2EAE">
        <w:rPr>
          <w:rFonts w:ascii="Book Antiqua" w:hAnsi="Book Antiqua" w:cs="Arial"/>
          <w:vertAlign w:val="superscript"/>
        </w:rPr>
        <w:t>th</w:t>
      </w:r>
      <w:r>
        <w:rPr>
          <w:rFonts w:ascii="Book Antiqua" w:hAnsi="Book Antiqua" w:cs="Arial"/>
        </w:rPr>
        <w:t xml:space="preserve"> March 2012 with a Decree Absolute issued on 1</w:t>
      </w:r>
      <w:r w:rsidRPr="006A2EAE">
        <w:rPr>
          <w:rFonts w:ascii="Book Antiqua" w:hAnsi="Book Antiqua" w:cs="Arial"/>
          <w:vertAlign w:val="superscript"/>
        </w:rPr>
        <w:t>st</w:t>
      </w:r>
      <w:r>
        <w:rPr>
          <w:rFonts w:ascii="Book Antiqua" w:hAnsi="Book Antiqua" w:cs="Arial"/>
        </w:rPr>
        <w:t xml:space="preserve"> June 2016.</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4.</w:t>
      </w:r>
      <w:r w:rsidRPr="008B5901">
        <w:rPr>
          <w:rFonts w:ascii="Book Antiqua" w:hAnsi="Book Antiqua" w:cs="Arial"/>
        </w:rPr>
        <w:tab/>
      </w:r>
      <w:r w:rsidR="00D444BD">
        <w:rPr>
          <w:rFonts w:ascii="Book Antiqua" w:hAnsi="Book Antiqua" w:cs="Arial"/>
        </w:rPr>
        <w:t xml:space="preserve">The respondent in </w:t>
      </w:r>
      <w:r>
        <w:rPr>
          <w:rFonts w:ascii="Book Antiqua" w:hAnsi="Book Antiqua" w:cs="Arial"/>
        </w:rPr>
        <w:t xml:space="preserve">the decision noted the various wage slips from </w:t>
      </w:r>
      <w:proofErr w:type="spellStart"/>
      <w:r>
        <w:rPr>
          <w:rFonts w:ascii="Book Antiqua" w:hAnsi="Book Antiqua" w:cs="Arial"/>
        </w:rPr>
        <w:t>Tayyibah</w:t>
      </w:r>
      <w:proofErr w:type="spellEnd"/>
      <w:r>
        <w:rPr>
          <w:rFonts w:ascii="Book Antiqua" w:hAnsi="Book Antiqua" w:cs="Arial"/>
        </w:rPr>
        <w:t xml:space="preserve"> Girls</w:t>
      </w:r>
      <w:r w:rsidR="00D41787">
        <w:rPr>
          <w:rFonts w:ascii="Book Antiqua" w:hAnsi="Book Antiqua" w:cs="Arial"/>
        </w:rPr>
        <w:t>’</w:t>
      </w:r>
      <w:r>
        <w:rPr>
          <w:rFonts w:ascii="Book Antiqua" w:hAnsi="Book Antiqua" w:cs="Arial"/>
        </w:rPr>
        <w:t xml:space="preserve"> School in respect of the former spouse covering the period of 31</w:t>
      </w:r>
      <w:r w:rsidRPr="006A2EAE">
        <w:rPr>
          <w:rFonts w:ascii="Book Antiqua" w:hAnsi="Book Antiqua" w:cs="Arial"/>
          <w:vertAlign w:val="superscript"/>
        </w:rPr>
        <w:t>st</w:t>
      </w:r>
      <w:r>
        <w:rPr>
          <w:rFonts w:ascii="Book Antiqua" w:hAnsi="Book Antiqua" w:cs="Arial"/>
        </w:rPr>
        <w:t xml:space="preserve"> July 2013 to 31</w:t>
      </w:r>
      <w:r w:rsidRPr="006A2EAE">
        <w:rPr>
          <w:rFonts w:ascii="Book Antiqua" w:hAnsi="Book Antiqua" w:cs="Arial"/>
          <w:vertAlign w:val="superscript"/>
        </w:rPr>
        <w:t>st</w:t>
      </w:r>
      <w:r>
        <w:rPr>
          <w:rFonts w:ascii="Book Antiqua" w:hAnsi="Book Antiqua" w:cs="Arial"/>
        </w:rPr>
        <w:t xml:space="preserve"> May 2014.  Contact with the employer elicited the reply that the former spouse had left employment on 16</w:t>
      </w:r>
      <w:r w:rsidRPr="006A2EAE">
        <w:rPr>
          <w:rFonts w:ascii="Book Antiqua" w:hAnsi="Book Antiqua" w:cs="Arial"/>
          <w:vertAlign w:val="superscript"/>
        </w:rPr>
        <w:t>th</w:t>
      </w:r>
      <w:r>
        <w:rPr>
          <w:rFonts w:ascii="Book Antiqua" w:hAnsi="Book Antiqua" w:cs="Arial"/>
        </w:rPr>
        <w:t xml:space="preserve"> March 2016.</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5.</w:t>
      </w:r>
      <w:r w:rsidRPr="008B5901">
        <w:rPr>
          <w:rFonts w:ascii="Book Antiqua" w:hAnsi="Book Antiqua" w:cs="Arial"/>
        </w:rPr>
        <w:tab/>
      </w:r>
      <w:r>
        <w:rPr>
          <w:rFonts w:ascii="Book Antiqua" w:hAnsi="Book Antiqua" w:cs="Arial"/>
        </w:rPr>
        <w:t>There was nothing however to indicate that the spouse was exercising EEA treaty rights as at the date of 1</w:t>
      </w:r>
      <w:r w:rsidRPr="006A2EAE">
        <w:rPr>
          <w:rFonts w:ascii="Book Antiqua" w:hAnsi="Book Antiqua" w:cs="Arial"/>
          <w:vertAlign w:val="superscript"/>
        </w:rPr>
        <w:t>st</w:t>
      </w:r>
      <w:r>
        <w:rPr>
          <w:rFonts w:ascii="Book Antiqua" w:hAnsi="Book Antiqua" w:cs="Arial"/>
        </w:rPr>
        <w:t xml:space="preserve"> June 2016 and on that basis permission was refused.  </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6.</w:t>
      </w:r>
      <w:r w:rsidRPr="008B5901">
        <w:rPr>
          <w:rFonts w:ascii="Book Antiqua" w:hAnsi="Book Antiqua" w:cs="Arial"/>
        </w:rPr>
        <w:tab/>
      </w:r>
      <w:r>
        <w:rPr>
          <w:rFonts w:ascii="Book Antiqua" w:hAnsi="Book Antiqua" w:cs="Arial"/>
        </w:rPr>
        <w:t>The appellant sought to appeal against that decision</w:t>
      </w:r>
      <w:r w:rsidR="00D444BD">
        <w:rPr>
          <w:rFonts w:ascii="Book Antiqua" w:hAnsi="Book Antiqua" w:cs="Arial"/>
        </w:rPr>
        <w:t>,</w:t>
      </w:r>
      <w:r>
        <w:rPr>
          <w:rFonts w:ascii="Book Antiqua" w:hAnsi="Book Antiqua" w:cs="Arial"/>
        </w:rPr>
        <w:t xml:space="preserve"> which appeal </w:t>
      </w:r>
      <w:r w:rsidR="00171B7C">
        <w:rPr>
          <w:rFonts w:ascii="Book Antiqua" w:hAnsi="Book Antiqua" w:cs="Arial"/>
        </w:rPr>
        <w:t xml:space="preserve">came </w:t>
      </w:r>
      <w:r>
        <w:rPr>
          <w:rFonts w:ascii="Book Antiqua" w:hAnsi="Book Antiqua" w:cs="Arial"/>
        </w:rPr>
        <w:t>before First-tier Tribunal Judge Callow on 20</w:t>
      </w:r>
      <w:r w:rsidRPr="006A2EAE">
        <w:rPr>
          <w:rFonts w:ascii="Book Antiqua" w:hAnsi="Book Antiqua" w:cs="Arial"/>
          <w:vertAlign w:val="superscript"/>
        </w:rPr>
        <w:t>th</w:t>
      </w:r>
      <w:r>
        <w:rPr>
          <w:rFonts w:ascii="Book Antiqua" w:hAnsi="Book Antiqua" w:cs="Arial"/>
        </w:rPr>
        <w:t xml:space="preserve"> March 2018.  In the determination promulgated on 9</w:t>
      </w:r>
      <w:r w:rsidRPr="006A2EAE">
        <w:rPr>
          <w:rFonts w:ascii="Book Antiqua" w:hAnsi="Book Antiqua" w:cs="Arial"/>
          <w:vertAlign w:val="superscript"/>
        </w:rPr>
        <w:t>th</w:t>
      </w:r>
      <w:r>
        <w:rPr>
          <w:rFonts w:ascii="Book Antiqua" w:hAnsi="Book Antiqua" w:cs="Arial"/>
        </w:rPr>
        <w:t xml:space="preserve"> May 2018 the appeal was dismissed.</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7.</w:t>
      </w:r>
      <w:r w:rsidRPr="008B5901">
        <w:rPr>
          <w:rFonts w:ascii="Book Antiqua" w:hAnsi="Book Antiqua" w:cs="Arial"/>
        </w:rPr>
        <w:tab/>
      </w:r>
      <w:r>
        <w:rPr>
          <w:rFonts w:ascii="Book Antiqua" w:hAnsi="Book Antiqua" w:cs="Arial"/>
        </w:rPr>
        <w:t>In summary various documents were presented to show that the sponsor was exercising treaty right</w:t>
      </w:r>
      <w:r w:rsidR="00A36462">
        <w:rPr>
          <w:rFonts w:ascii="Book Antiqua" w:hAnsi="Book Antiqua" w:cs="Arial"/>
        </w:rPr>
        <w:t>s at the date of divorce.  The J</w:t>
      </w:r>
      <w:r>
        <w:rPr>
          <w:rFonts w:ascii="Book Antiqua" w:hAnsi="Book Antiqua" w:cs="Arial"/>
        </w:rPr>
        <w:t xml:space="preserve">udge however applied the principle in </w:t>
      </w:r>
      <w:r w:rsidRPr="0035133A">
        <w:rPr>
          <w:rFonts w:ascii="Book Antiqua" w:hAnsi="Book Antiqua" w:cs="Arial"/>
          <w:b/>
          <w:u w:val="single"/>
        </w:rPr>
        <w:t>Tanveer Ahmed</w:t>
      </w:r>
      <w:r>
        <w:rPr>
          <w:rFonts w:ascii="Book Antiqua" w:hAnsi="Book Antiqua" w:cs="Arial"/>
        </w:rPr>
        <w:t xml:space="preserve"> and determined that little weight could be attached to such documents and accordingly the decision of the respondent was upheld.  </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8.</w:t>
      </w:r>
      <w:r w:rsidRPr="008B5901">
        <w:rPr>
          <w:rFonts w:ascii="Book Antiqua" w:hAnsi="Book Antiqua" w:cs="Arial"/>
        </w:rPr>
        <w:tab/>
      </w:r>
      <w:r>
        <w:rPr>
          <w:rFonts w:ascii="Book Antiqua" w:hAnsi="Book Antiqua" w:cs="Arial"/>
        </w:rPr>
        <w:t>Challenge was made to the decision on the basis of the approach taken by the Judge.</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9.</w:t>
      </w:r>
      <w:r w:rsidRPr="008B5901">
        <w:rPr>
          <w:rFonts w:ascii="Book Antiqua" w:hAnsi="Book Antiqua" w:cs="Arial"/>
        </w:rPr>
        <w:tab/>
      </w:r>
      <w:proofErr w:type="gramStart"/>
      <w:r>
        <w:rPr>
          <w:rFonts w:ascii="Book Antiqua" w:hAnsi="Book Antiqua" w:cs="Arial"/>
        </w:rPr>
        <w:t>However</w:t>
      </w:r>
      <w:proofErr w:type="gramEnd"/>
      <w:r>
        <w:rPr>
          <w:rFonts w:ascii="Book Antiqua" w:hAnsi="Book Antiqua" w:cs="Arial"/>
        </w:rPr>
        <w:t xml:space="preserve"> it is clear that </w:t>
      </w:r>
      <w:r w:rsidR="00D444BD">
        <w:rPr>
          <w:rFonts w:ascii="Book Antiqua" w:hAnsi="Book Antiqua" w:cs="Arial"/>
        </w:rPr>
        <w:t>this</w:t>
      </w:r>
      <w:r w:rsidR="000C2E6A">
        <w:rPr>
          <w:rFonts w:ascii="Book Antiqua" w:hAnsi="Book Antiqua" w:cs="Arial"/>
        </w:rPr>
        <w:t xml:space="preserve"> is a decision overtaken by legal events</w:t>
      </w:r>
      <w:r w:rsidR="00D444BD">
        <w:rPr>
          <w:rFonts w:ascii="Book Antiqua" w:hAnsi="Book Antiqua" w:cs="Arial"/>
        </w:rPr>
        <w:t>,</w:t>
      </w:r>
      <w:r w:rsidR="000C2E6A">
        <w:rPr>
          <w:rFonts w:ascii="Book Antiqua" w:hAnsi="Book Antiqua" w:cs="Arial"/>
        </w:rPr>
        <w:t xml:space="preserve"> in particular the decision in </w:t>
      </w:r>
      <w:proofErr w:type="spellStart"/>
      <w:r w:rsidR="000C2E6A" w:rsidRPr="00EC22E4">
        <w:rPr>
          <w:rFonts w:ascii="Book Antiqua" w:hAnsi="Book Antiqua" w:cs="Arial"/>
          <w:b/>
          <w:u w:val="single"/>
        </w:rPr>
        <w:t>Baigazieva</w:t>
      </w:r>
      <w:proofErr w:type="spellEnd"/>
      <w:r w:rsidR="000C2E6A" w:rsidRPr="00EC22E4">
        <w:rPr>
          <w:rFonts w:ascii="Book Antiqua" w:hAnsi="Book Antiqua" w:cs="Arial"/>
          <w:b/>
          <w:u w:val="single"/>
        </w:rPr>
        <w:t xml:space="preserve"> v SSHD</w:t>
      </w:r>
      <w:r w:rsidR="000C2E6A" w:rsidRPr="00EC22E4">
        <w:rPr>
          <w:rFonts w:ascii="Book Antiqua" w:hAnsi="Book Antiqua" w:cs="Arial"/>
          <w:b/>
        </w:rPr>
        <w:t xml:space="preserve"> [2018] EWCA </w:t>
      </w:r>
      <w:proofErr w:type="spellStart"/>
      <w:r w:rsidR="000C2E6A" w:rsidRPr="00EC22E4">
        <w:rPr>
          <w:rFonts w:ascii="Book Antiqua" w:hAnsi="Book Antiqua" w:cs="Arial"/>
          <w:b/>
        </w:rPr>
        <w:t>Civ</w:t>
      </w:r>
      <w:proofErr w:type="spellEnd"/>
      <w:r w:rsidR="000C2E6A" w:rsidRPr="00EC22E4">
        <w:rPr>
          <w:rFonts w:ascii="Book Antiqua" w:hAnsi="Book Antiqua" w:cs="Arial"/>
          <w:b/>
        </w:rPr>
        <w:t xml:space="preserve"> 1088</w:t>
      </w:r>
      <w:r w:rsidR="00D444BD">
        <w:rPr>
          <w:rFonts w:ascii="Book Antiqua" w:hAnsi="Book Antiqua" w:cs="Arial"/>
          <w:b/>
        </w:rPr>
        <w:t>.   Such</w:t>
      </w:r>
      <w:r w:rsidR="000C2E6A">
        <w:rPr>
          <w:rFonts w:ascii="Book Antiqua" w:hAnsi="Book Antiqua" w:cs="Arial"/>
        </w:rPr>
        <w:t xml:space="preserve"> indicates that for the purposes of the relevant Regulation under the EEA Regulations the determining time to consider whether a sponsor was exercising EEA treaty rights is at that the date of the institution of divorce proceedings rather than at the completion of those proceedings.  As such the interpretation has now been refle</w:t>
      </w:r>
      <w:r w:rsidR="00D444BD">
        <w:rPr>
          <w:rFonts w:ascii="Book Antiqua" w:hAnsi="Book Antiqua" w:cs="Arial"/>
        </w:rPr>
        <w:t>cted in the most recent version</w:t>
      </w:r>
      <w:r w:rsidR="000C2E6A">
        <w:rPr>
          <w:rFonts w:ascii="Book Antiqua" w:hAnsi="Book Antiqua" w:cs="Arial"/>
        </w:rPr>
        <w:t xml:space="preserve"> of Regulation 10 of the Immigration (European Economic Area) Regulations 2016 as presented in 2018.</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10.</w:t>
      </w:r>
      <w:r w:rsidRPr="008B5901">
        <w:rPr>
          <w:rFonts w:ascii="Book Antiqua" w:hAnsi="Book Antiqua" w:cs="Arial"/>
        </w:rPr>
        <w:tab/>
      </w:r>
      <w:r w:rsidR="000C2E6A">
        <w:rPr>
          <w:rFonts w:ascii="Book Antiqua" w:hAnsi="Book Antiqua" w:cs="Arial"/>
        </w:rPr>
        <w:t xml:space="preserve">It was accepted therefore </w:t>
      </w:r>
      <w:r w:rsidR="005D33F3">
        <w:rPr>
          <w:rFonts w:ascii="Book Antiqua" w:hAnsi="Book Antiqua" w:cs="Arial"/>
        </w:rPr>
        <w:t>that the approach taken by the J</w:t>
      </w:r>
      <w:r w:rsidR="000C2E6A">
        <w:rPr>
          <w:rFonts w:ascii="Book Antiqua" w:hAnsi="Book Antiqua" w:cs="Arial"/>
        </w:rPr>
        <w:t>udge to the calculation of the former spouse</w:t>
      </w:r>
      <w:r w:rsidR="008655B8">
        <w:rPr>
          <w:rFonts w:ascii="Book Antiqua" w:hAnsi="Book Antiqua" w:cs="Arial"/>
        </w:rPr>
        <w:t>’</w:t>
      </w:r>
      <w:r w:rsidR="000C2E6A">
        <w:rPr>
          <w:rFonts w:ascii="Book Antiqua" w:hAnsi="Book Antiqua" w:cs="Arial"/>
        </w:rPr>
        <w:t xml:space="preserve">s exercise of treaty rights is fundamentally flawed such that the decision be set aside.  </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11.</w:t>
      </w:r>
      <w:r w:rsidRPr="008B5901">
        <w:rPr>
          <w:rFonts w:ascii="Book Antiqua" w:hAnsi="Book Antiqua" w:cs="Arial"/>
        </w:rPr>
        <w:tab/>
      </w:r>
      <w:r w:rsidR="000C2E6A">
        <w:rPr>
          <w:rFonts w:ascii="Book Antiqua" w:hAnsi="Book Antiqua" w:cs="Arial"/>
        </w:rPr>
        <w:t xml:space="preserve">What requires to be established for the grant of retained rights is for the former spouse to have been exercising treaty rights until the institution of divorce proceedings.  </w:t>
      </w:r>
      <w:r w:rsidR="00D444BD">
        <w:rPr>
          <w:rFonts w:ascii="Book Antiqua" w:hAnsi="Book Antiqua" w:cs="Arial"/>
        </w:rPr>
        <w:t xml:space="preserve"> No c</w:t>
      </w:r>
      <w:r w:rsidR="000C2E6A">
        <w:rPr>
          <w:rFonts w:ascii="Book Antiqua" w:hAnsi="Book Antiqua" w:cs="Arial"/>
        </w:rPr>
        <w:t>ha</w:t>
      </w:r>
      <w:r w:rsidR="00D444BD">
        <w:rPr>
          <w:rFonts w:ascii="Book Antiqua" w:hAnsi="Book Antiqua" w:cs="Arial"/>
        </w:rPr>
        <w:t xml:space="preserve">llenge is made </w:t>
      </w:r>
      <w:r w:rsidR="000C2E6A">
        <w:rPr>
          <w:rFonts w:ascii="Book Antiqua" w:hAnsi="Book Antiqua" w:cs="Arial"/>
        </w:rPr>
        <w:t xml:space="preserve">by the respondent to any of the other requirements.  It is a narrow point which falls to be determined.  There are no challenges taken in the refusal letter to the fact that the former spouse was exercising treaty rights by working at the </w:t>
      </w:r>
      <w:proofErr w:type="spellStart"/>
      <w:r w:rsidR="000C2E6A">
        <w:rPr>
          <w:rFonts w:ascii="Book Antiqua" w:hAnsi="Book Antiqua" w:cs="Arial"/>
        </w:rPr>
        <w:t>Tayyibah</w:t>
      </w:r>
      <w:proofErr w:type="spellEnd"/>
      <w:r w:rsidR="000C2E6A">
        <w:rPr>
          <w:rFonts w:ascii="Book Antiqua" w:hAnsi="Book Antiqua" w:cs="Arial"/>
        </w:rPr>
        <w:t xml:space="preserve"> Girls</w:t>
      </w:r>
      <w:r w:rsidR="003C0F8E">
        <w:rPr>
          <w:rFonts w:ascii="Book Antiqua" w:hAnsi="Book Antiqua" w:cs="Arial"/>
        </w:rPr>
        <w:t>’</w:t>
      </w:r>
      <w:r w:rsidR="000C2E6A">
        <w:rPr>
          <w:rFonts w:ascii="Book Antiqua" w:hAnsi="Book Antiqua" w:cs="Arial"/>
        </w:rPr>
        <w:t xml:space="preserve"> School from 31</w:t>
      </w:r>
      <w:r w:rsidR="000C2E6A" w:rsidRPr="000C2E6A">
        <w:rPr>
          <w:rFonts w:ascii="Book Antiqua" w:hAnsi="Book Antiqua" w:cs="Arial"/>
          <w:vertAlign w:val="superscript"/>
        </w:rPr>
        <w:t>st</w:t>
      </w:r>
      <w:r w:rsidR="000C2E6A">
        <w:rPr>
          <w:rFonts w:ascii="Book Antiqua" w:hAnsi="Book Antiqua" w:cs="Arial"/>
        </w:rPr>
        <w:t xml:space="preserve"> July 2013 to 16</w:t>
      </w:r>
      <w:r w:rsidR="000C2E6A" w:rsidRPr="000C2E6A">
        <w:rPr>
          <w:rFonts w:ascii="Book Antiqua" w:hAnsi="Book Antiqua" w:cs="Arial"/>
          <w:vertAlign w:val="superscript"/>
        </w:rPr>
        <w:t>th</w:t>
      </w:r>
      <w:r w:rsidR="000C2E6A">
        <w:rPr>
          <w:rFonts w:ascii="Book Antiqua" w:hAnsi="Book Antiqua" w:cs="Arial"/>
        </w:rPr>
        <w:t xml:space="preserve"> March 2016.  Mr </w:t>
      </w:r>
      <w:proofErr w:type="spellStart"/>
      <w:r w:rsidR="000C2E6A">
        <w:rPr>
          <w:rFonts w:ascii="Book Antiqua" w:hAnsi="Book Antiqua" w:cs="Arial"/>
        </w:rPr>
        <w:t>Tufan</w:t>
      </w:r>
      <w:proofErr w:type="spellEnd"/>
      <w:r w:rsidR="000C2E6A">
        <w:rPr>
          <w:rFonts w:ascii="Book Antiqua" w:hAnsi="Book Antiqua" w:cs="Arial"/>
        </w:rPr>
        <w:t xml:space="preserve"> points out that there is little by way of wage slips for the period after 31</w:t>
      </w:r>
      <w:r w:rsidR="000C2E6A" w:rsidRPr="000C2E6A">
        <w:rPr>
          <w:rFonts w:ascii="Book Antiqua" w:hAnsi="Book Antiqua" w:cs="Arial"/>
          <w:vertAlign w:val="superscript"/>
        </w:rPr>
        <w:t>st</w:t>
      </w:r>
      <w:r w:rsidR="000C2E6A">
        <w:rPr>
          <w:rFonts w:ascii="Book Antiqua" w:hAnsi="Book Antiqua" w:cs="Arial"/>
        </w:rPr>
        <w:t xml:space="preserve"> May 2014.  That may be so bu</w:t>
      </w:r>
      <w:r w:rsidR="00D444BD">
        <w:rPr>
          <w:rFonts w:ascii="Book Antiqua" w:hAnsi="Book Antiqua" w:cs="Arial"/>
        </w:rPr>
        <w:t>t no challenge has been made in</w:t>
      </w:r>
      <w:r w:rsidR="00B801AF">
        <w:rPr>
          <w:rFonts w:ascii="Book Antiqua" w:hAnsi="Book Antiqua" w:cs="Arial"/>
        </w:rPr>
        <w:t xml:space="preserve"> </w:t>
      </w:r>
      <w:r w:rsidR="000C2E6A">
        <w:rPr>
          <w:rFonts w:ascii="Book Antiqua" w:hAnsi="Book Antiqua" w:cs="Arial"/>
        </w:rPr>
        <w:t xml:space="preserve">the reasons for refusal on that basis.  </w:t>
      </w:r>
      <w:proofErr w:type="gramStart"/>
      <w:r w:rsidR="000C2E6A">
        <w:rPr>
          <w:rFonts w:ascii="Book Antiqua" w:hAnsi="Book Antiqua" w:cs="Arial"/>
        </w:rPr>
        <w:t>Indeed</w:t>
      </w:r>
      <w:proofErr w:type="gramEnd"/>
      <w:r w:rsidR="000C2E6A">
        <w:rPr>
          <w:rFonts w:ascii="Book Antiqua" w:hAnsi="Book Antiqua" w:cs="Arial"/>
        </w:rPr>
        <w:t xml:space="preserve"> the e-mail from the girls’ school has been produced confirming that the appellant’s former wife worked at the school and left on 16</w:t>
      </w:r>
      <w:r w:rsidR="000C2E6A" w:rsidRPr="000C2E6A">
        <w:rPr>
          <w:rFonts w:ascii="Book Antiqua" w:hAnsi="Book Antiqua" w:cs="Arial"/>
          <w:vertAlign w:val="superscript"/>
        </w:rPr>
        <w:t>th</w:t>
      </w:r>
      <w:r w:rsidR="000C2E6A">
        <w:rPr>
          <w:rFonts w:ascii="Book Antiqua" w:hAnsi="Book Antiqua" w:cs="Arial"/>
        </w:rPr>
        <w:t xml:space="preserve"> March 2016.  I think it is reasonable to conclude on the balance of probabilities therefore that she worked for the requisite period.  </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lastRenderedPageBreak/>
        <w:t>12.</w:t>
      </w:r>
      <w:r w:rsidRPr="008B5901">
        <w:rPr>
          <w:rFonts w:ascii="Book Antiqua" w:hAnsi="Book Antiqua" w:cs="Arial"/>
        </w:rPr>
        <w:tab/>
      </w:r>
      <w:r w:rsidR="007D63BB">
        <w:rPr>
          <w:rFonts w:ascii="Book Antiqua" w:hAnsi="Book Antiqua" w:cs="Arial"/>
        </w:rPr>
        <w:t>Divorce proceedings were in fact instituted on 20</w:t>
      </w:r>
      <w:r w:rsidR="007D63BB" w:rsidRPr="007D63BB">
        <w:rPr>
          <w:rFonts w:ascii="Book Antiqua" w:hAnsi="Book Antiqua" w:cs="Arial"/>
          <w:vertAlign w:val="superscript"/>
        </w:rPr>
        <w:t>th</w:t>
      </w:r>
      <w:r w:rsidR="007D63BB">
        <w:rPr>
          <w:rFonts w:ascii="Book Antiqua" w:hAnsi="Book Antiqua" w:cs="Arial"/>
        </w:rPr>
        <w:t xml:space="preserve"> </w:t>
      </w:r>
      <w:r w:rsidR="00F73813">
        <w:rPr>
          <w:rFonts w:ascii="Book Antiqua" w:hAnsi="Book Antiqua" w:cs="Arial"/>
        </w:rPr>
        <w:t>January 2016 at the Bury St Edmu</w:t>
      </w:r>
      <w:r w:rsidR="007D63BB">
        <w:rPr>
          <w:rFonts w:ascii="Book Antiqua" w:hAnsi="Book Antiqua" w:cs="Arial"/>
        </w:rPr>
        <w:t>nds Divorce Unit and those proceedings were formally issued out of that unit on 27</w:t>
      </w:r>
      <w:r w:rsidR="007D63BB" w:rsidRPr="007D63BB">
        <w:rPr>
          <w:rFonts w:ascii="Book Antiqua" w:hAnsi="Book Antiqua" w:cs="Arial"/>
          <w:vertAlign w:val="superscript"/>
        </w:rPr>
        <w:t>th</w:t>
      </w:r>
      <w:r w:rsidR="007D63BB">
        <w:rPr>
          <w:rFonts w:ascii="Book Antiqua" w:hAnsi="Book Antiqua" w:cs="Arial"/>
        </w:rPr>
        <w:t xml:space="preserve"> January 2016.  </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13.</w:t>
      </w:r>
      <w:r w:rsidRPr="008B5901">
        <w:rPr>
          <w:rFonts w:ascii="Book Antiqua" w:hAnsi="Book Antiqua" w:cs="Arial"/>
        </w:rPr>
        <w:tab/>
      </w:r>
      <w:r w:rsidR="007D63BB">
        <w:rPr>
          <w:rFonts w:ascii="Book Antiqua" w:hAnsi="Book Antiqua" w:cs="Arial"/>
        </w:rPr>
        <w:t xml:space="preserve">In those circumstances it is abundantly clear that the appellant’s former spouse was exercising treaty rights as at the time of divorce proceedings being instituted.  </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14.</w:t>
      </w:r>
      <w:r w:rsidRPr="008B5901">
        <w:rPr>
          <w:rFonts w:ascii="Book Antiqua" w:hAnsi="Book Antiqua" w:cs="Arial"/>
        </w:rPr>
        <w:tab/>
      </w:r>
      <w:proofErr w:type="gramStart"/>
      <w:r w:rsidR="007D63BB">
        <w:rPr>
          <w:rFonts w:ascii="Book Antiqua" w:hAnsi="Book Antiqua" w:cs="Arial"/>
        </w:rPr>
        <w:t>Therefore</w:t>
      </w:r>
      <w:proofErr w:type="gramEnd"/>
      <w:r w:rsidR="007D63BB">
        <w:rPr>
          <w:rFonts w:ascii="Book Antiqua" w:hAnsi="Book Antiqua" w:cs="Arial"/>
        </w:rPr>
        <w:t xml:space="preserve"> the appellant satisfies that particular requirement of the Regulations.  As I have indicated no issues taken as to any other requirement that needs to be satisfied.  It is accepted that all other requirements are satisfied.</w:t>
      </w:r>
    </w:p>
    <w:p w:rsidR="006A2EAE" w:rsidRPr="008B5901" w:rsidRDefault="006A2EAE" w:rsidP="006A2EAE">
      <w:pPr>
        <w:tabs>
          <w:tab w:val="left" w:pos="567"/>
        </w:tabs>
        <w:ind w:left="567" w:hanging="567"/>
        <w:jc w:val="both"/>
        <w:rPr>
          <w:rFonts w:ascii="Book Antiqua" w:hAnsi="Book Antiqua" w:cs="Arial"/>
        </w:rPr>
      </w:pPr>
    </w:p>
    <w:p w:rsidR="006A2EAE" w:rsidRPr="008B5901" w:rsidRDefault="006A2EAE" w:rsidP="006A2EAE">
      <w:pPr>
        <w:tabs>
          <w:tab w:val="left" w:pos="567"/>
        </w:tabs>
        <w:ind w:left="567" w:hanging="567"/>
        <w:jc w:val="both"/>
        <w:rPr>
          <w:rFonts w:ascii="Book Antiqua" w:hAnsi="Book Antiqua" w:cs="Arial"/>
        </w:rPr>
      </w:pPr>
      <w:r w:rsidRPr="008B5901">
        <w:rPr>
          <w:rFonts w:ascii="Book Antiqua" w:hAnsi="Book Antiqua" w:cs="Arial"/>
        </w:rPr>
        <w:t>15.</w:t>
      </w:r>
      <w:r w:rsidRPr="008B5901">
        <w:rPr>
          <w:rFonts w:ascii="Book Antiqua" w:hAnsi="Book Antiqua" w:cs="Arial"/>
        </w:rPr>
        <w:tab/>
      </w:r>
      <w:r w:rsidR="007D63BB">
        <w:rPr>
          <w:rFonts w:ascii="Book Antiqua" w:hAnsi="Book Antiqua" w:cs="Arial"/>
        </w:rPr>
        <w:t xml:space="preserve">In those circumstances </w:t>
      </w:r>
      <w:proofErr w:type="gramStart"/>
      <w:r w:rsidR="007D63BB">
        <w:rPr>
          <w:rFonts w:ascii="Book Antiqua" w:hAnsi="Book Antiqua" w:cs="Arial"/>
        </w:rPr>
        <w:t>therefore</w:t>
      </w:r>
      <w:proofErr w:type="gramEnd"/>
      <w:r w:rsidR="007D63BB">
        <w:rPr>
          <w:rFonts w:ascii="Book Antiqua" w:hAnsi="Book Antiqua" w:cs="Arial"/>
        </w:rPr>
        <w:t xml:space="preserve"> I find that the appellant does meet the Regulations as now current</w:t>
      </w:r>
      <w:r w:rsidR="00D444BD">
        <w:rPr>
          <w:rFonts w:ascii="Book Antiqua" w:hAnsi="Book Antiqua" w:cs="Arial"/>
        </w:rPr>
        <w:t>. T</w:t>
      </w:r>
      <w:r w:rsidR="007D63BB">
        <w:rPr>
          <w:rFonts w:ascii="Book Antiqua" w:hAnsi="Book Antiqua" w:cs="Arial"/>
        </w:rPr>
        <w:t>he appeal is allowed such that the requisite residence card be issued.</w:t>
      </w:r>
    </w:p>
    <w:p w:rsidR="006A2EAE" w:rsidRPr="008B5901" w:rsidRDefault="006A2EAE" w:rsidP="006A2EAE">
      <w:pPr>
        <w:tabs>
          <w:tab w:val="left" w:pos="567"/>
        </w:tabs>
        <w:ind w:left="567" w:hanging="567"/>
        <w:jc w:val="both"/>
        <w:rPr>
          <w:rFonts w:ascii="Book Antiqua" w:hAnsi="Book Antiqua" w:cs="Arial"/>
        </w:rPr>
      </w:pPr>
    </w:p>
    <w:p w:rsidR="00180E36" w:rsidRPr="00687601" w:rsidRDefault="00180E36" w:rsidP="00180E36">
      <w:pPr>
        <w:jc w:val="both"/>
        <w:rPr>
          <w:rFonts w:ascii="Book Antiqua" w:hAnsi="Book Antiqua" w:cs="Arial"/>
        </w:rPr>
      </w:pPr>
      <w:r w:rsidRPr="00180E36">
        <w:rPr>
          <w:rFonts w:ascii="Book Antiqua" w:hAnsi="Book Antiqua" w:cs="Arial"/>
        </w:rPr>
        <w:t>No anonymity direction is made.</w:t>
      </w:r>
    </w:p>
    <w:p w:rsidR="00180E36" w:rsidRDefault="00180E36" w:rsidP="00780F86">
      <w:pPr>
        <w:ind w:left="540" w:hanging="540"/>
        <w:jc w:val="both"/>
        <w:rPr>
          <w:rFonts w:ascii="Book Antiqua" w:hAnsi="Book Antiqua" w:cs="Arial"/>
        </w:rPr>
      </w:pPr>
    </w:p>
    <w:p w:rsidR="00B801AF" w:rsidRPr="008A78F0" w:rsidRDefault="00B801AF"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B801AF">
        <w:rPr>
          <w:rFonts w:ascii="Book Antiqua" w:hAnsi="Book Antiqua" w:cs="Arial"/>
          <w:noProof/>
        </w:rPr>
        <w:drawing>
          <wp:inline distT="0" distB="0" distL="0" distR="0" wp14:anchorId="775301D0" wp14:editId="46798B76">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D444BD">
        <w:rPr>
          <w:rFonts w:ascii="Book Antiqua" w:hAnsi="Book Antiqua" w:cs="Arial"/>
        </w:rPr>
        <w:t xml:space="preserve"> 30 August 2018</w:t>
      </w: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180E36" w:rsidRDefault="00180E36" w:rsidP="00B266BA">
      <w:pPr>
        <w:tabs>
          <w:tab w:val="left" w:pos="2520"/>
        </w:tabs>
        <w:ind w:left="540" w:hanging="540"/>
        <w:jc w:val="both"/>
        <w:rPr>
          <w:rFonts w:ascii="Book Antiqua" w:hAnsi="Book Antiqua" w:cs="Arial"/>
          <w:color w:val="000000"/>
        </w:rPr>
      </w:pPr>
    </w:p>
    <w:p w:rsidR="00180E36" w:rsidRDefault="00180E36" w:rsidP="00B266BA">
      <w:pPr>
        <w:tabs>
          <w:tab w:val="left" w:pos="2520"/>
        </w:tabs>
        <w:ind w:left="540" w:hanging="540"/>
        <w:jc w:val="both"/>
        <w:rPr>
          <w:rFonts w:ascii="Book Antiqua" w:hAnsi="Book Antiqua" w:cs="Arial"/>
          <w:color w:val="000000"/>
        </w:rPr>
      </w:pPr>
    </w:p>
    <w:p w:rsidR="00B95326" w:rsidRPr="008A78F0" w:rsidRDefault="00B95326" w:rsidP="00402B9E">
      <w:pPr>
        <w:tabs>
          <w:tab w:val="left" w:pos="2520"/>
        </w:tabs>
        <w:ind w:left="540" w:hanging="540"/>
        <w:jc w:val="both"/>
        <w:rPr>
          <w:rFonts w:ascii="Book Antiqua" w:hAnsi="Book Antiqua" w:cs="Arial"/>
        </w:rPr>
      </w:pPr>
    </w:p>
    <w:sectPr w:rsidR="00B95326" w:rsidRPr="008A78F0"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EAE" w:rsidRDefault="006A2EAE">
      <w:r>
        <w:separator/>
      </w:r>
    </w:p>
  </w:endnote>
  <w:endnote w:type="continuationSeparator" w:id="0">
    <w:p w:rsidR="006A2EAE" w:rsidRDefault="006A2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5337E2">
      <w:rPr>
        <w:rStyle w:val="PageNumber"/>
        <w:rFonts w:ascii="Book Antiqua" w:hAnsi="Book Antiqua" w:cs="Arial"/>
        <w:noProof/>
        <w:sz w:val="16"/>
        <w:szCs w:val="16"/>
      </w:rPr>
      <w:t>3</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EAE" w:rsidRDefault="006A2EAE">
      <w:r>
        <w:separator/>
      </w:r>
    </w:p>
  </w:footnote>
  <w:footnote w:type="continuationSeparator" w:id="0">
    <w:p w:rsidR="006A2EAE" w:rsidRDefault="006A2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6A2EAE">
      <w:rPr>
        <w:rFonts w:ascii="Book Antiqua" w:hAnsi="Book Antiqua" w:cs="Arial"/>
        <w:sz w:val="16"/>
        <w:szCs w:val="16"/>
      </w:rPr>
      <w:t>EA/00582/2017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AE"/>
    <w:rsid w:val="00000621"/>
    <w:rsid w:val="000036C2"/>
    <w:rsid w:val="00032F2C"/>
    <w:rsid w:val="00033D3D"/>
    <w:rsid w:val="00034FE2"/>
    <w:rsid w:val="00062F02"/>
    <w:rsid w:val="00071A7E"/>
    <w:rsid w:val="00071E09"/>
    <w:rsid w:val="000746C0"/>
    <w:rsid w:val="00074D1D"/>
    <w:rsid w:val="00092580"/>
    <w:rsid w:val="00093D4D"/>
    <w:rsid w:val="000970A9"/>
    <w:rsid w:val="0009735F"/>
    <w:rsid w:val="000C2E6A"/>
    <w:rsid w:val="000D5D94"/>
    <w:rsid w:val="000F1A0E"/>
    <w:rsid w:val="001165A7"/>
    <w:rsid w:val="00167D3A"/>
    <w:rsid w:val="00171B7C"/>
    <w:rsid w:val="00180E36"/>
    <w:rsid w:val="0019650B"/>
    <w:rsid w:val="001A3082"/>
    <w:rsid w:val="001B186A"/>
    <w:rsid w:val="001B2F75"/>
    <w:rsid w:val="001C5B01"/>
    <w:rsid w:val="001D08E9"/>
    <w:rsid w:val="001F2716"/>
    <w:rsid w:val="00207617"/>
    <w:rsid w:val="0023134B"/>
    <w:rsid w:val="002343F3"/>
    <w:rsid w:val="00283659"/>
    <w:rsid w:val="002A42F8"/>
    <w:rsid w:val="002C6BD4"/>
    <w:rsid w:val="002D68BF"/>
    <w:rsid w:val="002F6B98"/>
    <w:rsid w:val="002F7832"/>
    <w:rsid w:val="0032095D"/>
    <w:rsid w:val="00336CBF"/>
    <w:rsid w:val="00343FE3"/>
    <w:rsid w:val="0035133A"/>
    <w:rsid w:val="003546C8"/>
    <w:rsid w:val="003579E0"/>
    <w:rsid w:val="0037203F"/>
    <w:rsid w:val="00393C84"/>
    <w:rsid w:val="003A7CF2"/>
    <w:rsid w:val="003C0F8E"/>
    <w:rsid w:val="003C2C39"/>
    <w:rsid w:val="003C5CE5"/>
    <w:rsid w:val="003E267B"/>
    <w:rsid w:val="003E7CD1"/>
    <w:rsid w:val="00402B9E"/>
    <w:rsid w:val="004243F7"/>
    <w:rsid w:val="004249CB"/>
    <w:rsid w:val="0044127D"/>
    <w:rsid w:val="004448DB"/>
    <w:rsid w:val="00446C9A"/>
    <w:rsid w:val="00452F2B"/>
    <w:rsid w:val="00462A18"/>
    <w:rsid w:val="00477193"/>
    <w:rsid w:val="004A1848"/>
    <w:rsid w:val="004A6F4A"/>
    <w:rsid w:val="004E4717"/>
    <w:rsid w:val="004F4980"/>
    <w:rsid w:val="004F658C"/>
    <w:rsid w:val="00507FEC"/>
    <w:rsid w:val="00510F0E"/>
    <w:rsid w:val="005337E2"/>
    <w:rsid w:val="00542FA0"/>
    <w:rsid w:val="005479E1"/>
    <w:rsid w:val="00553E0A"/>
    <w:rsid w:val="005570FD"/>
    <w:rsid w:val="005575EA"/>
    <w:rsid w:val="0057790C"/>
    <w:rsid w:val="00593795"/>
    <w:rsid w:val="005A75FF"/>
    <w:rsid w:val="005D10AB"/>
    <w:rsid w:val="005D33F3"/>
    <w:rsid w:val="00601D8F"/>
    <w:rsid w:val="0061210A"/>
    <w:rsid w:val="00617518"/>
    <w:rsid w:val="00635787"/>
    <w:rsid w:val="00653E97"/>
    <w:rsid w:val="00662A67"/>
    <w:rsid w:val="00684A74"/>
    <w:rsid w:val="00690B8A"/>
    <w:rsid w:val="006A2EAE"/>
    <w:rsid w:val="006C3478"/>
    <w:rsid w:val="006F2CF1"/>
    <w:rsid w:val="007038ED"/>
    <w:rsid w:val="00703BC3"/>
    <w:rsid w:val="00704B61"/>
    <w:rsid w:val="007552A9"/>
    <w:rsid w:val="00761858"/>
    <w:rsid w:val="007645A0"/>
    <w:rsid w:val="00767D59"/>
    <w:rsid w:val="00776E97"/>
    <w:rsid w:val="00780F86"/>
    <w:rsid w:val="007912AD"/>
    <w:rsid w:val="007B0824"/>
    <w:rsid w:val="007B5D3C"/>
    <w:rsid w:val="007C14A2"/>
    <w:rsid w:val="007C30BC"/>
    <w:rsid w:val="007D63BB"/>
    <w:rsid w:val="0080175A"/>
    <w:rsid w:val="00821B72"/>
    <w:rsid w:val="00823EF2"/>
    <w:rsid w:val="008303B8"/>
    <w:rsid w:val="00833DCE"/>
    <w:rsid w:val="008655B8"/>
    <w:rsid w:val="00871D34"/>
    <w:rsid w:val="008A78F0"/>
    <w:rsid w:val="008B270C"/>
    <w:rsid w:val="008B5078"/>
    <w:rsid w:val="008C33A3"/>
    <w:rsid w:val="008C3D3D"/>
    <w:rsid w:val="008D4131"/>
    <w:rsid w:val="008F1932"/>
    <w:rsid w:val="00921062"/>
    <w:rsid w:val="00946A75"/>
    <w:rsid w:val="009722BC"/>
    <w:rsid w:val="009727A3"/>
    <w:rsid w:val="00987774"/>
    <w:rsid w:val="009A11E8"/>
    <w:rsid w:val="009C4801"/>
    <w:rsid w:val="009E74DF"/>
    <w:rsid w:val="009F5220"/>
    <w:rsid w:val="00A15234"/>
    <w:rsid w:val="00A201AB"/>
    <w:rsid w:val="00A23D9F"/>
    <w:rsid w:val="00A31C8B"/>
    <w:rsid w:val="00A36462"/>
    <w:rsid w:val="00A41A06"/>
    <w:rsid w:val="00A509FA"/>
    <w:rsid w:val="00A845DC"/>
    <w:rsid w:val="00AF6C8C"/>
    <w:rsid w:val="00B266BA"/>
    <w:rsid w:val="00B26AA2"/>
    <w:rsid w:val="00B3524D"/>
    <w:rsid w:val="00B40F69"/>
    <w:rsid w:val="00B46616"/>
    <w:rsid w:val="00B55F17"/>
    <w:rsid w:val="00B7040A"/>
    <w:rsid w:val="00B76132"/>
    <w:rsid w:val="00B801AF"/>
    <w:rsid w:val="00B81E78"/>
    <w:rsid w:val="00B83391"/>
    <w:rsid w:val="00B95326"/>
    <w:rsid w:val="00BD4196"/>
    <w:rsid w:val="00BE70EF"/>
    <w:rsid w:val="00BF22CA"/>
    <w:rsid w:val="00BF23BB"/>
    <w:rsid w:val="00C26032"/>
    <w:rsid w:val="00C31A44"/>
    <w:rsid w:val="00C345E1"/>
    <w:rsid w:val="00C37326"/>
    <w:rsid w:val="00C43BFD"/>
    <w:rsid w:val="00C4733E"/>
    <w:rsid w:val="00C83844"/>
    <w:rsid w:val="00CB6E35"/>
    <w:rsid w:val="00CD1E2A"/>
    <w:rsid w:val="00CE1A46"/>
    <w:rsid w:val="00D0037C"/>
    <w:rsid w:val="00D20757"/>
    <w:rsid w:val="00D22636"/>
    <w:rsid w:val="00D40FD9"/>
    <w:rsid w:val="00D41787"/>
    <w:rsid w:val="00D444BD"/>
    <w:rsid w:val="00D509DC"/>
    <w:rsid w:val="00D53769"/>
    <w:rsid w:val="00D85C13"/>
    <w:rsid w:val="00D9111A"/>
    <w:rsid w:val="00D91BE3"/>
    <w:rsid w:val="00D94AFC"/>
    <w:rsid w:val="00DA6EFC"/>
    <w:rsid w:val="00DB70AE"/>
    <w:rsid w:val="00DC7664"/>
    <w:rsid w:val="00DD5071"/>
    <w:rsid w:val="00DD5C39"/>
    <w:rsid w:val="00DE7DB7"/>
    <w:rsid w:val="00E00A0A"/>
    <w:rsid w:val="00E066DE"/>
    <w:rsid w:val="00E07F57"/>
    <w:rsid w:val="00E14D79"/>
    <w:rsid w:val="00E30683"/>
    <w:rsid w:val="00E41521"/>
    <w:rsid w:val="00E453D8"/>
    <w:rsid w:val="00E50BCE"/>
    <w:rsid w:val="00E574BF"/>
    <w:rsid w:val="00E61292"/>
    <w:rsid w:val="00E77C4D"/>
    <w:rsid w:val="00E81D01"/>
    <w:rsid w:val="00EA3B7D"/>
    <w:rsid w:val="00EC22E4"/>
    <w:rsid w:val="00EE45D8"/>
    <w:rsid w:val="00F1086A"/>
    <w:rsid w:val="00F22EDA"/>
    <w:rsid w:val="00F433F7"/>
    <w:rsid w:val="00F73813"/>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9A21E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3890</Characters>
  <Application>Microsoft Office Word</Application>
  <DocSecurity>0</DocSecurity>
  <Lines>32</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2018-09-20T14:48:00Z</dcterms:created>
  <dcterms:modified xsi:type="dcterms:W3CDTF">2018-09-20T14:48:00Z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