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5D9" w:rsidRPr="00F5664C" w:rsidRDefault="00A27615" w:rsidP="00C321B5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 wp14:anchorId="57A3C288" wp14:editId="406ACCFF">
            <wp:extent cx="1180800" cy="10368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800" cy="10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D9" w:rsidRPr="00F5664C" w:rsidRDefault="00B705D9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Pr="00F5664C">
        <w:rPr>
          <w:rFonts w:ascii="Book Antiqua" w:hAnsi="Book Antiqua" w:cs="Arial"/>
          <w:b/>
        </w:rPr>
        <w:t xml:space="preserve">Tribunal </w:t>
      </w:r>
    </w:p>
    <w:p w:rsidR="00B705D9" w:rsidRPr="00F5664C" w:rsidRDefault="00B705D9" w:rsidP="00B626FA">
      <w:pPr>
        <w:tabs>
          <w:tab w:val="right" w:pos="9639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</w:rPr>
        <w:t>(</w:t>
      </w:r>
      <w:r w:rsidR="004700D8">
        <w:rPr>
          <w:rFonts w:ascii="Book Antiqua" w:hAnsi="Book Antiqua" w:cs="Arial"/>
          <w:b/>
        </w:rPr>
        <w:t xml:space="preserve">Immigration and Asylum </w:t>
      </w:r>
      <w:proofErr w:type="gramStart"/>
      <w:r w:rsidR="004700D8">
        <w:rPr>
          <w:rFonts w:ascii="Book Antiqua" w:hAnsi="Book Antiqua" w:cs="Arial"/>
          <w:b/>
        </w:rPr>
        <w:t xml:space="preserve">Chamber)   </w:t>
      </w:r>
      <w:proofErr w:type="gramEnd"/>
      <w:r w:rsidR="004700D8">
        <w:rPr>
          <w:rFonts w:ascii="Book Antiqua" w:hAnsi="Book Antiqua" w:cs="Arial"/>
          <w:b/>
        </w:rPr>
        <w:t xml:space="preserve">                   </w:t>
      </w:r>
      <w:r w:rsidRPr="004700D8">
        <w:rPr>
          <w:rFonts w:ascii="Book Antiqua" w:hAnsi="Book Antiqua" w:cs="Arial"/>
          <w:b/>
        </w:rPr>
        <w:t xml:space="preserve">Appeal Number: </w:t>
      </w:r>
      <w:r w:rsidR="003F065E" w:rsidRPr="004700D8">
        <w:rPr>
          <w:rFonts w:ascii="Book Antiqua" w:hAnsi="Book Antiqua" w:cs="Arial"/>
          <w:b/>
          <w:caps/>
        </w:rPr>
        <w:t>EA/00743/2017</w:t>
      </w:r>
    </w:p>
    <w:p w:rsidR="00B705D9" w:rsidRPr="00F5664C" w:rsidRDefault="00B705D9" w:rsidP="00C345E1">
      <w:pPr>
        <w:jc w:val="center"/>
        <w:rPr>
          <w:rFonts w:ascii="Book Antiqua" w:hAnsi="Book Antiqua" w:cs="Arial"/>
        </w:rPr>
      </w:pPr>
    </w:p>
    <w:p w:rsidR="00B705D9" w:rsidRPr="00F5664C" w:rsidRDefault="00B705D9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:rsidR="00B705D9" w:rsidRPr="00F5664C" w:rsidRDefault="00B705D9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5098"/>
        <w:gridCol w:w="950"/>
        <w:gridCol w:w="3960"/>
      </w:tblGrid>
      <w:tr w:rsidR="00B705D9" w:rsidRPr="00F5664C" w:rsidTr="0095226A">
        <w:tc>
          <w:tcPr>
            <w:tcW w:w="5098" w:type="dxa"/>
          </w:tcPr>
          <w:p w:rsidR="00B705D9" w:rsidRPr="00321493" w:rsidRDefault="00B705D9" w:rsidP="00321493">
            <w:pPr>
              <w:jc w:val="both"/>
              <w:rPr>
                <w:rFonts w:ascii="Book Antiqua" w:hAnsi="Book Antiqua" w:cs="Arial"/>
                <w:b/>
              </w:rPr>
            </w:pPr>
            <w:r w:rsidRPr="00321493">
              <w:rPr>
                <w:rFonts w:ascii="Book Antiqua" w:hAnsi="Book Antiqua" w:cs="Arial"/>
                <w:b/>
              </w:rPr>
              <w:t>Heard at Field House</w:t>
            </w:r>
          </w:p>
        </w:tc>
        <w:tc>
          <w:tcPr>
            <w:tcW w:w="4910" w:type="dxa"/>
            <w:gridSpan w:val="2"/>
          </w:tcPr>
          <w:p w:rsidR="00B705D9" w:rsidRPr="00321493" w:rsidRDefault="004700D8" w:rsidP="00321493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 </w:t>
            </w:r>
            <w:r w:rsidR="00B705D9" w:rsidRPr="00321493">
              <w:rPr>
                <w:rFonts w:ascii="Book Antiqua" w:hAnsi="Book Antiqua" w:cs="Arial"/>
                <w:b/>
              </w:rPr>
              <w:t xml:space="preserve">Decision </w:t>
            </w:r>
            <w:r w:rsidR="0095226A">
              <w:rPr>
                <w:rFonts w:ascii="Book Antiqua" w:hAnsi="Book Antiqua" w:cs="Arial"/>
                <w:b/>
              </w:rPr>
              <w:t xml:space="preserve">and Reasons Promulgated </w:t>
            </w:r>
          </w:p>
        </w:tc>
      </w:tr>
      <w:tr w:rsidR="00B705D9" w:rsidRPr="00F5664C" w:rsidTr="0095226A">
        <w:tc>
          <w:tcPr>
            <w:tcW w:w="5098" w:type="dxa"/>
          </w:tcPr>
          <w:p w:rsidR="00B705D9" w:rsidRPr="00321493" w:rsidRDefault="00B705D9" w:rsidP="00321493">
            <w:pPr>
              <w:jc w:val="both"/>
              <w:rPr>
                <w:rFonts w:ascii="Book Antiqua" w:hAnsi="Book Antiqua" w:cs="Arial"/>
                <w:b/>
              </w:rPr>
            </w:pPr>
            <w:r w:rsidRPr="00321493">
              <w:rPr>
                <w:rFonts w:ascii="Book Antiqua" w:hAnsi="Book Antiqua" w:cs="Arial"/>
                <w:b/>
              </w:rPr>
              <w:t xml:space="preserve">On </w:t>
            </w:r>
            <w:r w:rsidR="003F065E">
              <w:rPr>
                <w:rFonts w:ascii="Book Antiqua" w:hAnsi="Book Antiqua" w:cs="Arial"/>
                <w:b/>
              </w:rPr>
              <w:t>3</w:t>
            </w:r>
            <w:r w:rsidR="000135D5">
              <w:rPr>
                <w:rFonts w:ascii="Book Antiqua" w:hAnsi="Book Antiqua" w:cs="Arial"/>
                <w:b/>
              </w:rPr>
              <w:t>0</w:t>
            </w:r>
            <w:r w:rsidR="003F065E">
              <w:rPr>
                <w:rFonts w:ascii="Book Antiqua" w:hAnsi="Book Antiqua" w:cs="Arial"/>
                <w:b/>
              </w:rPr>
              <w:t xml:space="preserve"> August 2018 </w:t>
            </w:r>
          </w:p>
        </w:tc>
        <w:tc>
          <w:tcPr>
            <w:tcW w:w="4910" w:type="dxa"/>
            <w:gridSpan w:val="2"/>
          </w:tcPr>
          <w:p w:rsidR="00B705D9" w:rsidRPr="00321493" w:rsidRDefault="004700D8" w:rsidP="00321493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 </w:t>
            </w:r>
            <w:r w:rsidR="0095226A">
              <w:rPr>
                <w:rFonts w:ascii="Book Antiqua" w:hAnsi="Book Antiqua" w:cs="Arial"/>
                <w:b/>
              </w:rPr>
              <w:t xml:space="preserve">On 12 September 2018 </w:t>
            </w:r>
          </w:p>
        </w:tc>
      </w:tr>
      <w:tr w:rsidR="00B705D9" w:rsidRPr="00F5664C" w:rsidTr="0095226A">
        <w:tc>
          <w:tcPr>
            <w:tcW w:w="6048" w:type="dxa"/>
            <w:gridSpan w:val="2"/>
          </w:tcPr>
          <w:p w:rsidR="00B705D9" w:rsidRPr="00321493" w:rsidRDefault="00B705D9" w:rsidP="00321493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</w:tcPr>
          <w:p w:rsidR="00B705D9" w:rsidRPr="00321493" w:rsidRDefault="00B705D9" w:rsidP="00321493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B705D9" w:rsidRPr="00F5664C" w:rsidRDefault="00B705D9" w:rsidP="00A15234">
      <w:pPr>
        <w:jc w:val="center"/>
        <w:rPr>
          <w:rFonts w:ascii="Book Antiqua" w:hAnsi="Book Antiqua" w:cs="Arial"/>
        </w:rPr>
      </w:pPr>
    </w:p>
    <w:p w:rsidR="00B705D9" w:rsidRPr="00F5664C" w:rsidRDefault="00B705D9" w:rsidP="00A15234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Before</w:t>
      </w:r>
    </w:p>
    <w:p w:rsidR="00B705D9" w:rsidRPr="00F5664C" w:rsidRDefault="00B705D9" w:rsidP="00A15234">
      <w:pPr>
        <w:jc w:val="center"/>
        <w:rPr>
          <w:rFonts w:ascii="Book Antiqua" w:hAnsi="Book Antiqua" w:cs="Arial"/>
          <w:b/>
        </w:rPr>
      </w:pPr>
    </w:p>
    <w:p w:rsidR="00B705D9" w:rsidRDefault="00B705D9" w:rsidP="00A1523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UPPER TRIBUNAL</w:t>
      </w:r>
      <w:r w:rsidRPr="00F5664C">
        <w:rPr>
          <w:rFonts w:ascii="Book Antiqua" w:hAnsi="Book Antiqua" w:cs="Arial"/>
          <w:b/>
        </w:rPr>
        <w:t xml:space="preserve"> JUDGE G</w:t>
      </w:r>
      <w:r>
        <w:rPr>
          <w:rFonts w:ascii="Book Antiqua" w:hAnsi="Book Antiqua" w:cs="Arial"/>
          <w:b/>
        </w:rPr>
        <w:t>LEESON</w:t>
      </w:r>
    </w:p>
    <w:p w:rsidR="00B705D9" w:rsidRPr="00F5664C" w:rsidRDefault="00B705D9" w:rsidP="00DE279E">
      <w:pPr>
        <w:jc w:val="center"/>
        <w:rPr>
          <w:rFonts w:ascii="Book Antiqua" w:hAnsi="Book Antiqua" w:cs="Arial"/>
          <w:b/>
        </w:rPr>
      </w:pPr>
    </w:p>
    <w:p w:rsidR="00B705D9" w:rsidRPr="00F5664C" w:rsidRDefault="00B705D9" w:rsidP="00A15234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Between</w:t>
      </w:r>
    </w:p>
    <w:p w:rsidR="00B705D9" w:rsidRPr="00F5664C" w:rsidRDefault="00B705D9" w:rsidP="00A15234">
      <w:pPr>
        <w:jc w:val="center"/>
        <w:rPr>
          <w:rFonts w:ascii="Book Antiqua" w:hAnsi="Book Antiqua" w:cs="Arial"/>
          <w:b/>
        </w:rPr>
      </w:pPr>
    </w:p>
    <w:p w:rsidR="00B705D9" w:rsidRDefault="003F065E" w:rsidP="00742A8D">
      <w:pPr>
        <w:jc w:val="center"/>
        <w:rPr>
          <w:rFonts w:ascii="Book Antiqua" w:hAnsi="Book Antiqua" w:cs="Arial"/>
          <w:b/>
          <w:caps/>
        </w:rPr>
      </w:pPr>
      <w:r w:rsidRPr="003F065E">
        <w:rPr>
          <w:rFonts w:ascii="Book Antiqua" w:hAnsi="Book Antiqua" w:cs="Arial"/>
          <w:b/>
          <w:caps/>
        </w:rPr>
        <w:t>Olufunke Sotunde</w:t>
      </w:r>
      <w:r>
        <w:rPr>
          <w:rFonts w:ascii="Book Antiqua" w:hAnsi="Book Antiqua" w:cs="Arial"/>
          <w:b/>
          <w:caps/>
        </w:rPr>
        <w:t xml:space="preserve"> </w:t>
      </w:r>
      <w:r w:rsidRPr="003F065E">
        <w:rPr>
          <w:rFonts w:ascii="Book Antiqua" w:hAnsi="Book Antiqua" w:cs="Arial"/>
          <w:b/>
          <w:caps/>
        </w:rPr>
        <w:t>Abayomi</w:t>
      </w:r>
    </w:p>
    <w:p w:rsidR="00B705D9" w:rsidRPr="004700D8" w:rsidRDefault="00B705D9" w:rsidP="00742A8D">
      <w:pPr>
        <w:jc w:val="center"/>
        <w:rPr>
          <w:rFonts w:ascii="Book Antiqua" w:hAnsi="Book Antiqua" w:cs="Arial"/>
          <w:caps/>
        </w:rPr>
      </w:pPr>
      <w:r w:rsidRPr="004700D8">
        <w:rPr>
          <w:rFonts w:ascii="Book Antiqua" w:hAnsi="Book Antiqua" w:cs="Arial"/>
          <w:caps/>
        </w:rPr>
        <w:t>(no anonymity order made)</w:t>
      </w:r>
    </w:p>
    <w:p w:rsidR="00B705D9" w:rsidRPr="00F5664C" w:rsidRDefault="00B3384A" w:rsidP="00704B6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Appellant</w:t>
      </w:r>
    </w:p>
    <w:p w:rsidR="00B705D9" w:rsidRPr="00F5664C" w:rsidRDefault="00B705D9" w:rsidP="00704B61">
      <w:pPr>
        <w:jc w:val="center"/>
        <w:rPr>
          <w:rFonts w:ascii="Book Antiqua" w:hAnsi="Book Antiqua" w:cs="Arial"/>
          <w:b/>
        </w:rPr>
      </w:pPr>
    </w:p>
    <w:p w:rsidR="00B705D9" w:rsidRPr="00F5664C" w:rsidRDefault="00B705D9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:rsidR="00B705D9" w:rsidRDefault="00B705D9" w:rsidP="00704B61">
      <w:pPr>
        <w:jc w:val="center"/>
        <w:rPr>
          <w:rFonts w:ascii="Book Antiqua" w:hAnsi="Book Antiqua" w:cs="Arial"/>
          <w:b/>
        </w:rPr>
      </w:pPr>
    </w:p>
    <w:p w:rsidR="004700D8" w:rsidRPr="00F5664C" w:rsidRDefault="004700D8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:rsidR="00B705D9" w:rsidRPr="00F5664C" w:rsidRDefault="00B705D9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:rsidR="00B705D9" w:rsidRPr="00F5664C" w:rsidRDefault="00B705D9" w:rsidP="00DD5071">
      <w:pPr>
        <w:rPr>
          <w:rFonts w:ascii="Book Antiqua" w:hAnsi="Book Antiqua" w:cs="Arial"/>
          <w:u w:val="single"/>
        </w:rPr>
      </w:pPr>
    </w:p>
    <w:p w:rsidR="00B705D9" w:rsidRPr="00F5664C" w:rsidRDefault="00B705D9" w:rsidP="00DD5071">
      <w:pPr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  <w:u w:val="single"/>
        </w:rPr>
        <w:t>Representation</w:t>
      </w:r>
      <w:r w:rsidRPr="00F5664C">
        <w:rPr>
          <w:rFonts w:ascii="Book Antiqua" w:hAnsi="Book Antiqua" w:cs="Arial"/>
          <w:b/>
        </w:rPr>
        <w:t>:</w:t>
      </w:r>
    </w:p>
    <w:p w:rsidR="00B705D9" w:rsidRPr="00F5664C" w:rsidRDefault="00B705D9" w:rsidP="00DD5071">
      <w:pPr>
        <w:rPr>
          <w:rFonts w:ascii="Book Antiqua" w:hAnsi="Book Antiqua" w:cs="Arial"/>
        </w:rPr>
      </w:pPr>
    </w:p>
    <w:p w:rsidR="00B705D9" w:rsidRPr="00F5664C" w:rsidRDefault="00B705D9" w:rsidP="00DE7DB7">
      <w:pPr>
        <w:tabs>
          <w:tab w:val="left" w:pos="2520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For the App</w:t>
      </w:r>
      <w:r w:rsidR="00B3384A">
        <w:rPr>
          <w:rFonts w:ascii="Book Antiqua" w:hAnsi="Book Antiqua" w:cs="Arial"/>
        </w:rPr>
        <w:t>ellant</w:t>
      </w:r>
      <w:r w:rsidRPr="00F5664C">
        <w:rPr>
          <w:rFonts w:ascii="Book Antiqua" w:hAnsi="Book Antiqua" w:cs="Arial"/>
        </w:rPr>
        <w:t>:</w:t>
      </w:r>
      <w:r w:rsidRPr="00F5664C">
        <w:rPr>
          <w:rFonts w:ascii="Book Antiqua" w:hAnsi="Book Antiqua" w:cs="Arial"/>
        </w:rPr>
        <w:tab/>
      </w:r>
      <w:r w:rsidR="000135D5">
        <w:rPr>
          <w:rFonts w:ascii="Book Antiqua" w:hAnsi="Book Antiqua" w:cs="Arial"/>
        </w:rPr>
        <w:t>In person</w:t>
      </w:r>
    </w:p>
    <w:p w:rsidR="00B705D9" w:rsidRPr="00F5664C" w:rsidRDefault="00B705D9" w:rsidP="00DE7DB7">
      <w:pPr>
        <w:tabs>
          <w:tab w:val="left" w:pos="2520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For the Respondent:</w:t>
      </w:r>
      <w:r w:rsidRPr="00F5664C">
        <w:rPr>
          <w:rFonts w:ascii="Book Antiqua" w:hAnsi="Book Antiqua" w:cs="Arial"/>
        </w:rPr>
        <w:tab/>
      </w:r>
      <w:r w:rsidR="003F065E">
        <w:rPr>
          <w:rFonts w:ascii="Book Antiqua" w:hAnsi="Book Antiqua" w:cs="Arial"/>
        </w:rPr>
        <w:t xml:space="preserve">Mr </w:t>
      </w:r>
      <w:r w:rsidR="000135D5">
        <w:rPr>
          <w:rFonts w:ascii="Book Antiqua" w:hAnsi="Book Antiqua" w:cs="Arial"/>
        </w:rPr>
        <w:t xml:space="preserve">T </w:t>
      </w:r>
      <w:r w:rsidR="003F065E">
        <w:rPr>
          <w:rFonts w:ascii="Book Antiqua" w:hAnsi="Book Antiqua" w:cs="Arial"/>
        </w:rPr>
        <w:t>Wilding</w:t>
      </w:r>
      <w:r>
        <w:rPr>
          <w:rFonts w:ascii="Book Antiqua" w:hAnsi="Book Antiqua" w:cs="Arial"/>
        </w:rPr>
        <w:t>, a Senior Home Office Presenting Officer</w:t>
      </w:r>
    </w:p>
    <w:p w:rsidR="00B705D9" w:rsidRPr="00F5664C" w:rsidRDefault="00B705D9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B705D9" w:rsidRDefault="00B705D9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Pr="00F5664C">
        <w:rPr>
          <w:rFonts w:ascii="Book Antiqua" w:hAnsi="Book Antiqua" w:cs="Arial"/>
          <w:b/>
          <w:u w:val="single"/>
        </w:rPr>
        <w:t>AND REASONS</w:t>
      </w:r>
    </w:p>
    <w:p w:rsidR="00B705D9" w:rsidRPr="00267403" w:rsidRDefault="00B705D9" w:rsidP="00402B9E">
      <w:pPr>
        <w:tabs>
          <w:tab w:val="left" w:pos="2520"/>
        </w:tabs>
        <w:jc w:val="center"/>
        <w:rPr>
          <w:rFonts w:ascii="Book Antiqua" w:hAnsi="Book Antiqua" w:cs="Arial"/>
          <w:i/>
        </w:rPr>
      </w:pPr>
    </w:p>
    <w:p w:rsidR="00976646" w:rsidRPr="00976646" w:rsidRDefault="00CF360C" w:rsidP="00797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  <w:b/>
          <w:bCs/>
        </w:rPr>
      </w:pPr>
      <w:r w:rsidRPr="00976646">
        <w:rPr>
          <w:rFonts w:ascii="Book Antiqua" w:hAnsi="Book Antiqua" w:cs="Arial"/>
        </w:rPr>
        <w:t xml:space="preserve">The </w:t>
      </w:r>
      <w:r w:rsidR="00B3384A">
        <w:rPr>
          <w:rFonts w:ascii="Book Antiqua" w:hAnsi="Book Antiqua" w:cs="Arial"/>
        </w:rPr>
        <w:t xml:space="preserve">applicant </w:t>
      </w:r>
      <w:r w:rsidR="00976646" w:rsidRPr="00976646">
        <w:rPr>
          <w:rFonts w:ascii="Book Antiqua" w:hAnsi="Book Antiqua" w:cs="Arial"/>
        </w:rPr>
        <w:t>appeals with</w:t>
      </w:r>
      <w:r w:rsidR="00976646" w:rsidRPr="00976646">
        <w:rPr>
          <w:rFonts w:ascii="Book Antiqua" w:hAnsi="Book Antiqua" w:cs="Arial"/>
          <w:b/>
        </w:rPr>
        <w:t xml:space="preserve"> </w:t>
      </w:r>
      <w:r w:rsidR="00976646" w:rsidRPr="00976646">
        <w:rPr>
          <w:rFonts w:ascii="Book Antiqua" w:hAnsi="Book Antiqua" w:cs="Arial"/>
        </w:rPr>
        <w:t>permission against the decision of First-tier Tribunal Judge Geraint Jones QC dismissing her appeal against the respondent’s decision on 1</w:t>
      </w:r>
      <w:r w:rsidR="000135D5">
        <w:rPr>
          <w:rFonts w:ascii="Book Antiqua" w:hAnsi="Book Antiqua" w:cs="Arial"/>
        </w:rPr>
        <w:t>2</w:t>
      </w:r>
      <w:r w:rsidR="00976646" w:rsidRPr="00976646">
        <w:rPr>
          <w:rFonts w:ascii="Book Antiqua" w:hAnsi="Book Antiqua" w:cs="Arial"/>
        </w:rPr>
        <w:t xml:space="preserve"> January 2017 to refuse her permanent residence pursuant to Regulation 10(5) of the 2016 EEA Regulations.  </w:t>
      </w:r>
    </w:p>
    <w:p w:rsidR="00114A55" w:rsidRDefault="00976646" w:rsidP="0065042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F52B16">
        <w:rPr>
          <w:rFonts w:ascii="Book Antiqua" w:hAnsi="Book Antiqua" w:cs="Arial"/>
        </w:rPr>
        <w:t xml:space="preserve">It is now I think common ground that the applicant is able to show that she ceased to be a family member of a qualified person or an EEA national on the </w:t>
      </w:r>
      <w:r w:rsidR="00F52B16" w:rsidRPr="00F52B16">
        <w:rPr>
          <w:rFonts w:ascii="Book Antiqua" w:hAnsi="Book Antiqua" w:cs="Arial"/>
        </w:rPr>
        <w:t>termination</w:t>
      </w:r>
      <w:r w:rsidRPr="00F52B16">
        <w:rPr>
          <w:rFonts w:ascii="Book Antiqua" w:hAnsi="Book Antiqua" w:cs="Arial"/>
        </w:rPr>
        <w:t xml:space="preserve"> of her marriage and that applying </w:t>
      </w:r>
      <w:proofErr w:type="spellStart"/>
      <w:r w:rsidRPr="00F52B16">
        <w:rPr>
          <w:rFonts w:ascii="Book Antiqua" w:hAnsi="Book Antiqua" w:cs="Arial"/>
          <w:bCs/>
          <w:i/>
        </w:rPr>
        <w:t>Baigazieva</w:t>
      </w:r>
      <w:proofErr w:type="spellEnd"/>
      <w:r w:rsidR="000135D5">
        <w:rPr>
          <w:rFonts w:ascii="Book Antiqua" w:hAnsi="Book Antiqua" w:cs="Arial"/>
          <w:bCs/>
          <w:i/>
        </w:rPr>
        <w:t xml:space="preserve"> v Secretary of State for the Home Department</w:t>
      </w:r>
      <w:r w:rsidRPr="00F52B16">
        <w:rPr>
          <w:rFonts w:ascii="Book Antiqua" w:hAnsi="Book Antiqua" w:cs="Arial"/>
          <w:b/>
          <w:bCs/>
        </w:rPr>
        <w:t xml:space="preserve"> </w:t>
      </w:r>
      <w:r w:rsidRPr="00F52B16">
        <w:rPr>
          <w:rFonts w:ascii="Book Antiqua" w:hAnsi="Book Antiqua" w:cs="Arial"/>
        </w:rPr>
        <w:t>[2018] EWCA Civ 1088</w:t>
      </w:r>
      <w:r w:rsidR="000135D5">
        <w:rPr>
          <w:rFonts w:ascii="Book Antiqua" w:hAnsi="Book Antiqua" w:cs="Arial"/>
        </w:rPr>
        <w:t>,</w:t>
      </w:r>
      <w:r w:rsidR="00F52B16" w:rsidRPr="00F52B16">
        <w:rPr>
          <w:rFonts w:ascii="Book Antiqua" w:hAnsi="Book Antiqua" w:cs="Arial"/>
        </w:rPr>
        <w:t xml:space="preserve"> the </w:t>
      </w:r>
      <w:r w:rsidR="000135D5">
        <w:rPr>
          <w:rFonts w:ascii="Book Antiqua" w:hAnsi="Book Antiqua" w:cs="Arial"/>
        </w:rPr>
        <w:t xml:space="preserve">date of termination of her marriage </w:t>
      </w:r>
      <w:r w:rsidR="00F52B16" w:rsidRPr="00F52B16">
        <w:rPr>
          <w:rFonts w:ascii="Book Antiqua" w:hAnsi="Book Antiqua" w:cs="Arial"/>
        </w:rPr>
        <w:t>is the date when the divorce petition was lodged, 1</w:t>
      </w:r>
      <w:r w:rsidR="000135D5">
        <w:rPr>
          <w:rFonts w:ascii="Book Antiqua" w:hAnsi="Book Antiqua" w:cs="Arial"/>
        </w:rPr>
        <w:t>2</w:t>
      </w:r>
      <w:r w:rsidR="00F52B16" w:rsidRPr="00F52B16">
        <w:rPr>
          <w:rFonts w:ascii="Book Antiqua" w:hAnsi="Book Antiqua" w:cs="Arial"/>
        </w:rPr>
        <w:t xml:space="preserve"> November 2015.  </w:t>
      </w:r>
    </w:p>
    <w:p w:rsidR="00114A55" w:rsidRDefault="00114A55" w:rsidP="0065042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 xml:space="preserve">The appellant provided further documents to the respondent, which are the subject of a later decision on 11 August 2017, which the appellant says she has appealed.  That appeal is not before me.  </w:t>
      </w:r>
    </w:p>
    <w:p w:rsidR="00114A55" w:rsidRDefault="00114A55" w:rsidP="0065042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applicant has also made an Article 8 ECHR application, based on the length of time that her children have been in the United Kingdom, but the respondent has yet to </w:t>
      </w:r>
      <w:proofErr w:type="gramStart"/>
      <w:r>
        <w:rPr>
          <w:rFonts w:ascii="Book Antiqua" w:hAnsi="Book Antiqua" w:cs="Arial"/>
        </w:rPr>
        <w:t>make a decision</w:t>
      </w:r>
      <w:proofErr w:type="gramEnd"/>
      <w:r>
        <w:rPr>
          <w:rFonts w:ascii="Book Antiqua" w:hAnsi="Book Antiqua" w:cs="Arial"/>
        </w:rPr>
        <w:t xml:space="preserve"> on the human rights application. </w:t>
      </w:r>
    </w:p>
    <w:p w:rsidR="00D5128F" w:rsidRDefault="00114A55" w:rsidP="0065042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In the present </w:t>
      </w:r>
      <w:r w:rsidR="00A92E6D">
        <w:rPr>
          <w:rFonts w:ascii="Book Antiqua" w:hAnsi="Book Antiqua" w:cs="Arial"/>
        </w:rPr>
        <w:t>application, pursuant to</w:t>
      </w:r>
      <w:r w:rsidR="00A92E6D" w:rsidRPr="00F52B16">
        <w:rPr>
          <w:rFonts w:ascii="Book Antiqua" w:hAnsi="Book Antiqua" w:cs="Arial"/>
        </w:rPr>
        <w:t xml:space="preserve"> Regulation 10(5)(a) </w:t>
      </w:r>
      <w:r w:rsidR="00A92E6D">
        <w:rPr>
          <w:rFonts w:ascii="Book Antiqua" w:hAnsi="Book Antiqua" w:cs="Arial"/>
        </w:rPr>
        <w:t xml:space="preserve">of the Immigration (European Economic Area) Regulations 2016, the applicant </w:t>
      </w:r>
      <w:r w:rsidR="00D5128F">
        <w:rPr>
          <w:rFonts w:ascii="Book Antiqua" w:hAnsi="Book Antiqua" w:cs="Arial"/>
        </w:rPr>
        <w:t>was required</w:t>
      </w:r>
      <w:r w:rsidR="00A92E6D">
        <w:rPr>
          <w:rFonts w:ascii="Book Antiqua" w:hAnsi="Book Antiqua" w:cs="Arial"/>
        </w:rPr>
        <w:t xml:space="preserve"> to demonstrate that her former husband had a permanent right of residence in the United Kingdom</w:t>
      </w:r>
      <w:r w:rsidR="00D5128F">
        <w:rPr>
          <w:rFonts w:ascii="Book Antiqua" w:hAnsi="Book Antiqua" w:cs="Arial"/>
        </w:rPr>
        <w:t xml:space="preserve"> </w:t>
      </w:r>
      <w:r w:rsidR="00A92E6D">
        <w:rPr>
          <w:rFonts w:ascii="Book Antiqua" w:hAnsi="Book Antiqua" w:cs="Arial"/>
        </w:rPr>
        <w:t>on 12 November 2015</w:t>
      </w:r>
      <w:r w:rsidR="00D5128F" w:rsidRPr="00D5128F">
        <w:rPr>
          <w:rFonts w:ascii="Book Antiqua" w:hAnsi="Book Antiqua" w:cs="Arial"/>
        </w:rPr>
        <w:t xml:space="preserve"> </w:t>
      </w:r>
      <w:r w:rsidR="00D5128F">
        <w:rPr>
          <w:rFonts w:ascii="Book Antiqua" w:hAnsi="Book Antiqua" w:cs="Arial"/>
        </w:rPr>
        <w:t>when she ended the marriage by issued divorce proceedings</w:t>
      </w:r>
      <w:r w:rsidR="00A92E6D">
        <w:rPr>
          <w:rFonts w:ascii="Book Antiqua" w:hAnsi="Book Antiqua" w:cs="Arial"/>
        </w:rPr>
        <w:t xml:space="preserve">.  </w:t>
      </w:r>
      <w:r w:rsidR="00ED3956" w:rsidRPr="00D5128F">
        <w:rPr>
          <w:rFonts w:ascii="Book Antiqua" w:hAnsi="Book Antiqua" w:cs="Arial"/>
        </w:rPr>
        <w:t xml:space="preserve">On the evidence before the First-tier Judge he found as a fact that that had not been shown.  </w:t>
      </w:r>
    </w:p>
    <w:p w:rsidR="00ED3956" w:rsidRDefault="00A92E6D" w:rsidP="00741F3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D5128F">
        <w:rPr>
          <w:rFonts w:ascii="Book Antiqua" w:hAnsi="Book Antiqua" w:cs="Arial"/>
        </w:rPr>
        <w:t xml:space="preserve">The evidence before the respondent, and which the First-tier Tribunal considered, consisted of a letter from HMRC setting out the income declared in each of the 5 tax years before that </w:t>
      </w:r>
      <w:r w:rsidR="00D5128F" w:rsidRPr="00D5128F">
        <w:rPr>
          <w:rFonts w:ascii="Book Antiqua" w:hAnsi="Book Antiqua" w:cs="Arial"/>
        </w:rPr>
        <w:t>date</w:t>
      </w:r>
      <w:r w:rsidRPr="00D5128F">
        <w:rPr>
          <w:rFonts w:ascii="Book Antiqua" w:hAnsi="Book Antiqua" w:cs="Arial"/>
        </w:rPr>
        <w:t xml:space="preserve">.  </w:t>
      </w:r>
      <w:r w:rsidR="00E516E8">
        <w:rPr>
          <w:rFonts w:ascii="Book Antiqua" w:hAnsi="Book Antiqua" w:cs="Arial"/>
        </w:rPr>
        <w:t xml:space="preserve">That letter shows that in </w:t>
      </w:r>
      <w:r w:rsidR="00ED3956">
        <w:rPr>
          <w:rFonts w:ascii="Book Antiqua" w:hAnsi="Book Antiqua" w:cs="Arial"/>
        </w:rPr>
        <w:t>2013/2014</w:t>
      </w:r>
      <w:r w:rsidR="00ED3956" w:rsidRPr="00ED3956">
        <w:rPr>
          <w:rFonts w:ascii="Book Antiqua" w:hAnsi="Book Antiqua" w:cs="Arial"/>
        </w:rPr>
        <w:t xml:space="preserve"> </w:t>
      </w:r>
      <w:r w:rsidR="00ED3956">
        <w:rPr>
          <w:rFonts w:ascii="Book Antiqua" w:hAnsi="Book Antiqua" w:cs="Arial"/>
        </w:rPr>
        <w:t xml:space="preserve">the husband declared no income at all to HMRC. </w:t>
      </w:r>
      <w:r w:rsidR="00F52B16" w:rsidRPr="00D5128F">
        <w:rPr>
          <w:rFonts w:ascii="Book Antiqua" w:hAnsi="Book Antiqua" w:cs="Arial"/>
        </w:rPr>
        <w:t xml:space="preserve">That was the evidence before the First-tier Judge.  </w:t>
      </w:r>
    </w:p>
    <w:p w:rsidR="00F52B16" w:rsidRPr="00D5128F" w:rsidRDefault="00ED3956" w:rsidP="00741F3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There may be further evidence underlying the </w:t>
      </w:r>
      <w:r w:rsidR="00740BC5">
        <w:rPr>
          <w:rFonts w:ascii="Book Antiqua" w:hAnsi="Book Antiqua" w:cs="Arial"/>
        </w:rPr>
        <w:t xml:space="preserve">August 2017 refusal letter, but the appeal against that letter is not before me and the evidence relied upon did not form part of the respondent’s decision in this appeal.  </w:t>
      </w:r>
    </w:p>
    <w:p w:rsidR="00F52B16" w:rsidRDefault="00F52B16" w:rsidP="0065042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In relation to the evidence which was before the First-tier Judge and the decision which was under challenge at the hearing before the First-tier Judge, the grounds for appeal are unarguable and I dismiss the appeal.  </w:t>
      </w:r>
    </w:p>
    <w:p w:rsidR="003849FD" w:rsidRDefault="005D0EC6" w:rsidP="003849FD">
      <w:pPr>
        <w:tabs>
          <w:tab w:val="left" w:pos="567"/>
        </w:tabs>
        <w:spacing w:before="240"/>
        <w:ind w:left="567" w:hanging="567"/>
        <w:jc w:val="both"/>
        <w:rPr>
          <w:rFonts w:ascii="Book Antiqua" w:hAnsi="Book Antiqua" w:cs="Arial"/>
        </w:rPr>
      </w:pPr>
      <w:bookmarkStart w:id="0" w:name="_GoBack"/>
      <w:bookmarkEnd w:id="0"/>
      <w:r w:rsidRPr="005D0EC6">
        <w:rPr>
          <w:rFonts w:ascii="Book Antiqua" w:hAnsi="Book Antiqua" w:cs="Arial"/>
          <w:b/>
          <w:u w:val="single"/>
        </w:rPr>
        <w:t>Conclusions</w:t>
      </w:r>
    </w:p>
    <w:p w:rsidR="003849FD" w:rsidRDefault="003849FD" w:rsidP="003849FD">
      <w:pPr>
        <w:numPr>
          <w:ilvl w:val="0"/>
          <w:numId w:val="3"/>
        </w:numPr>
        <w:tabs>
          <w:tab w:val="num" w:pos="360"/>
          <w:tab w:val="left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For the foregoing reasons, my decision is as follows:</w:t>
      </w:r>
    </w:p>
    <w:p w:rsidR="005D0EC6" w:rsidRDefault="005D0EC6" w:rsidP="003849FD">
      <w:pPr>
        <w:tabs>
          <w:tab w:val="left" w:pos="567"/>
        </w:tabs>
        <w:ind w:left="360"/>
        <w:jc w:val="both"/>
        <w:rPr>
          <w:rFonts w:ascii="Book Antiqua" w:hAnsi="Book Antiqua" w:cs="Arial"/>
        </w:rPr>
      </w:pPr>
    </w:p>
    <w:p w:rsidR="003849FD" w:rsidRDefault="003849FD" w:rsidP="003849FD">
      <w:pPr>
        <w:tabs>
          <w:tab w:val="left" w:pos="567"/>
        </w:tabs>
        <w:ind w:left="36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making of the previous decision involved the making of no error on a point of law</w:t>
      </w:r>
    </w:p>
    <w:p w:rsidR="003849FD" w:rsidRDefault="003849FD" w:rsidP="003849FD">
      <w:pPr>
        <w:tabs>
          <w:tab w:val="left" w:pos="567"/>
        </w:tabs>
        <w:ind w:left="36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I do not set aside the decision but order that it shall stand.</w:t>
      </w:r>
    </w:p>
    <w:p w:rsidR="00B705D9" w:rsidRDefault="00B705D9" w:rsidP="001F2A30">
      <w:pPr>
        <w:spacing w:before="240"/>
        <w:jc w:val="both"/>
        <w:rPr>
          <w:rFonts w:ascii="Book Antiqua" w:hAnsi="Book Antiqua" w:cs="Arial"/>
        </w:rPr>
      </w:pPr>
    </w:p>
    <w:p w:rsidR="00B43F7D" w:rsidRPr="00175FBB" w:rsidRDefault="00B43F7D" w:rsidP="000D722E">
      <w:pPr>
        <w:jc w:val="both"/>
        <w:rPr>
          <w:rFonts w:ascii="Arial" w:hAnsi="Arial"/>
        </w:rPr>
      </w:pPr>
      <w:r w:rsidRPr="00175FBB">
        <w:rPr>
          <w:rFonts w:ascii="Book Antiqua" w:hAnsi="Book Antiqua"/>
          <w:lang w:eastAsia="en-US"/>
        </w:rPr>
        <w:t>Signed</w:t>
      </w:r>
      <w:r w:rsidRPr="00C6723A">
        <w:rPr>
          <w:lang w:eastAsia="en-US"/>
        </w:rPr>
        <w:t>:</w:t>
      </w:r>
      <w:r w:rsidRPr="00C6723A">
        <w:rPr>
          <w:lang w:eastAsia="en-US"/>
        </w:rPr>
        <w:tab/>
      </w:r>
      <w:r w:rsidRPr="00C6723A">
        <w:rPr>
          <w:rFonts w:ascii="Rage Italic" w:hAnsi="Rage Italic" w:cs="Arial"/>
          <w:color w:val="0070C0"/>
          <w:sz w:val="28"/>
          <w:lang w:eastAsia="en-US"/>
        </w:rPr>
        <w:t>Judith A J C Gleeson</w:t>
      </w:r>
      <w:r w:rsidRPr="00C6723A">
        <w:rPr>
          <w:rFonts w:ascii="Rage Italic" w:hAnsi="Rage Italic" w:cs="Arial"/>
          <w:color w:val="0070C0"/>
          <w:sz w:val="28"/>
          <w:lang w:eastAsia="en-US"/>
        </w:rPr>
        <w:tab/>
      </w:r>
      <w:r w:rsidRPr="00C6723A">
        <w:rPr>
          <w:rFonts w:ascii="Rage Italic" w:hAnsi="Rage Italic" w:cs="Arial"/>
          <w:color w:val="0070C0"/>
          <w:lang w:eastAsia="en-US"/>
        </w:rPr>
        <w:tab/>
      </w:r>
      <w:r w:rsidRPr="00C6723A">
        <w:rPr>
          <w:rFonts w:ascii="Rage Italic" w:hAnsi="Rage Italic" w:cs="Arial"/>
          <w:color w:val="0070C0"/>
          <w:lang w:eastAsia="en-US"/>
        </w:rPr>
        <w:tab/>
      </w:r>
      <w:r>
        <w:rPr>
          <w:rFonts w:ascii="Rage Italic" w:hAnsi="Rage Italic" w:cs="Arial"/>
          <w:color w:val="0070C0"/>
        </w:rPr>
        <w:tab/>
      </w:r>
      <w:r>
        <w:rPr>
          <w:rFonts w:ascii="Rage Italic" w:hAnsi="Rage Italic" w:cs="Arial"/>
          <w:color w:val="0070C0"/>
          <w:lang w:eastAsia="en-US"/>
        </w:rPr>
        <w:tab/>
      </w:r>
      <w:r>
        <w:rPr>
          <w:rFonts w:ascii="Book Antiqua" w:hAnsi="Book Antiqua" w:cs="Arial"/>
        </w:rPr>
        <w:t>Da</w:t>
      </w:r>
      <w:r w:rsidRPr="00C6723A">
        <w:rPr>
          <w:rFonts w:ascii="Book Antiqua" w:hAnsi="Book Antiqua" w:cs="Arial"/>
          <w:lang w:eastAsia="en-US"/>
        </w:rPr>
        <w:t xml:space="preserve">te:  </w:t>
      </w:r>
      <w:r>
        <w:rPr>
          <w:rFonts w:ascii="Book Antiqua" w:hAnsi="Book Antiqua" w:cs="Arial"/>
        </w:rPr>
        <w:t>9 September 2018</w:t>
      </w:r>
    </w:p>
    <w:p w:rsidR="00B43F7D" w:rsidRPr="00C6723A" w:rsidRDefault="00B43F7D" w:rsidP="000D722E">
      <w:pPr>
        <w:ind w:left="357"/>
        <w:jc w:val="both"/>
        <w:rPr>
          <w:lang w:eastAsia="en-US"/>
        </w:rPr>
      </w:pPr>
      <w:r w:rsidRPr="00C6723A">
        <w:rPr>
          <w:rFonts w:ascii="Book Antiqua" w:hAnsi="Book Antiqua" w:cs="Arial"/>
          <w:lang w:eastAsia="en-US"/>
        </w:rPr>
        <w:tab/>
      </w:r>
      <w:r w:rsidRPr="00C6723A">
        <w:rPr>
          <w:rFonts w:ascii="Book Antiqua" w:hAnsi="Book Antiqua" w:cs="Arial"/>
          <w:lang w:eastAsia="en-US"/>
        </w:rPr>
        <w:tab/>
        <w:t xml:space="preserve">Upper Tribunal Judge Gleeson  </w:t>
      </w:r>
    </w:p>
    <w:p w:rsidR="00B705D9" w:rsidRPr="00F5664C" w:rsidRDefault="00B705D9" w:rsidP="00267403">
      <w:pPr>
        <w:ind w:left="567"/>
        <w:jc w:val="both"/>
        <w:rPr>
          <w:rFonts w:ascii="Book Antiqua" w:hAnsi="Book Antiqua" w:cs="Arial"/>
        </w:rPr>
      </w:pPr>
    </w:p>
    <w:p w:rsidR="00B705D9" w:rsidRPr="00F5664C" w:rsidRDefault="00B705D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sectPr w:rsidR="00B705D9" w:rsidRPr="00F5664C" w:rsidSect="0060319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09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70F7" w:rsidRDefault="002970F7">
      <w:r>
        <w:separator/>
      </w:r>
    </w:p>
  </w:endnote>
  <w:endnote w:type="continuationSeparator" w:id="0">
    <w:p w:rsidR="002970F7" w:rsidRDefault="00297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5D9" w:rsidRPr="004700D8" w:rsidRDefault="00B705D9" w:rsidP="00593795">
    <w:pPr>
      <w:pStyle w:val="Footer"/>
      <w:jc w:val="center"/>
      <w:rPr>
        <w:rFonts w:ascii="Book Antiqua" w:hAnsi="Book Antiqua" w:cs="Arial"/>
      </w:rPr>
    </w:pPr>
    <w:r w:rsidRPr="004700D8">
      <w:rPr>
        <w:rStyle w:val="PageNumber"/>
        <w:rFonts w:ascii="Book Antiqua" w:hAnsi="Book Antiqua" w:cs="Arial"/>
      </w:rPr>
      <w:fldChar w:fldCharType="begin"/>
    </w:r>
    <w:r w:rsidRPr="004700D8">
      <w:rPr>
        <w:rStyle w:val="PageNumber"/>
        <w:rFonts w:ascii="Book Antiqua" w:hAnsi="Book Antiqua" w:cs="Arial"/>
      </w:rPr>
      <w:instrText xml:space="preserve"> PAGE </w:instrText>
    </w:r>
    <w:r w:rsidRPr="004700D8">
      <w:rPr>
        <w:rStyle w:val="PageNumber"/>
        <w:rFonts w:ascii="Book Antiqua" w:hAnsi="Book Antiqua" w:cs="Arial"/>
      </w:rPr>
      <w:fldChar w:fldCharType="separate"/>
    </w:r>
    <w:r w:rsidR="00BE23EB">
      <w:rPr>
        <w:rStyle w:val="PageNumber"/>
        <w:rFonts w:ascii="Book Antiqua" w:hAnsi="Book Antiqua" w:cs="Arial"/>
        <w:noProof/>
      </w:rPr>
      <w:t>2</w:t>
    </w:r>
    <w:r w:rsidRPr="004700D8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5D9" w:rsidRPr="00F5664C" w:rsidRDefault="00B705D9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 w:rsidR="00997F3F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0F7" w:rsidRDefault="002970F7">
      <w:r>
        <w:separator/>
      </w:r>
    </w:p>
  </w:footnote>
  <w:footnote w:type="continuationSeparator" w:id="0">
    <w:p w:rsidR="002970F7" w:rsidRDefault="002970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5D9" w:rsidRDefault="00B705D9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 w:rsidRPr="00F5664C">
      <w:rPr>
        <w:rFonts w:ascii="Book Antiqua" w:hAnsi="Book Antiqua" w:cs="Arial"/>
        <w:sz w:val="16"/>
        <w:szCs w:val="16"/>
      </w:rPr>
      <w:t xml:space="preserve">Appeal Number: </w:t>
    </w:r>
    <w:r w:rsidR="003F065E" w:rsidRPr="003F065E">
      <w:rPr>
        <w:rFonts w:ascii="Book Antiqua" w:hAnsi="Book Antiqua" w:cs="Arial"/>
        <w:sz w:val="16"/>
        <w:szCs w:val="16"/>
      </w:rPr>
      <w:t>EA/00743/2017</w:t>
    </w:r>
  </w:p>
  <w:p w:rsidR="004700D8" w:rsidRPr="00F5664C" w:rsidRDefault="004700D8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5D9" w:rsidRPr="00F5664C" w:rsidRDefault="00B705D9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" w15:restartNumberingAfterBreak="0">
    <w:nsid w:val="14D60EB8"/>
    <w:multiLevelType w:val="multilevel"/>
    <w:tmpl w:val="488473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" w15:restartNumberingAfterBreak="0">
    <w:nsid w:val="159538AC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4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5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7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32C608ED"/>
    <w:multiLevelType w:val="hybridMultilevel"/>
    <w:tmpl w:val="B2E2101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1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4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6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cs="Times New Roman"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cs="Times New Roman"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8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7E32104F"/>
    <w:multiLevelType w:val="multilevel"/>
    <w:tmpl w:val="D63AF31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11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7"/>
  </w:num>
  <w:num w:numId="10">
    <w:abstractNumId w:val="17"/>
  </w:num>
  <w:num w:numId="11">
    <w:abstractNumId w:val="16"/>
  </w:num>
  <w:num w:numId="12">
    <w:abstractNumId w:val="1"/>
  </w:num>
  <w:num w:numId="13">
    <w:abstractNumId w:val="15"/>
  </w:num>
  <w:num w:numId="14">
    <w:abstractNumId w:val="0"/>
  </w:num>
  <w:num w:numId="15">
    <w:abstractNumId w:val="4"/>
  </w:num>
  <w:num w:numId="16">
    <w:abstractNumId w:val="6"/>
  </w:num>
  <w:num w:numId="17">
    <w:abstractNumId w:val="13"/>
  </w:num>
  <w:num w:numId="18">
    <w:abstractNumId w:val="10"/>
  </w:num>
  <w:num w:numId="19">
    <w:abstractNumId w:val="3"/>
  </w:num>
  <w:num w:numId="20">
    <w:abstractNumId w:val="20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15"/>
    <w:rsid w:val="00000621"/>
    <w:rsid w:val="000036C2"/>
    <w:rsid w:val="000135D5"/>
    <w:rsid w:val="0002205B"/>
    <w:rsid w:val="00033D3D"/>
    <w:rsid w:val="000369F5"/>
    <w:rsid w:val="00071A7E"/>
    <w:rsid w:val="000746C0"/>
    <w:rsid w:val="00074D1D"/>
    <w:rsid w:val="00092580"/>
    <w:rsid w:val="000A68E1"/>
    <w:rsid w:val="000D5D94"/>
    <w:rsid w:val="000E6D26"/>
    <w:rsid w:val="000F3EC5"/>
    <w:rsid w:val="00114A55"/>
    <w:rsid w:val="001165A7"/>
    <w:rsid w:val="00120604"/>
    <w:rsid w:val="00121B67"/>
    <w:rsid w:val="00140CCC"/>
    <w:rsid w:val="00146D9C"/>
    <w:rsid w:val="00150EB8"/>
    <w:rsid w:val="00151BB7"/>
    <w:rsid w:val="00154E62"/>
    <w:rsid w:val="0016457F"/>
    <w:rsid w:val="00167D3A"/>
    <w:rsid w:val="001A1E2C"/>
    <w:rsid w:val="001B2B9C"/>
    <w:rsid w:val="001F2716"/>
    <w:rsid w:val="001F2A30"/>
    <w:rsid w:val="0020133A"/>
    <w:rsid w:val="00207617"/>
    <w:rsid w:val="002153CC"/>
    <w:rsid w:val="00267403"/>
    <w:rsid w:val="00282D33"/>
    <w:rsid w:val="00283659"/>
    <w:rsid w:val="00284307"/>
    <w:rsid w:val="00284DB6"/>
    <w:rsid w:val="002964CE"/>
    <w:rsid w:val="002970F7"/>
    <w:rsid w:val="002C4E73"/>
    <w:rsid w:val="002D68BF"/>
    <w:rsid w:val="002F26A8"/>
    <w:rsid w:val="003054BE"/>
    <w:rsid w:val="003126B9"/>
    <w:rsid w:val="00321493"/>
    <w:rsid w:val="00324C78"/>
    <w:rsid w:val="00336CBF"/>
    <w:rsid w:val="00341AC8"/>
    <w:rsid w:val="003546C8"/>
    <w:rsid w:val="003849FD"/>
    <w:rsid w:val="003A7CF2"/>
    <w:rsid w:val="003B0789"/>
    <w:rsid w:val="003C5CE5"/>
    <w:rsid w:val="003E267B"/>
    <w:rsid w:val="003E5936"/>
    <w:rsid w:val="003E7CD1"/>
    <w:rsid w:val="003F065E"/>
    <w:rsid w:val="00401098"/>
    <w:rsid w:val="00402B9E"/>
    <w:rsid w:val="00410DA5"/>
    <w:rsid w:val="00423932"/>
    <w:rsid w:val="004249CB"/>
    <w:rsid w:val="0044127D"/>
    <w:rsid w:val="004448DB"/>
    <w:rsid w:val="00446C9A"/>
    <w:rsid w:val="004700D8"/>
    <w:rsid w:val="00477193"/>
    <w:rsid w:val="004A1848"/>
    <w:rsid w:val="00503AD6"/>
    <w:rsid w:val="00507FEC"/>
    <w:rsid w:val="00510F0E"/>
    <w:rsid w:val="00511FD6"/>
    <w:rsid w:val="005479E1"/>
    <w:rsid w:val="005570FD"/>
    <w:rsid w:val="005575EA"/>
    <w:rsid w:val="0057790C"/>
    <w:rsid w:val="00593795"/>
    <w:rsid w:val="00596910"/>
    <w:rsid w:val="005A2625"/>
    <w:rsid w:val="005A75FF"/>
    <w:rsid w:val="005A7AF3"/>
    <w:rsid w:val="005B7789"/>
    <w:rsid w:val="005D0EC6"/>
    <w:rsid w:val="0060319F"/>
    <w:rsid w:val="00612745"/>
    <w:rsid w:val="006129C2"/>
    <w:rsid w:val="00653924"/>
    <w:rsid w:val="0065791C"/>
    <w:rsid w:val="0067439B"/>
    <w:rsid w:val="00690B8A"/>
    <w:rsid w:val="00694409"/>
    <w:rsid w:val="006D1DFA"/>
    <w:rsid w:val="006D506B"/>
    <w:rsid w:val="006E3C90"/>
    <w:rsid w:val="00704B61"/>
    <w:rsid w:val="0070529D"/>
    <w:rsid w:val="00740BC5"/>
    <w:rsid w:val="007416B4"/>
    <w:rsid w:val="00742A8D"/>
    <w:rsid w:val="007552A9"/>
    <w:rsid w:val="00757C67"/>
    <w:rsid w:val="00761858"/>
    <w:rsid w:val="00767D59"/>
    <w:rsid w:val="00771861"/>
    <w:rsid w:val="00776E97"/>
    <w:rsid w:val="00780FD7"/>
    <w:rsid w:val="00781544"/>
    <w:rsid w:val="007912AD"/>
    <w:rsid w:val="007A1F28"/>
    <w:rsid w:val="007B0824"/>
    <w:rsid w:val="008303B8"/>
    <w:rsid w:val="00833DCE"/>
    <w:rsid w:val="00841426"/>
    <w:rsid w:val="00842418"/>
    <w:rsid w:val="0087119C"/>
    <w:rsid w:val="00871D34"/>
    <w:rsid w:val="008B270C"/>
    <w:rsid w:val="008B7675"/>
    <w:rsid w:val="008C3D3D"/>
    <w:rsid w:val="008D2D39"/>
    <w:rsid w:val="008D4131"/>
    <w:rsid w:val="008D72EE"/>
    <w:rsid w:val="008F1932"/>
    <w:rsid w:val="008F294D"/>
    <w:rsid w:val="008F3478"/>
    <w:rsid w:val="00916597"/>
    <w:rsid w:val="00921062"/>
    <w:rsid w:val="00923213"/>
    <w:rsid w:val="0093083E"/>
    <w:rsid w:val="0095226A"/>
    <w:rsid w:val="00966ECF"/>
    <w:rsid w:val="009727A3"/>
    <w:rsid w:val="00976646"/>
    <w:rsid w:val="0098507A"/>
    <w:rsid w:val="00987774"/>
    <w:rsid w:val="00997F3F"/>
    <w:rsid w:val="009A11E8"/>
    <w:rsid w:val="009C5A94"/>
    <w:rsid w:val="009E4E62"/>
    <w:rsid w:val="009F5220"/>
    <w:rsid w:val="009F73A5"/>
    <w:rsid w:val="009F7C4D"/>
    <w:rsid w:val="00A15234"/>
    <w:rsid w:val="00A201AB"/>
    <w:rsid w:val="00A27615"/>
    <w:rsid w:val="00A31BD8"/>
    <w:rsid w:val="00A31C8B"/>
    <w:rsid w:val="00A53BE8"/>
    <w:rsid w:val="00A845DC"/>
    <w:rsid w:val="00A92E6D"/>
    <w:rsid w:val="00A97AEE"/>
    <w:rsid w:val="00AA2E5B"/>
    <w:rsid w:val="00AC5CF6"/>
    <w:rsid w:val="00B144FA"/>
    <w:rsid w:val="00B16F58"/>
    <w:rsid w:val="00B30648"/>
    <w:rsid w:val="00B3384A"/>
    <w:rsid w:val="00B3524D"/>
    <w:rsid w:val="00B40F69"/>
    <w:rsid w:val="00B43F7D"/>
    <w:rsid w:val="00B46616"/>
    <w:rsid w:val="00B54087"/>
    <w:rsid w:val="00B610E3"/>
    <w:rsid w:val="00B61205"/>
    <w:rsid w:val="00B617C4"/>
    <w:rsid w:val="00B626FA"/>
    <w:rsid w:val="00B65747"/>
    <w:rsid w:val="00B7040A"/>
    <w:rsid w:val="00B705D9"/>
    <w:rsid w:val="00B9106B"/>
    <w:rsid w:val="00B96FA0"/>
    <w:rsid w:val="00BD1E13"/>
    <w:rsid w:val="00BD4196"/>
    <w:rsid w:val="00BD74C9"/>
    <w:rsid w:val="00BE23EB"/>
    <w:rsid w:val="00BF22CA"/>
    <w:rsid w:val="00C005C1"/>
    <w:rsid w:val="00C25034"/>
    <w:rsid w:val="00C26032"/>
    <w:rsid w:val="00C265B0"/>
    <w:rsid w:val="00C321B5"/>
    <w:rsid w:val="00C345E1"/>
    <w:rsid w:val="00C457BC"/>
    <w:rsid w:val="00C977BA"/>
    <w:rsid w:val="00CB6E35"/>
    <w:rsid w:val="00CE1A46"/>
    <w:rsid w:val="00CF253F"/>
    <w:rsid w:val="00CF360C"/>
    <w:rsid w:val="00CF56B4"/>
    <w:rsid w:val="00D20F09"/>
    <w:rsid w:val="00D22636"/>
    <w:rsid w:val="00D40FD9"/>
    <w:rsid w:val="00D5128F"/>
    <w:rsid w:val="00D527C9"/>
    <w:rsid w:val="00D53769"/>
    <w:rsid w:val="00D70775"/>
    <w:rsid w:val="00D85C13"/>
    <w:rsid w:val="00D91BE3"/>
    <w:rsid w:val="00D94AFC"/>
    <w:rsid w:val="00DA53F9"/>
    <w:rsid w:val="00DB70AE"/>
    <w:rsid w:val="00DB7231"/>
    <w:rsid w:val="00DD5071"/>
    <w:rsid w:val="00DD5C39"/>
    <w:rsid w:val="00DD6305"/>
    <w:rsid w:val="00DE26AF"/>
    <w:rsid w:val="00DE279E"/>
    <w:rsid w:val="00DE3F1C"/>
    <w:rsid w:val="00DE7DB7"/>
    <w:rsid w:val="00DF41E9"/>
    <w:rsid w:val="00E00A0A"/>
    <w:rsid w:val="00E05FCF"/>
    <w:rsid w:val="00E0621D"/>
    <w:rsid w:val="00E07F57"/>
    <w:rsid w:val="00E50BCE"/>
    <w:rsid w:val="00E516E8"/>
    <w:rsid w:val="00E51D71"/>
    <w:rsid w:val="00E61292"/>
    <w:rsid w:val="00E76309"/>
    <w:rsid w:val="00E77C4D"/>
    <w:rsid w:val="00E81D01"/>
    <w:rsid w:val="00EA4E94"/>
    <w:rsid w:val="00ED3956"/>
    <w:rsid w:val="00ED6C2F"/>
    <w:rsid w:val="00EE45D8"/>
    <w:rsid w:val="00F004CD"/>
    <w:rsid w:val="00F22EDA"/>
    <w:rsid w:val="00F3224D"/>
    <w:rsid w:val="00F33E0E"/>
    <w:rsid w:val="00F436BD"/>
    <w:rsid w:val="00F52B16"/>
    <w:rsid w:val="00F5664C"/>
    <w:rsid w:val="00F82A85"/>
    <w:rsid w:val="00FB7E80"/>
    <w:rsid w:val="00FE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D5ABC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1659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9766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rsid w:val="007552A9"/>
    <w:rPr>
      <w:rFonts w:cs="Times New Roman"/>
    </w:rPr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rFonts w:cs="Times New Roman"/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76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9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2018-09-28T12:39:00Z</dcterms:created>
  <dcterms:modified xsi:type="dcterms:W3CDTF">2018-09-28T12:39:00Z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