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EF7" w:rsidRDefault="000B7EF7" w:rsidP="00A842AA">
      <w:pPr>
        <w:jc w:val="center"/>
        <w:rPr>
          <w:rFonts w:ascii="Book Antiqua" w:hAnsi="Book Antiqua" w:cs="Arial"/>
          <w:caps/>
          <w:color w:val="000000"/>
          <w:sz w:val="16"/>
          <w:szCs w:val="16"/>
        </w:rPr>
      </w:pPr>
    </w:p>
    <w:p w:rsidR="00A842AA" w:rsidRDefault="006457D5" w:rsidP="00A842AA">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 xml:space="preserve">(Immigration and Asylum </w:t>
      </w:r>
      <w:proofErr w:type="gramStart"/>
      <w:r w:rsidRPr="00AC04A0">
        <w:rPr>
          <w:rFonts w:ascii="Book Antiqua" w:hAnsi="Book Antiqua" w:cs="Arial"/>
          <w:b/>
          <w:color w:val="000000"/>
        </w:rPr>
        <w:t>Chamber)</w:t>
      </w:r>
      <w:r w:rsidR="000B7EF7">
        <w:rPr>
          <w:rFonts w:ascii="Book Antiqua" w:hAnsi="Book Antiqua" w:cs="Arial"/>
          <w:b/>
          <w:color w:val="000000"/>
        </w:rPr>
        <w:t xml:space="preserve">   </w:t>
      </w:r>
      <w:proofErr w:type="gramEnd"/>
      <w:r w:rsidR="000B7EF7">
        <w:rPr>
          <w:rFonts w:ascii="Book Antiqua" w:hAnsi="Book Antiqua" w:cs="Arial"/>
          <w:b/>
          <w:color w:val="000000"/>
        </w:rPr>
        <w:t xml:space="preserve">                     </w:t>
      </w:r>
      <w:r w:rsidR="00B3524D" w:rsidRPr="000B7EF7">
        <w:rPr>
          <w:rFonts w:ascii="Book Antiqua" w:hAnsi="Book Antiqua" w:cs="Arial"/>
          <w:b/>
          <w:color w:val="000000"/>
        </w:rPr>
        <w:t>Appeal Number</w:t>
      </w:r>
      <w:r w:rsidR="00D53769" w:rsidRPr="000B7EF7">
        <w:rPr>
          <w:rFonts w:ascii="Book Antiqua" w:hAnsi="Book Antiqua" w:cs="Arial"/>
          <w:b/>
          <w:color w:val="000000"/>
        </w:rPr>
        <w:t>:</w:t>
      </w:r>
      <w:r w:rsidR="00B3524D" w:rsidRPr="000B7EF7">
        <w:rPr>
          <w:rFonts w:ascii="Book Antiqua" w:hAnsi="Book Antiqua" w:cs="Arial"/>
          <w:b/>
          <w:color w:val="000000"/>
        </w:rPr>
        <w:t xml:space="preserve"> </w:t>
      </w:r>
      <w:r w:rsidR="00201677" w:rsidRPr="000B7EF7">
        <w:rPr>
          <w:rFonts w:ascii="Book Antiqua" w:hAnsi="Book Antiqua" w:cs="Arial"/>
          <w:b/>
          <w:caps/>
          <w:color w:val="000000"/>
        </w:rPr>
        <w:t>ea</w:t>
      </w:r>
      <w:r w:rsidR="003F3A76" w:rsidRPr="000B7EF7">
        <w:rPr>
          <w:rFonts w:ascii="Book Antiqua" w:hAnsi="Book Antiqua" w:cs="Arial"/>
          <w:b/>
          <w:caps/>
          <w:color w:val="000000"/>
        </w:rPr>
        <w:t>/</w:t>
      </w:r>
      <w:r w:rsidR="00201677" w:rsidRPr="000B7EF7">
        <w:rPr>
          <w:rFonts w:ascii="Book Antiqua" w:hAnsi="Book Antiqua" w:cs="Arial"/>
          <w:b/>
          <w:caps/>
          <w:color w:val="000000"/>
        </w:rPr>
        <w:t>00775</w:t>
      </w:r>
      <w:r w:rsidR="003F3A76" w:rsidRPr="000B7EF7">
        <w:rPr>
          <w:rFonts w:ascii="Book Antiqua" w:hAnsi="Book Antiqua" w:cs="Arial"/>
          <w:b/>
          <w:caps/>
          <w:color w:val="000000"/>
        </w:rPr>
        <w:t>/</w:t>
      </w:r>
      <w:r w:rsidR="00201677" w:rsidRPr="000B7EF7">
        <w:rPr>
          <w:rFonts w:ascii="Book Antiqua" w:hAnsi="Book Antiqua" w:cs="Arial"/>
          <w:b/>
          <w:caps/>
          <w:color w:val="000000"/>
        </w:rPr>
        <w:t>2017</w:t>
      </w: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44B1C" w:rsidTr="00B44B1C">
        <w:tc>
          <w:tcPr>
            <w:tcW w:w="6048" w:type="dxa"/>
            <w:shd w:val="clear" w:color="auto" w:fill="auto"/>
          </w:tcPr>
          <w:p w:rsidR="00D22636" w:rsidRPr="00B44B1C" w:rsidRDefault="00D22636" w:rsidP="00B44B1C">
            <w:pPr>
              <w:jc w:val="both"/>
              <w:rPr>
                <w:rFonts w:ascii="Book Antiqua" w:hAnsi="Book Antiqua" w:cs="Arial"/>
                <w:b/>
              </w:rPr>
            </w:pPr>
            <w:r w:rsidRPr="00B44B1C">
              <w:rPr>
                <w:rFonts w:ascii="Book Antiqua" w:hAnsi="Book Antiqua" w:cs="Arial"/>
                <w:b/>
              </w:rPr>
              <w:t xml:space="preserve">Heard at </w:t>
            </w:r>
            <w:r w:rsidR="00201677" w:rsidRPr="00B44B1C">
              <w:rPr>
                <w:rFonts w:ascii="Book Antiqua" w:hAnsi="Book Antiqua" w:cs="Arial"/>
                <w:b/>
              </w:rPr>
              <w:t>Field House</w:t>
            </w:r>
          </w:p>
        </w:tc>
        <w:tc>
          <w:tcPr>
            <w:tcW w:w="3960" w:type="dxa"/>
            <w:shd w:val="clear" w:color="auto" w:fill="auto"/>
          </w:tcPr>
          <w:p w:rsidR="00D22636" w:rsidRPr="00B44B1C" w:rsidRDefault="009F14B8" w:rsidP="00B44B1C">
            <w:pPr>
              <w:jc w:val="both"/>
              <w:rPr>
                <w:rFonts w:ascii="Book Antiqua" w:hAnsi="Book Antiqua" w:cs="Arial"/>
                <w:b/>
                <w:color w:val="000000"/>
              </w:rPr>
            </w:pPr>
            <w:r w:rsidRPr="00B44B1C">
              <w:rPr>
                <w:rFonts w:ascii="Book Antiqua" w:hAnsi="Book Antiqua" w:cs="Arial"/>
                <w:b/>
                <w:color w:val="000000"/>
              </w:rPr>
              <w:t>Decision &amp; Reasons</w:t>
            </w:r>
            <w:r w:rsidR="00283659" w:rsidRPr="00B44B1C">
              <w:rPr>
                <w:rFonts w:ascii="Book Antiqua" w:hAnsi="Book Antiqua" w:cs="Arial"/>
                <w:b/>
                <w:color w:val="000000"/>
              </w:rPr>
              <w:t xml:space="preserve"> Promulgated</w:t>
            </w:r>
          </w:p>
        </w:tc>
      </w:tr>
      <w:tr w:rsidR="00D22636" w:rsidRPr="00B44B1C" w:rsidTr="00B44B1C">
        <w:tc>
          <w:tcPr>
            <w:tcW w:w="6048" w:type="dxa"/>
            <w:shd w:val="clear" w:color="auto" w:fill="auto"/>
          </w:tcPr>
          <w:p w:rsidR="00D22636" w:rsidRPr="00B44B1C" w:rsidRDefault="00D22636" w:rsidP="00B44B1C">
            <w:pPr>
              <w:jc w:val="both"/>
              <w:rPr>
                <w:rFonts w:ascii="Book Antiqua" w:hAnsi="Book Antiqua" w:cs="Arial"/>
                <w:b/>
              </w:rPr>
            </w:pPr>
            <w:r w:rsidRPr="00B44B1C">
              <w:rPr>
                <w:rFonts w:ascii="Book Antiqua" w:hAnsi="Book Antiqua" w:cs="Arial"/>
                <w:b/>
              </w:rPr>
              <w:t xml:space="preserve">On </w:t>
            </w:r>
            <w:r w:rsidR="00201677" w:rsidRPr="00B44B1C">
              <w:rPr>
                <w:rFonts w:ascii="Book Antiqua" w:hAnsi="Book Antiqua" w:cs="Arial"/>
                <w:b/>
              </w:rPr>
              <w:t>11 May 2018</w:t>
            </w:r>
          </w:p>
        </w:tc>
        <w:tc>
          <w:tcPr>
            <w:tcW w:w="3960" w:type="dxa"/>
            <w:shd w:val="clear" w:color="auto" w:fill="auto"/>
          </w:tcPr>
          <w:p w:rsidR="00D22636" w:rsidRPr="00B44B1C" w:rsidRDefault="00855F59" w:rsidP="00B44B1C">
            <w:pPr>
              <w:jc w:val="both"/>
              <w:rPr>
                <w:rFonts w:ascii="Book Antiqua" w:hAnsi="Book Antiqua" w:cs="Arial"/>
                <w:b/>
              </w:rPr>
            </w:pPr>
            <w:r>
              <w:rPr>
                <w:rFonts w:ascii="Book Antiqua" w:hAnsi="Book Antiqua" w:cs="Arial"/>
                <w:b/>
              </w:rPr>
              <w:t xml:space="preserve">On 22 May 2018 </w:t>
            </w:r>
          </w:p>
        </w:tc>
      </w:tr>
      <w:tr w:rsidR="00D22636" w:rsidRPr="00B44B1C" w:rsidTr="00B44B1C">
        <w:tc>
          <w:tcPr>
            <w:tcW w:w="6048" w:type="dxa"/>
            <w:shd w:val="clear" w:color="auto" w:fill="auto"/>
          </w:tcPr>
          <w:p w:rsidR="00D22636" w:rsidRPr="00B44B1C" w:rsidRDefault="00D22636" w:rsidP="00B44B1C">
            <w:pPr>
              <w:jc w:val="both"/>
              <w:rPr>
                <w:rFonts w:ascii="Book Antiqua" w:hAnsi="Book Antiqua" w:cs="Arial"/>
                <w:b/>
              </w:rPr>
            </w:pPr>
          </w:p>
        </w:tc>
        <w:tc>
          <w:tcPr>
            <w:tcW w:w="3960" w:type="dxa"/>
            <w:shd w:val="clear" w:color="auto" w:fill="auto"/>
          </w:tcPr>
          <w:p w:rsidR="00D22636" w:rsidRPr="00B44B1C" w:rsidRDefault="00D22636" w:rsidP="00B44B1C">
            <w:pPr>
              <w:jc w:val="both"/>
              <w:rPr>
                <w:rFonts w:ascii="Book Antiqua" w:hAnsi="Book Antiqua" w:cs="Arial"/>
                <w:b/>
              </w:rPr>
            </w:pPr>
          </w:p>
        </w:tc>
      </w:tr>
    </w:tbl>
    <w:p w:rsidR="000B7EF7" w:rsidRDefault="000B7EF7" w:rsidP="00A15234">
      <w:pPr>
        <w:jc w:val="center"/>
        <w:rPr>
          <w:rFonts w:ascii="Book Antiqua" w:hAnsi="Book Antiqua" w:cs="Arial"/>
          <w:b/>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201677" w:rsidP="00A15234">
      <w:pPr>
        <w:jc w:val="center"/>
        <w:rPr>
          <w:rFonts w:ascii="Book Antiqua" w:hAnsi="Book Antiqua" w:cs="Arial"/>
          <w:b/>
          <w:caps/>
        </w:rPr>
      </w:pPr>
      <w:r>
        <w:rPr>
          <w:rFonts w:ascii="Book Antiqua" w:hAnsi="Book Antiqua" w:cs="Arial"/>
          <w:b/>
          <w:caps/>
        </w:rPr>
        <w:t>f</w:t>
      </w:r>
      <w:r w:rsidR="00B44B1C">
        <w:rPr>
          <w:rFonts w:ascii="Book Antiqua" w:hAnsi="Book Antiqua" w:cs="Arial"/>
          <w:b/>
          <w:caps/>
        </w:rPr>
        <w:t>r</w:t>
      </w:r>
      <w:r>
        <w:rPr>
          <w:rFonts w:ascii="Book Antiqua" w:hAnsi="Book Antiqua" w:cs="Arial"/>
          <w:b/>
          <w:caps/>
        </w:rPr>
        <w:t>ed opoku manu</w:t>
      </w:r>
    </w:p>
    <w:p w:rsidR="00704B61" w:rsidRPr="00B44B1C" w:rsidRDefault="009F14B8" w:rsidP="00A15234">
      <w:pPr>
        <w:jc w:val="center"/>
        <w:rPr>
          <w:rFonts w:ascii="Book Antiqua" w:hAnsi="Book Antiqua" w:cs="Arial"/>
        </w:rPr>
      </w:pPr>
      <w:r w:rsidRPr="00B44B1C">
        <w:rPr>
          <w:rFonts w:ascii="Book Antiqua" w:hAnsi="Book Antiqua" w:cs="Arial"/>
          <w:caps/>
        </w:rPr>
        <w:t xml:space="preserve">(ANONYMITY DIRECTION </w:t>
      </w:r>
      <w:r w:rsidR="00B44B1C" w:rsidRPr="00B44B1C">
        <w:rPr>
          <w:rFonts w:ascii="Book Antiqua" w:hAnsi="Book Antiqua" w:cs="Arial"/>
          <w:caps/>
        </w:rPr>
        <w:t>not made</w:t>
      </w:r>
      <w:r w:rsidRPr="00B44B1C">
        <w:rPr>
          <w:rFonts w:ascii="Book Antiqua" w:hAnsi="Book Antiqua" w:cs="Arial"/>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B44B1C" w:rsidP="00704B61">
      <w:pPr>
        <w:jc w:val="center"/>
        <w:rPr>
          <w:rFonts w:ascii="Book Antiqua" w:hAnsi="Book Antiqua" w:cs="Arial"/>
          <w:b/>
        </w:rPr>
      </w:pPr>
      <w:r w:rsidRPr="00B44B1C">
        <w:rPr>
          <w:rFonts w:ascii="Book Antiqua" w:hAnsi="Book Antiqua" w:cs="Arial"/>
          <w:b/>
        </w:rPr>
        <w:t>SECRETARY OF STATE FOR THE HOME DEPARTMENT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0B7EF7" w:rsidRDefault="000B7EF7" w:rsidP="00DD5071">
      <w:pPr>
        <w:rPr>
          <w:rFonts w:ascii="Book Antiqua" w:hAnsi="Book Antiqua" w:cs="Arial"/>
          <w:b/>
          <w:u w:val="single"/>
        </w:rPr>
      </w:pPr>
    </w:p>
    <w:p w:rsidR="00DD5071" w:rsidRDefault="00DE7DB7" w:rsidP="00DD5071">
      <w:pPr>
        <w:rPr>
          <w:rFonts w:ascii="Book Antiqua" w:hAnsi="Book Antiqua" w:cs="Arial"/>
          <w:b/>
        </w:rPr>
      </w:pPr>
      <w:r w:rsidRPr="00AC04A0">
        <w:rPr>
          <w:rFonts w:ascii="Book Antiqua" w:hAnsi="Book Antiqua" w:cs="Arial"/>
          <w:b/>
          <w:u w:val="single"/>
        </w:rPr>
        <w:t>Representation</w:t>
      </w:r>
      <w:r w:rsidRPr="00AC04A0">
        <w:rPr>
          <w:rFonts w:ascii="Book Antiqua" w:hAnsi="Book Antiqua" w:cs="Arial"/>
          <w:b/>
        </w:rPr>
        <w:t>:</w:t>
      </w:r>
    </w:p>
    <w:p w:rsidR="000B7EF7" w:rsidRPr="00AC04A0" w:rsidRDefault="000B7EF7" w:rsidP="00DD5071">
      <w:pPr>
        <w:rPr>
          <w:rFonts w:ascii="Book Antiqua" w:hAnsi="Book Antiqua" w:cs="Arial"/>
        </w:rPr>
      </w:pP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5972A9">
        <w:rPr>
          <w:rFonts w:ascii="Book Antiqua" w:hAnsi="Book Antiqua" w:cs="Arial"/>
        </w:rPr>
        <w:t>The appellant in person</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5972A9">
        <w:rPr>
          <w:rFonts w:ascii="Book Antiqua" w:hAnsi="Book Antiqua" w:cs="Arial"/>
        </w:rPr>
        <w:t xml:space="preserve">Mr S Walker, Home Office Presenting Officer </w:t>
      </w:r>
    </w:p>
    <w:p w:rsidR="00DE7DB7" w:rsidRPr="000B7EF7" w:rsidRDefault="009F14B8" w:rsidP="00B44B1C">
      <w:pPr>
        <w:tabs>
          <w:tab w:val="left" w:pos="2520"/>
        </w:tabs>
        <w:spacing w:before="100" w:beforeAutospacing="1" w:after="100" w:afterAutospacing="1"/>
        <w:jc w:val="center"/>
        <w:rPr>
          <w:rFonts w:ascii="Book Antiqua" w:hAnsi="Book Antiqua" w:cs="Arial"/>
        </w:rPr>
      </w:pPr>
      <w:r w:rsidRPr="000B7EF7">
        <w:rPr>
          <w:rFonts w:ascii="Book Antiqua" w:hAnsi="Book Antiqua" w:cs="Arial"/>
          <w:b/>
          <w:u w:val="single"/>
        </w:rPr>
        <w:t xml:space="preserve">DECISION </w:t>
      </w:r>
      <w:r w:rsidR="00402B9E" w:rsidRPr="000B7EF7">
        <w:rPr>
          <w:rFonts w:ascii="Book Antiqua" w:hAnsi="Book Antiqua" w:cs="Arial"/>
          <w:b/>
          <w:u w:val="single"/>
        </w:rPr>
        <w:t>AND REASONS</w:t>
      </w:r>
    </w:p>
    <w:p w:rsidR="00B44B1C" w:rsidRDefault="00201677" w:rsidP="00B44B1C">
      <w:pPr>
        <w:numPr>
          <w:ilvl w:val="0"/>
          <w:numId w:val="2"/>
        </w:numPr>
        <w:tabs>
          <w:tab w:val="left" w:pos="0"/>
        </w:tabs>
        <w:spacing w:before="120"/>
        <w:ind w:hanging="429"/>
        <w:jc w:val="both"/>
        <w:rPr>
          <w:rFonts w:ascii="Book Antiqua" w:hAnsi="Book Antiqua" w:cs="Arial"/>
        </w:rPr>
      </w:pPr>
      <w:r>
        <w:rPr>
          <w:rFonts w:ascii="Book Antiqua" w:hAnsi="Book Antiqua" w:cs="Arial"/>
        </w:rPr>
        <w:t>This is an appeal against the decision of the First-tier Tribunal dismissing the appellant’s appeal against the decision of the Secretary of State refusing him a residence card as confirmation of a right to live in the United Kingdom.</w:t>
      </w:r>
    </w:p>
    <w:p w:rsidR="00B44B1C" w:rsidRDefault="00201677" w:rsidP="00B44B1C">
      <w:pPr>
        <w:numPr>
          <w:ilvl w:val="0"/>
          <w:numId w:val="2"/>
        </w:numPr>
        <w:tabs>
          <w:tab w:val="left" w:pos="0"/>
        </w:tabs>
        <w:spacing w:before="120"/>
        <w:ind w:hanging="429"/>
        <w:jc w:val="both"/>
        <w:rPr>
          <w:rFonts w:ascii="Book Antiqua" w:hAnsi="Book Antiqua" w:cs="Arial"/>
        </w:rPr>
      </w:pPr>
      <w:r w:rsidRPr="00B44B1C">
        <w:rPr>
          <w:rFonts w:ascii="Book Antiqua" w:hAnsi="Book Antiqua" w:cs="Arial"/>
        </w:rPr>
        <w:t>The appellant’s case is that he has lived in the Republic of Ireland</w:t>
      </w:r>
      <w:r w:rsidR="00813C13" w:rsidRPr="00B44B1C">
        <w:rPr>
          <w:rFonts w:ascii="Book Antiqua" w:hAnsi="Book Antiqua" w:cs="Arial"/>
        </w:rPr>
        <w:t xml:space="preserve"> </w:t>
      </w:r>
      <w:r w:rsidRPr="00B44B1C">
        <w:rPr>
          <w:rFonts w:ascii="Book Antiqua" w:hAnsi="Book Antiqua" w:cs="Arial"/>
        </w:rPr>
        <w:t xml:space="preserve">with his wife, that he has satisfied the requirements for admission into the Republic of Ireland and is </w:t>
      </w:r>
      <w:r w:rsidR="00B44B1C" w:rsidRPr="00B44B1C">
        <w:rPr>
          <w:rFonts w:ascii="Book Antiqua" w:hAnsi="Book Antiqua" w:cs="Arial"/>
        </w:rPr>
        <w:t xml:space="preserve">now </w:t>
      </w:r>
      <w:r w:rsidRPr="00B44B1C">
        <w:rPr>
          <w:rFonts w:ascii="Book Antiqua" w:hAnsi="Book Antiqua" w:cs="Arial"/>
        </w:rPr>
        <w:t>entitled</w:t>
      </w:r>
      <w:r w:rsidR="00B44B1C" w:rsidRPr="00B44B1C">
        <w:rPr>
          <w:rFonts w:ascii="Book Antiqua" w:hAnsi="Book Antiqua" w:cs="Arial"/>
        </w:rPr>
        <w:t xml:space="preserve"> </w:t>
      </w:r>
      <w:r w:rsidRPr="00B44B1C">
        <w:rPr>
          <w:rFonts w:ascii="Book Antiqua" w:hAnsi="Book Antiqua" w:cs="Arial"/>
        </w:rPr>
        <w:t>to reside in the United Kingdom.  The Secretary of State was not satisfied that the residence in the Republic of Ireland was genuine and refused the application.  The First-tier Tribunal came to the same conclusion</w:t>
      </w:r>
      <w:r w:rsidR="00B44B1C" w:rsidRPr="00B44B1C">
        <w:rPr>
          <w:rFonts w:ascii="Book Antiqua" w:hAnsi="Book Antiqua" w:cs="Arial"/>
        </w:rPr>
        <w:t xml:space="preserve"> and dismissed the appeal</w:t>
      </w:r>
      <w:r w:rsidRPr="00B44B1C">
        <w:rPr>
          <w:rFonts w:ascii="Book Antiqua" w:hAnsi="Book Antiqua" w:cs="Arial"/>
        </w:rPr>
        <w:t>.</w:t>
      </w:r>
    </w:p>
    <w:p w:rsidR="00B44B1C" w:rsidRDefault="00B44B1C" w:rsidP="00B44B1C">
      <w:pPr>
        <w:numPr>
          <w:ilvl w:val="0"/>
          <w:numId w:val="2"/>
        </w:numPr>
        <w:tabs>
          <w:tab w:val="left" w:pos="0"/>
        </w:tabs>
        <w:spacing w:before="120"/>
        <w:ind w:hanging="429"/>
        <w:jc w:val="both"/>
        <w:rPr>
          <w:rFonts w:ascii="Book Antiqua" w:hAnsi="Book Antiqua" w:cs="Arial"/>
        </w:rPr>
      </w:pPr>
      <w:r>
        <w:rPr>
          <w:rFonts w:ascii="Book Antiqua" w:hAnsi="Book Antiqua" w:cs="Arial"/>
        </w:rPr>
        <w:t xml:space="preserve">The appellant </w:t>
      </w:r>
      <w:r w:rsidR="00201677" w:rsidRPr="00B44B1C">
        <w:rPr>
          <w:rFonts w:ascii="Book Antiqua" w:hAnsi="Book Antiqua" w:cs="Arial"/>
        </w:rPr>
        <w:t xml:space="preserve">has </w:t>
      </w:r>
      <w:r>
        <w:rPr>
          <w:rFonts w:ascii="Book Antiqua" w:hAnsi="Book Antiqua" w:cs="Arial"/>
        </w:rPr>
        <w:t xml:space="preserve">made </w:t>
      </w:r>
      <w:r w:rsidR="00201677" w:rsidRPr="00B44B1C">
        <w:rPr>
          <w:rFonts w:ascii="Book Antiqua" w:hAnsi="Book Antiqua" w:cs="Arial"/>
        </w:rPr>
        <w:t>written submissions.  He</w:t>
      </w:r>
      <w:r>
        <w:rPr>
          <w:rFonts w:ascii="Book Antiqua" w:hAnsi="Book Antiqua" w:cs="Arial"/>
        </w:rPr>
        <w:t xml:space="preserve"> </w:t>
      </w:r>
      <w:r w:rsidR="00201677" w:rsidRPr="00B44B1C">
        <w:rPr>
          <w:rFonts w:ascii="Book Antiqua" w:hAnsi="Book Antiqua" w:cs="Arial"/>
        </w:rPr>
        <w:t xml:space="preserve">apologised to me for not being able to express himself clearly, pointing out that he is not using his first language.  I </w:t>
      </w:r>
      <w:r>
        <w:rPr>
          <w:rFonts w:ascii="Book Antiqua" w:hAnsi="Book Antiqua" w:cs="Arial"/>
        </w:rPr>
        <w:t xml:space="preserve">find </w:t>
      </w:r>
      <w:r w:rsidR="00201677" w:rsidRPr="00B44B1C">
        <w:rPr>
          <w:rFonts w:ascii="Book Antiqua" w:hAnsi="Book Antiqua" w:cs="Arial"/>
        </w:rPr>
        <w:t xml:space="preserve">it right to acknowledge that he has shown considerable diligence and industry in presenting the case as effectively and well as he has.  These are areas of law that many experienced practitioners would find difficult, they are not </w:t>
      </w:r>
      <w:r>
        <w:rPr>
          <w:rFonts w:ascii="Book Antiqua" w:hAnsi="Book Antiqua" w:cs="Arial"/>
        </w:rPr>
        <w:t xml:space="preserve">matters about which lay people </w:t>
      </w:r>
      <w:r w:rsidR="00201677" w:rsidRPr="00B44B1C">
        <w:rPr>
          <w:rFonts w:ascii="Book Antiqua" w:hAnsi="Book Antiqua" w:cs="Arial"/>
        </w:rPr>
        <w:t xml:space="preserve">can expect to be comfortable and I am satisfied that he has presented the case both on the papers and before </w:t>
      </w:r>
      <w:r w:rsidR="00201677" w:rsidRPr="00B44B1C">
        <w:rPr>
          <w:rFonts w:ascii="Book Antiqua" w:hAnsi="Book Antiqua" w:cs="Arial"/>
        </w:rPr>
        <w:lastRenderedPageBreak/>
        <w:t>me with co</w:t>
      </w:r>
      <w:r>
        <w:rPr>
          <w:rFonts w:ascii="Book Antiqua" w:hAnsi="Book Antiqua" w:cs="Arial"/>
        </w:rPr>
        <w:t xml:space="preserve">mmendable </w:t>
      </w:r>
      <w:r w:rsidR="00201677" w:rsidRPr="00B44B1C">
        <w:rPr>
          <w:rFonts w:ascii="Book Antiqua" w:hAnsi="Book Antiqua" w:cs="Arial"/>
        </w:rPr>
        <w:t>clarity and brevity and I record my appreciation of that.  However, he has not been persuasive.</w:t>
      </w:r>
    </w:p>
    <w:p w:rsidR="00B44B1C" w:rsidRDefault="00201677" w:rsidP="00B44B1C">
      <w:pPr>
        <w:numPr>
          <w:ilvl w:val="0"/>
          <w:numId w:val="2"/>
        </w:numPr>
        <w:tabs>
          <w:tab w:val="left" w:pos="0"/>
        </w:tabs>
        <w:spacing w:before="120"/>
        <w:ind w:hanging="429"/>
        <w:jc w:val="both"/>
        <w:rPr>
          <w:rFonts w:ascii="Book Antiqua" w:hAnsi="Book Antiqua" w:cs="Arial"/>
        </w:rPr>
      </w:pPr>
      <w:r w:rsidRPr="00B44B1C">
        <w:rPr>
          <w:rFonts w:ascii="Book Antiqua" w:hAnsi="Book Antiqua" w:cs="Arial"/>
        </w:rPr>
        <w:t xml:space="preserve">Permission to appeal was awarded by </w:t>
      </w:r>
      <w:r w:rsidR="00B44B1C">
        <w:rPr>
          <w:rFonts w:ascii="Book Antiqua" w:hAnsi="Book Antiqua" w:cs="Arial"/>
        </w:rPr>
        <w:t xml:space="preserve">a Deputy Judge of </w:t>
      </w:r>
      <w:r w:rsidRPr="00B44B1C">
        <w:rPr>
          <w:rFonts w:ascii="Book Antiqua" w:hAnsi="Book Antiqua" w:cs="Arial"/>
        </w:rPr>
        <w:t>the Upper Tribunal.  There were three grounds but the ground that concerned her was whether the First-tier Tribunal had applied the right R</w:t>
      </w:r>
      <w:r w:rsidR="00B44B1C">
        <w:rPr>
          <w:rFonts w:ascii="Book Antiqua" w:hAnsi="Book Antiqua" w:cs="Arial"/>
        </w:rPr>
        <w:t>egulations</w:t>
      </w:r>
      <w:r w:rsidRPr="00B44B1C">
        <w:rPr>
          <w:rFonts w:ascii="Book Antiqua" w:hAnsi="Book Antiqua" w:cs="Arial"/>
        </w:rPr>
        <w:t>.</w:t>
      </w:r>
    </w:p>
    <w:p w:rsidR="004261F8" w:rsidRDefault="00201677" w:rsidP="00B44B1C">
      <w:pPr>
        <w:numPr>
          <w:ilvl w:val="0"/>
          <w:numId w:val="2"/>
        </w:numPr>
        <w:tabs>
          <w:tab w:val="left" w:pos="0"/>
        </w:tabs>
        <w:spacing w:before="120"/>
        <w:ind w:hanging="429"/>
        <w:jc w:val="both"/>
        <w:rPr>
          <w:rFonts w:ascii="Book Antiqua" w:hAnsi="Book Antiqua" w:cs="Arial"/>
        </w:rPr>
      </w:pPr>
      <w:r w:rsidRPr="00B44B1C">
        <w:rPr>
          <w:rFonts w:ascii="Book Antiqua" w:hAnsi="Book Antiqua" w:cs="Arial"/>
        </w:rPr>
        <w:t>The decision is under the 2006 Regulations</w:t>
      </w:r>
      <w:r w:rsidR="00B44B1C">
        <w:rPr>
          <w:rFonts w:ascii="Book Antiqua" w:hAnsi="Book Antiqua" w:cs="Arial"/>
        </w:rPr>
        <w:t xml:space="preserve"> </w:t>
      </w:r>
      <w:r w:rsidRPr="00B44B1C">
        <w:rPr>
          <w:rFonts w:ascii="Book Antiqua" w:hAnsi="Book Antiqua" w:cs="Arial"/>
        </w:rPr>
        <w:t>as amended</w:t>
      </w:r>
      <w:r w:rsidR="00B44B1C">
        <w:rPr>
          <w:rFonts w:ascii="Book Antiqua" w:hAnsi="Book Antiqua" w:cs="Arial"/>
        </w:rPr>
        <w:t>. T</w:t>
      </w:r>
      <w:r w:rsidRPr="00B44B1C">
        <w:rPr>
          <w:rFonts w:ascii="Book Antiqua" w:hAnsi="Book Antiqua" w:cs="Arial"/>
        </w:rPr>
        <w:t xml:space="preserve">he appellant’s primary case is the judge should not have been looking at the amended form.  When </w:t>
      </w:r>
      <w:r w:rsidR="00B44B1C">
        <w:rPr>
          <w:rFonts w:ascii="Book Antiqua" w:hAnsi="Book Antiqua" w:cs="Arial"/>
        </w:rPr>
        <w:t xml:space="preserve">the </w:t>
      </w:r>
      <w:r w:rsidRPr="00B44B1C">
        <w:rPr>
          <w:rFonts w:ascii="Book Antiqua" w:hAnsi="Book Antiqua" w:cs="Arial"/>
        </w:rPr>
        <w:t>Deputy Judge gave permission she</w:t>
      </w:r>
      <w:r w:rsidR="004261F8">
        <w:rPr>
          <w:rFonts w:ascii="Book Antiqua" w:hAnsi="Book Antiqua" w:cs="Arial"/>
        </w:rPr>
        <w:t>, understandably,</w:t>
      </w:r>
      <w:r w:rsidRPr="00B44B1C">
        <w:rPr>
          <w:rFonts w:ascii="Book Antiqua" w:hAnsi="Book Antiqua" w:cs="Arial"/>
        </w:rPr>
        <w:t xml:space="preserve"> did not have the benefit</w:t>
      </w:r>
      <w:r w:rsidR="004261F8">
        <w:rPr>
          <w:rFonts w:ascii="Book Antiqua" w:hAnsi="Book Antiqua" w:cs="Arial"/>
        </w:rPr>
        <w:t xml:space="preserve"> </w:t>
      </w:r>
      <w:r w:rsidRPr="00B44B1C">
        <w:rPr>
          <w:rFonts w:ascii="Book Antiqua" w:hAnsi="Book Antiqua" w:cs="Arial"/>
        </w:rPr>
        <w:t>of the Rule 24 notice from the Secretary of State that is before me.  I am quite satisfied that the correct Regulations were applied.  To make it clear, it is the 2006 Regulations, as amended, and including a new form of Regulation 9.  I am satisfied that the operative part of the transitional provisions means that they apply as to a case such as this where the application was made but not determined before 25</w:t>
      </w:r>
      <w:r w:rsidRPr="00B44B1C">
        <w:rPr>
          <w:rFonts w:ascii="Book Antiqua" w:hAnsi="Book Antiqua" w:cs="Arial"/>
          <w:vertAlign w:val="superscript"/>
        </w:rPr>
        <w:t>th</w:t>
      </w:r>
      <w:r w:rsidRPr="00B44B1C">
        <w:rPr>
          <w:rFonts w:ascii="Book Antiqua" w:hAnsi="Book Antiqua" w:cs="Arial"/>
        </w:rPr>
        <w:t xml:space="preserve"> November 2016.</w:t>
      </w:r>
    </w:p>
    <w:p w:rsidR="004261F8" w:rsidRDefault="004261F8" w:rsidP="00B44B1C">
      <w:pPr>
        <w:numPr>
          <w:ilvl w:val="0"/>
          <w:numId w:val="2"/>
        </w:numPr>
        <w:tabs>
          <w:tab w:val="left" w:pos="0"/>
        </w:tabs>
        <w:spacing w:before="120"/>
        <w:ind w:hanging="429"/>
        <w:jc w:val="both"/>
        <w:rPr>
          <w:rFonts w:ascii="Book Antiqua" w:hAnsi="Book Antiqua" w:cs="Arial"/>
        </w:rPr>
      </w:pPr>
      <w:r w:rsidRPr="004261F8">
        <w:rPr>
          <w:rFonts w:ascii="Book Antiqua" w:hAnsi="Book Antiqua" w:cs="Arial"/>
        </w:rPr>
        <w:t>I particularly rely on Immigration (EEA) Regulations 2016, Schedule 5 (Transitory Arrangements) which states at the end of clause 2: that certain applications “made but not determined before 25th November 2016 is to be treated as having been made under the 2006 Regulations, as amended by paragraph 1 of this Schedule.”</w:t>
      </w:r>
    </w:p>
    <w:p w:rsidR="004261F8" w:rsidRDefault="00201677" w:rsidP="00B44B1C">
      <w:pPr>
        <w:numPr>
          <w:ilvl w:val="0"/>
          <w:numId w:val="2"/>
        </w:numPr>
        <w:tabs>
          <w:tab w:val="left" w:pos="0"/>
        </w:tabs>
        <w:spacing w:before="120"/>
        <w:ind w:hanging="429"/>
        <w:jc w:val="both"/>
        <w:rPr>
          <w:rFonts w:ascii="Book Antiqua" w:hAnsi="Book Antiqua" w:cs="Arial"/>
        </w:rPr>
      </w:pPr>
      <w:r w:rsidRPr="004261F8">
        <w:rPr>
          <w:rFonts w:ascii="Book Antiqua" w:hAnsi="Book Antiqua" w:cs="Arial"/>
        </w:rPr>
        <w:t xml:space="preserve">Regulation 9 in the amended form sets out conditions to be met by family members of British citizens and particularly at Regulation 9(3) </w:t>
      </w:r>
      <w:r w:rsidR="004261F8">
        <w:rPr>
          <w:rFonts w:ascii="Book Antiqua" w:hAnsi="Book Antiqua" w:cs="Arial"/>
        </w:rPr>
        <w:t xml:space="preserve">it identifies </w:t>
      </w:r>
      <w:r w:rsidRPr="004261F8">
        <w:rPr>
          <w:rFonts w:ascii="Book Antiqua" w:hAnsi="Book Antiqua" w:cs="Arial"/>
        </w:rPr>
        <w:t>factors relevant to whether residence in the EEA state was genuine.</w:t>
      </w:r>
    </w:p>
    <w:p w:rsidR="00BD1289" w:rsidRDefault="00201677" w:rsidP="00BD1289">
      <w:pPr>
        <w:numPr>
          <w:ilvl w:val="0"/>
          <w:numId w:val="2"/>
        </w:numPr>
        <w:tabs>
          <w:tab w:val="left" w:pos="0"/>
        </w:tabs>
        <w:spacing w:before="120"/>
        <w:ind w:hanging="429"/>
        <w:jc w:val="both"/>
        <w:rPr>
          <w:rFonts w:ascii="Book Antiqua" w:hAnsi="Book Antiqua" w:cs="Arial"/>
        </w:rPr>
      </w:pPr>
      <w:r w:rsidRPr="004261F8">
        <w:rPr>
          <w:rFonts w:ascii="Book Antiqua" w:hAnsi="Book Antiqua" w:cs="Arial"/>
        </w:rPr>
        <w:t xml:space="preserve">In his submissions to me Mr Manu has argued clearly that it is wrong to look at motives and relies for this proposition on a decision of the European Court of Justice reported as </w:t>
      </w:r>
      <w:proofErr w:type="spellStart"/>
      <w:r w:rsidRPr="004261F8">
        <w:rPr>
          <w:rFonts w:ascii="Book Antiqua" w:hAnsi="Book Antiqua" w:cs="Arial"/>
          <w:b/>
          <w:u w:val="single"/>
        </w:rPr>
        <w:t>Akrich</w:t>
      </w:r>
      <w:proofErr w:type="spellEnd"/>
      <w:r w:rsidRPr="004261F8">
        <w:rPr>
          <w:rFonts w:ascii="Book Antiqua" w:hAnsi="Book Antiqua" w:cs="Arial"/>
          <w:b/>
          <w:u w:val="single"/>
        </w:rPr>
        <w:t xml:space="preserve"> v SSHD</w:t>
      </w:r>
      <w:r w:rsidRPr="004261F8">
        <w:rPr>
          <w:rFonts w:ascii="Book Antiqua" w:hAnsi="Book Antiqua" w:cs="Arial"/>
          <w:b/>
        </w:rPr>
        <w:t xml:space="preserve"> [2004] Case C-109/01</w:t>
      </w:r>
      <w:r w:rsidRPr="004261F8">
        <w:rPr>
          <w:rFonts w:ascii="Book Antiqua" w:hAnsi="Book Antiqua" w:cs="Arial"/>
        </w:rPr>
        <w:t xml:space="preserve">.  The difficulty with relying on this case is that it is a case made before the new Regulations are in force.  If it is the case </w:t>
      </w:r>
      <w:r w:rsidR="00D231CE">
        <w:rPr>
          <w:rFonts w:ascii="Book Antiqua" w:hAnsi="Book Antiqua" w:cs="Arial"/>
        </w:rPr>
        <w:t xml:space="preserve">that </w:t>
      </w:r>
      <w:r w:rsidRPr="004261F8">
        <w:rPr>
          <w:rFonts w:ascii="Book Antiqua" w:hAnsi="Book Antiqua" w:cs="Arial"/>
        </w:rPr>
        <w:t>the new Regulations are not compli</w:t>
      </w:r>
      <w:r w:rsidR="00D231CE">
        <w:rPr>
          <w:rFonts w:ascii="Book Antiqua" w:hAnsi="Book Antiqua" w:cs="Arial"/>
        </w:rPr>
        <w:t xml:space="preserve">ant </w:t>
      </w:r>
      <w:r w:rsidRPr="004261F8">
        <w:rPr>
          <w:rFonts w:ascii="Book Antiqua" w:hAnsi="Book Antiqua" w:cs="Arial"/>
        </w:rPr>
        <w:t>with the Directive then it is not something that can be litigated in this Tribunal and it has never been the appellant’s pleaded case.  I am therefore satisfied that the First-tier Tribunal did apply the right Rules.</w:t>
      </w:r>
    </w:p>
    <w:p w:rsidR="00BD1289" w:rsidRDefault="00BD1289" w:rsidP="00B44B1C">
      <w:pPr>
        <w:numPr>
          <w:ilvl w:val="0"/>
          <w:numId w:val="2"/>
        </w:numPr>
        <w:tabs>
          <w:tab w:val="left" w:pos="0"/>
        </w:tabs>
        <w:spacing w:before="120"/>
        <w:ind w:hanging="429"/>
        <w:jc w:val="both"/>
        <w:rPr>
          <w:rFonts w:ascii="Book Antiqua" w:hAnsi="Book Antiqua" w:cs="Arial"/>
        </w:rPr>
      </w:pPr>
      <w:r w:rsidRPr="00BD1289">
        <w:rPr>
          <w:rFonts w:ascii="Book Antiqua" w:hAnsi="Book Antiqua" w:cs="Arial"/>
        </w:rPr>
        <w:t xml:space="preserve">The </w:t>
      </w:r>
      <w:r w:rsidR="00201677" w:rsidRPr="00BD1289">
        <w:rPr>
          <w:rFonts w:ascii="Book Antiqua" w:hAnsi="Book Antiqua" w:cs="Arial"/>
        </w:rPr>
        <w:t xml:space="preserve">grant of permission was not encouraging on the subsequent grounds but I have asked myself if the judge has given legally adequate reasons for reaching the conclusion she did, that the residence was not genuine.  I </w:t>
      </w:r>
      <w:r w:rsidR="00D231CE" w:rsidRPr="00BD1289">
        <w:rPr>
          <w:rFonts w:ascii="Book Antiqua" w:hAnsi="Book Antiqua" w:cs="Arial"/>
        </w:rPr>
        <w:t>must</w:t>
      </w:r>
      <w:r w:rsidR="00201677" w:rsidRPr="00BD1289">
        <w:rPr>
          <w:rFonts w:ascii="Book Antiqua" w:hAnsi="Book Antiqua" w:cs="Arial"/>
        </w:rPr>
        <w:t xml:space="preserve"> answer that question in the affirmative.  The judge had evidence from the appellant’s wife but that was in the form of a witness statement.  She was not called to give evidence</w:t>
      </w:r>
      <w:r w:rsidRPr="00BD1289">
        <w:rPr>
          <w:rFonts w:ascii="Book Antiqua" w:hAnsi="Book Antiqua" w:cs="Arial"/>
        </w:rPr>
        <w:t xml:space="preserve"> so </w:t>
      </w:r>
      <w:r w:rsidR="00201677" w:rsidRPr="00BD1289">
        <w:rPr>
          <w:rFonts w:ascii="Book Antiqua" w:hAnsi="Book Antiqua" w:cs="Arial"/>
        </w:rPr>
        <w:t>the evidence was not subject to cross-examination</w:t>
      </w:r>
      <w:r w:rsidR="00813C13" w:rsidRPr="00BD1289">
        <w:rPr>
          <w:rFonts w:ascii="Book Antiqua" w:hAnsi="Book Antiqua" w:cs="Arial"/>
        </w:rPr>
        <w:t>.  T</w:t>
      </w:r>
      <w:r w:rsidR="00201677" w:rsidRPr="00BD1289">
        <w:rPr>
          <w:rFonts w:ascii="Book Antiqua" w:hAnsi="Book Antiqua" w:cs="Arial"/>
        </w:rPr>
        <w:t>he judge gave it little weight because it was, as she described it, untested evidence.  There is nothing wrong in law in taking that approach.</w:t>
      </w:r>
    </w:p>
    <w:p w:rsidR="00BD1289" w:rsidRDefault="00201677" w:rsidP="00BD1289">
      <w:pPr>
        <w:numPr>
          <w:ilvl w:val="0"/>
          <w:numId w:val="2"/>
        </w:numPr>
        <w:tabs>
          <w:tab w:val="left" w:pos="0"/>
        </w:tabs>
        <w:spacing w:before="120"/>
        <w:ind w:hanging="429"/>
        <w:jc w:val="both"/>
        <w:rPr>
          <w:rFonts w:ascii="Book Antiqua" w:hAnsi="Book Antiqua" w:cs="Arial"/>
        </w:rPr>
      </w:pPr>
      <w:r w:rsidRPr="00BD1289">
        <w:rPr>
          <w:rFonts w:ascii="Book Antiqua" w:hAnsi="Book Antiqua" w:cs="Arial"/>
        </w:rPr>
        <w:t xml:space="preserve">The judge found the evidence of the appellant unsatisfactory and gave proper reasons for that.  It particularly included episodes of vagueness when the witness had otherwise been confident and was particularly concerned about the short period of residence in which the British citizen was living in the Irish Republic.  It was for only eleven months.  The judge did have some regard to the appellant’s apparent determination to live in the United Kingdom.  This is a point that </w:t>
      </w:r>
      <w:proofErr w:type="gramStart"/>
      <w:r w:rsidRPr="00BD1289">
        <w:rPr>
          <w:rFonts w:ascii="Book Antiqua" w:hAnsi="Book Antiqua" w:cs="Arial"/>
        </w:rPr>
        <w:t>has to</w:t>
      </w:r>
      <w:proofErr w:type="gramEnd"/>
      <w:r w:rsidRPr="00BD1289">
        <w:rPr>
          <w:rFonts w:ascii="Book Antiqua" w:hAnsi="Book Antiqua" w:cs="Arial"/>
        </w:rPr>
        <w:t xml:space="preserve"> be looked at with some care</w:t>
      </w:r>
      <w:r w:rsidR="00BD1289">
        <w:rPr>
          <w:rFonts w:ascii="Book Antiqua" w:hAnsi="Book Antiqua" w:cs="Arial"/>
        </w:rPr>
        <w:t>. I</w:t>
      </w:r>
      <w:r w:rsidRPr="00BD1289">
        <w:rPr>
          <w:rFonts w:ascii="Book Antiqua" w:hAnsi="Book Antiqua" w:cs="Arial"/>
        </w:rPr>
        <w:t xml:space="preserve">f the appellant did not wish to be in the United Kingdom he would not have been making an application for a residence </w:t>
      </w:r>
      <w:r w:rsidR="00D231CE" w:rsidRPr="00BD1289">
        <w:rPr>
          <w:rFonts w:ascii="Book Antiqua" w:hAnsi="Book Antiqua" w:cs="Arial"/>
        </w:rPr>
        <w:t>card</w:t>
      </w:r>
      <w:r w:rsidR="00D231CE">
        <w:rPr>
          <w:rFonts w:ascii="Book Antiqua" w:hAnsi="Book Antiqua" w:cs="Arial"/>
        </w:rPr>
        <w:t>,</w:t>
      </w:r>
      <w:r w:rsidR="00D231CE" w:rsidRPr="00BD1289">
        <w:rPr>
          <w:rFonts w:ascii="Book Antiqua" w:hAnsi="Book Antiqua" w:cs="Arial"/>
        </w:rPr>
        <w:t xml:space="preserve"> I</w:t>
      </w:r>
      <w:r w:rsidRPr="00BD1289">
        <w:rPr>
          <w:rFonts w:ascii="Book Antiqua" w:hAnsi="Book Antiqua" w:cs="Arial"/>
        </w:rPr>
        <w:t xml:space="preserve"> cannot read anything in the </w:t>
      </w:r>
      <w:r w:rsidR="00BD1289">
        <w:rPr>
          <w:rFonts w:ascii="Book Antiqua" w:hAnsi="Book Antiqua" w:cs="Arial"/>
        </w:rPr>
        <w:t xml:space="preserve">Decision and Reasons </w:t>
      </w:r>
      <w:r w:rsidRPr="00BD1289">
        <w:rPr>
          <w:rFonts w:ascii="Book Antiqua" w:hAnsi="Book Antiqua" w:cs="Arial"/>
        </w:rPr>
        <w:t xml:space="preserve">which suggests to me that the judge gave undue or improper weight to the fact </w:t>
      </w:r>
      <w:r w:rsidR="00BD1289">
        <w:rPr>
          <w:rFonts w:ascii="Book Antiqua" w:hAnsi="Book Antiqua" w:cs="Arial"/>
        </w:rPr>
        <w:t xml:space="preserve">that </w:t>
      </w:r>
      <w:r w:rsidRPr="00BD1289">
        <w:rPr>
          <w:rFonts w:ascii="Book Antiqua" w:hAnsi="Book Antiqua" w:cs="Arial"/>
        </w:rPr>
        <w:t xml:space="preserve">the appellant had previously tried to be in the United Kingdom.  It was simply a recognition that it is something he had done before.  I cannot read into that any indication that the judge was prejudiced or </w:t>
      </w:r>
      <w:r w:rsidR="00BD1289">
        <w:rPr>
          <w:rFonts w:ascii="Book Antiqua" w:hAnsi="Book Antiqua" w:cs="Arial"/>
        </w:rPr>
        <w:t xml:space="preserve">that her </w:t>
      </w:r>
      <w:r w:rsidRPr="00BD1289">
        <w:rPr>
          <w:rFonts w:ascii="Book Antiqua" w:hAnsi="Book Antiqua" w:cs="Arial"/>
        </w:rPr>
        <w:lastRenderedPageBreak/>
        <w:t xml:space="preserve">mind </w:t>
      </w:r>
      <w:r w:rsidR="00BD1289">
        <w:rPr>
          <w:rFonts w:ascii="Book Antiqua" w:hAnsi="Book Antiqua" w:cs="Arial"/>
        </w:rPr>
        <w:t xml:space="preserve">was </w:t>
      </w:r>
      <w:r w:rsidRPr="00BD1289">
        <w:rPr>
          <w:rFonts w:ascii="Book Antiqua" w:hAnsi="Book Antiqua" w:cs="Arial"/>
        </w:rPr>
        <w:t xml:space="preserve">closed to the possibility that this was a genuine </w:t>
      </w:r>
      <w:r w:rsidR="00813C13" w:rsidRPr="00BD1289">
        <w:rPr>
          <w:rFonts w:ascii="Book Antiqua" w:hAnsi="Book Antiqua" w:cs="Arial"/>
        </w:rPr>
        <w:t>application.  The determination just does not bear that meaning.</w:t>
      </w:r>
    </w:p>
    <w:p w:rsidR="00BD1289" w:rsidRDefault="00813C13" w:rsidP="00BD1289">
      <w:pPr>
        <w:numPr>
          <w:ilvl w:val="0"/>
          <w:numId w:val="2"/>
        </w:numPr>
        <w:tabs>
          <w:tab w:val="left" w:pos="0"/>
        </w:tabs>
        <w:spacing w:before="120"/>
        <w:ind w:hanging="429"/>
        <w:jc w:val="both"/>
        <w:rPr>
          <w:rFonts w:ascii="Book Antiqua" w:hAnsi="Book Antiqua" w:cs="Arial"/>
        </w:rPr>
      </w:pPr>
      <w:r w:rsidRPr="00BD1289">
        <w:rPr>
          <w:rFonts w:ascii="Book Antiqua" w:hAnsi="Book Antiqua" w:cs="Arial"/>
        </w:rPr>
        <w:t xml:space="preserve">The reasons for finding that the residence was not genuine are not given in </w:t>
      </w:r>
      <w:proofErr w:type="gramStart"/>
      <w:r w:rsidRPr="00BD1289">
        <w:rPr>
          <w:rFonts w:ascii="Book Antiqua" w:hAnsi="Book Antiqua" w:cs="Arial"/>
        </w:rPr>
        <w:t>great detail</w:t>
      </w:r>
      <w:proofErr w:type="gramEnd"/>
      <w:r w:rsidRPr="00BD1289">
        <w:rPr>
          <w:rFonts w:ascii="Book Antiqua" w:hAnsi="Book Antiqua" w:cs="Arial"/>
        </w:rPr>
        <w:t xml:space="preserve"> and closer attention to the requirements of the Rules might have assisted everybody but it is quite impossible to say that they are not sufficient and lawful and it follows therefore, having been satisfied that the correct Rules were applied, I go on to be satisfied that there is no error of law and I dismiss the appeal against the decision of the First-tier Tribunal.</w:t>
      </w:r>
    </w:p>
    <w:p w:rsidR="00841E0B" w:rsidRDefault="00841E0B" w:rsidP="00BD1289">
      <w:pPr>
        <w:tabs>
          <w:tab w:val="left" w:pos="0"/>
        </w:tabs>
        <w:spacing w:before="120"/>
        <w:ind w:left="3"/>
        <w:jc w:val="both"/>
        <w:rPr>
          <w:rFonts w:ascii="Book Antiqua" w:hAnsi="Book Antiqua" w:cs="Arial"/>
          <w:b/>
          <w:u w:val="single"/>
        </w:rPr>
      </w:pPr>
    </w:p>
    <w:p w:rsidR="00BD1289" w:rsidRDefault="00BD1289" w:rsidP="00BD1289">
      <w:pPr>
        <w:tabs>
          <w:tab w:val="left" w:pos="0"/>
        </w:tabs>
        <w:spacing w:before="120"/>
        <w:ind w:left="3"/>
        <w:jc w:val="both"/>
        <w:rPr>
          <w:rFonts w:ascii="Book Antiqua" w:hAnsi="Book Antiqua" w:cs="Arial"/>
          <w:b/>
          <w:u w:val="single"/>
        </w:rPr>
      </w:pPr>
      <w:r w:rsidRPr="00BD1289">
        <w:rPr>
          <w:rFonts w:ascii="Book Antiqua" w:hAnsi="Book Antiqua" w:cs="Arial"/>
          <w:b/>
          <w:u w:val="single"/>
        </w:rPr>
        <w:t>Notice of Decision</w:t>
      </w:r>
    </w:p>
    <w:p w:rsidR="00841E0B" w:rsidRPr="00BD1289" w:rsidRDefault="00841E0B" w:rsidP="00BD1289">
      <w:pPr>
        <w:tabs>
          <w:tab w:val="left" w:pos="0"/>
        </w:tabs>
        <w:spacing w:before="120"/>
        <w:ind w:left="3"/>
        <w:jc w:val="both"/>
        <w:rPr>
          <w:rFonts w:ascii="Book Antiqua" w:hAnsi="Book Antiqua" w:cs="Arial"/>
          <w:b/>
          <w:u w:val="single"/>
        </w:rPr>
      </w:pPr>
    </w:p>
    <w:p w:rsidR="00813C13" w:rsidRPr="00BD1289" w:rsidRDefault="00BD1289" w:rsidP="00BD1289">
      <w:pPr>
        <w:numPr>
          <w:ilvl w:val="0"/>
          <w:numId w:val="2"/>
        </w:numPr>
        <w:tabs>
          <w:tab w:val="left" w:pos="0"/>
        </w:tabs>
        <w:spacing w:before="120"/>
        <w:ind w:hanging="429"/>
        <w:jc w:val="both"/>
        <w:rPr>
          <w:rFonts w:ascii="Book Antiqua" w:hAnsi="Book Antiqua" w:cs="Arial"/>
        </w:rPr>
      </w:pPr>
      <w:r>
        <w:rPr>
          <w:rFonts w:ascii="Book Antiqua" w:hAnsi="Book Antiqua" w:cs="Arial"/>
        </w:rPr>
        <w:t>This appeal is dismissed.</w:t>
      </w:r>
    </w:p>
    <w:p w:rsidR="009F14B8" w:rsidRDefault="009F14B8" w:rsidP="00B44B1C">
      <w:pPr>
        <w:tabs>
          <w:tab w:val="left" w:pos="0"/>
        </w:tabs>
        <w:spacing w:before="120"/>
        <w:ind w:hanging="429"/>
        <w:jc w:val="both"/>
        <w:rPr>
          <w:rFonts w:ascii="Book Antiqua" w:hAnsi="Book Antiqua" w:cs="Arial"/>
          <w:b/>
          <w:highlight w:val="yellow"/>
          <w:u w:val="single"/>
        </w:rPr>
      </w:pPr>
    </w:p>
    <w:p w:rsidR="00BD1289" w:rsidRPr="00132ACD" w:rsidRDefault="00BD1289" w:rsidP="00117CA4">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BD1289" w:rsidTr="00117CA4">
        <w:tc>
          <w:tcPr>
            <w:tcW w:w="4927" w:type="dxa"/>
            <w:shd w:val="clear" w:color="auto" w:fill="auto"/>
          </w:tcPr>
          <w:p w:rsidR="00841E0B" w:rsidRDefault="00841E0B" w:rsidP="00117CA4">
            <w:pPr>
              <w:tabs>
                <w:tab w:val="left" w:pos="0"/>
              </w:tabs>
              <w:spacing w:before="120"/>
              <w:jc w:val="both"/>
              <w:rPr>
                <w:rFonts w:ascii="Book Antiqua" w:hAnsi="Book Antiqua" w:cs="Arial"/>
              </w:rPr>
            </w:pPr>
            <w:r w:rsidRPr="00BD1289">
              <w:rPr>
                <w:rFonts w:ascii="Century Schoolbook" w:hAnsi="Century Schoolbook" w:cs="Arial"/>
                <w:b/>
                <w:noProof/>
                <w:color w:val="000000"/>
                <w:highlight w:val="yellow"/>
                <w:u w:val="single"/>
              </w:rPr>
              <w:drawing>
                <wp:anchor distT="0" distB="0" distL="114300" distR="114300" simplePos="0" relativeHeight="251657728" behindDoc="1" locked="0" layoutInCell="1" allowOverlap="1">
                  <wp:simplePos x="0" y="0"/>
                  <wp:positionH relativeFrom="column">
                    <wp:posOffset>429260</wp:posOffset>
                  </wp:positionH>
                  <wp:positionV relativeFrom="paragraph">
                    <wp:posOffset>-706755</wp:posOffset>
                  </wp:positionV>
                  <wp:extent cx="2562225" cy="1447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p w:rsidR="00841E0B" w:rsidRDefault="00841E0B" w:rsidP="00117CA4">
            <w:pPr>
              <w:tabs>
                <w:tab w:val="left" w:pos="0"/>
              </w:tabs>
              <w:spacing w:before="120"/>
              <w:jc w:val="both"/>
              <w:rPr>
                <w:rFonts w:ascii="Book Antiqua" w:hAnsi="Book Antiqua" w:cs="Arial"/>
              </w:rPr>
            </w:pPr>
          </w:p>
          <w:p w:rsidR="00BD1289" w:rsidRPr="00DB7BA6" w:rsidRDefault="00BD1289" w:rsidP="00117CA4">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BD1289" w:rsidRPr="00DB7BA6" w:rsidRDefault="00BD1289" w:rsidP="00117CA4">
            <w:pPr>
              <w:tabs>
                <w:tab w:val="left" w:pos="0"/>
              </w:tabs>
              <w:spacing w:before="120"/>
              <w:jc w:val="both"/>
              <w:rPr>
                <w:rFonts w:ascii="Book Antiqua" w:hAnsi="Book Antiqua" w:cs="Arial"/>
              </w:rPr>
            </w:pPr>
          </w:p>
        </w:tc>
      </w:tr>
      <w:tr w:rsidR="00BD1289" w:rsidTr="00117CA4">
        <w:tc>
          <w:tcPr>
            <w:tcW w:w="4927" w:type="dxa"/>
            <w:shd w:val="clear" w:color="auto" w:fill="auto"/>
          </w:tcPr>
          <w:p w:rsidR="00BD1289" w:rsidRPr="00DB7BA6" w:rsidRDefault="00BD1289" w:rsidP="00117CA4">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BD1289" w:rsidRPr="00DB7BA6" w:rsidRDefault="00BD1289" w:rsidP="00117CA4">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17 May 2018</w:t>
            </w:r>
          </w:p>
        </w:tc>
      </w:tr>
    </w:tbl>
    <w:p w:rsidR="00BD1289" w:rsidRDefault="00BD1289" w:rsidP="00117CA4">
      <w:pPr>
        <w:tabs>
          <w:tab w:val="left" w:pos="0"/>
        </w:tabs>
        <w:spacing w:before="120"/>
        <w:ind w:hanging="567"/>
        <w:jc w:val="both"/>
        <w:rPr>
          <w:rFonts w:ascii="Book Antiqua" w:hAnsi="Book Antiqua" w:cs="Arial"/>
        </w:rPr>
      </w:pPr>
    </w:p>
    <w:p w:rsidR="00BD1289" w:rsidRDefault="00BD1289" w:rsidP="00B44B1C">
      <w:pPr>
        <w:tabs>
          <w:tab w:val="left" w:pos="0"/>
        </w:tabs>
        <w:spacing w:before="120"/>
        <w:ind w:hanging="429"/>
        <w:jc w:val="both"/>
        <w:rPr>
          <w:rFonts w:ascii="Book Antiqua" w:hAnsi="Book Antiqua" w:cs="Arial"/>
          <w:b/>
          <w:highlight w:val="yellow"/>
          <w:u w:val="single"/>
        </w:rPr>
      </w:pPr>
      <w:bookmarkStart w:id="0" w:name="_GoBack"/>
      <w:bookmarkEnd w:id="0"/>
    </w:p>
    <w:sectPr w:rsidR="00BD1289" w:rsidSect="000B7EF7">
      <w:headerReference w:type="default" r:id="rId9"/>
      <w:footerReference w:type="defaul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5F4" w:rsidRDefault="007C55F4">
      <w:r>
        <w:separator/>
      </w:r>
    </w:p>
  </w:endnote>
  <w:endnote w:type="continuationSeparator" w:id="0">
    <w:p w:rsidR="007C55F4" w:rsidRDefault="007C5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80E" w:rsidRPr="000B7EF7" w:rsidRDefault="00D2280E">
    <w:pPr>
      <w:pStyle w:val="Footer"/>
      <w:jc w:val="center"/>
      <w:rPr>
        <w:rFonts w:ascii="Book Antiqua" w:hAnsi="Book Antiqua"/>
      </w:rPr>
    </w:pPr>
    <w:r w:rsidRPr="000B7EF7">
      <w:rPr>
        <w:rFonts w:ascii="Book Antiqua" w:hAnsi="Book Antiqua"/>
      </w:rPr>
      <w:fldChar w:fldCharType="begin"/>
    </w:r>
    <w:r w:rsidRPr="000B7EF7">
      <w:rPr>
        <w:rFonts w:ascii="Book Antiqua" w:hAnsi="Book Antiqua"/>
      </w:rPr>
      <w:instrText xml:space="preserve"> PAGE   \* MERGEFORMAT </w:instrText>
    </w:r>
    <w:r w:rsidRPr="000B7EF7">
      <w:rPr>
        <w:rFonts w:ascii="Book Antiqua" w:hAnsi="Book Antiqua"/>
      </w:rPr>
      <w:fldChar w:fldCharType="separate"/>
    </w:r>
    <w:r w:rsidR="0006588F">
      <w:rPr>
        <w:rFonts w:ascii="Book Antiqua" w:hAnsi="Book Antiqua"/>
        <w:noProof/>
      </w:rPr>
      <w:t>3</w:t>
    </w:r>
    <w:r w:rsidRPr="000B7EF7">
      <w:rPr>
        <w:rFonts w:ascii="Book Antiqua" w:hAnsi="Book Antiqua"/>
        <w:noProof/>
      </w:rPr>
      <w:fldChar w:fldCharType="end"/>
    </w:r>
  </w:p>
  <w:p w:rsidR="00B44B1C" w:rsidRDefault="00B44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B1C" w:rsidRDefault="00B44B1C">
    <w:pPr>
      <w:pStyle w:val="Footer"/>
      <w:jc w:val="right"/>
    </w:pPr>
  </w:p>
  <w:p w:rsidR="00B44B1C" w:rsidRPr="000B7EF7" w:rsidRDefault="00881101" w:rsidP="00881101">
    <w:pPr>
      <w:pStyle w:val="Footer"/>
      <w:jc w:val="center"/>
      <w:rPr>
        <w:rFonts w:ascii="Book Antiqua" w:hAnsi="Book Antiqua"/>
        <w:b/>
      </w:rPr>
    </w:pPr>
    <w:r w:rsidRPr="000B7EF7">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5F4" w:rsidRDefault="007C55F4">
      <w:r>
        <w:separator/>
      </w:r>
    </w:p>
  </w:footnote>
  <w:footnote w:type="continuationSeparator" w:id="0">
    <w:p w:rsidR="007C55F4" w:rsidRDefault="007C5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B1C" w:rsidRDefault="000B7EF7" w:rsidP="00040BCC">
    <w:pPr>
      <w:pStyle w:val="Header"/>
      <w:jc w:val="right"/>
      <w:rPr>
        <w:rFonts w:ascii="Book Antiqua" w:hAnsi="Book Antiqua" w:cs="Arial"/>
        <w:sz w:val="16"/>
        <w:szCs w:val="16"/>
      </w:rPr>
    </w:pPr>
    <w:r>
      <w:rPr>
        <w:rFonts w:ascii="Book Antiqua" w:hAnsi="Book Antiqua" w:cs="Arial"/>
        <w:sz w:val="16"/>
        <w:szCs w:val="16"/>
      </w:rPr>
      <w:t xml:space="preserve">Appeal </w:t>
    </w:r>
    <w:proofErr w:type="gramStart"/>
    <w:r>
      <w:rPr>
        <w:rFonts w:ascii="Book Antiqua" w:hAnsi="Book Antiqua" w:cs="Arial"/>
        <w:sz w:val="16"/>
        <w:szCs w:val="16"/>
      </w:rPr>
      <w:t>Number :</w:t>
    </w:r>
    <w:r w:rsidR="00B44B1C" w:rsidRPr="000B7EF7">
      <w:rPr>
        <w:rFonts w:ascii="Book Antiqua" w:hAnsi="Book Antiqua" w:cs="Arial"/>
        <w:sz w:val="16"/>
        <w:szCs w:val="16"/>
      </w:rPr>
      <w:t>EA</w:t>
    </w:r>
    <w:proofErr w:type="gramEnd"/>
    <w:r w:rsidR="00040BCC" w:rsidRPr="000B7EF7">
      <w:rPr>
        <w:rFonts w:ascii="Book Antiqua" w:hAnsi="Book Antiqua" w:cs="Arial"/>
        <w:sz w:val="16"/>
        <w:szCs w:val="16"/>
      </w:rPr>
      <w:t>/</w:t>
    </w:r>
    <w:r w:rsidR="00B44B1C" w:rsidRPr="000B7EF7">
      <w:rPr>
        <w:rFonts w:ascii="Book Antiqua" w:hAnsi="Book Antiqua" w:cs="Arial"/>
        <w:sz w:val="16"/>
        <w:szCs w:val="16"/>
      </w:rPr>
      <w:t>00775</w:t>
    </w:r>
    <w:r w:rsidR="00040BCC" w:rsidRPr="000B7EF7">
      <w:rPr>
        <w:rFonts w:ascii="Book Antiqua" w:hAnsi="Book Antiqua" w:cs="Arial"/>
        <w:sz w:val="16"/>
        <w:szCs w:val="16"/>
      </w:rPr>
      <w:t>/</w:t>
    </w:r>
    <w:r w:rsidR="00B44B1C" w:rsidRPr="000B7EF7">
      <w:rPr>
        <w:rFonts w:ascii="Book Antiqua" w:hAnsi="Book Antiqua" w:cs="Arial"/>
        <w:sz w:val="16"/>
        <w:szCs w:val="16"/>
      </w:rPr>
      <w:t>2017</w:t>
    </w:r>
  </w:p>
  <w:p w:rsidR="000B7EF7" w:rsidRPr="000B7EF7" w:rsidRDefault="000B7EF7" w:rsidP="00040BCC">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435"/>
    <w:multiLevelType w:val="hybridMultilevel"/>
    <w:tmpl w:val="0310F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261C0"/>
    <w:multiLevelType w:val="hybridMultilevel"/>
    <w:tmpl w:val="4FD61EBC"/>
    <w:lvl w:ilvl="0" w:tplc="87287120">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2C8"/>
    <w:rsid w:val="00000621"/>
    <w:rsid w:val="000036C2"/>
    <w:rsid w:val="000225BC"/>
    <w:rsid w:val="00033D3D"/>
    <w:rsid w:val="00040BCC"/>
    <w:rsid w:val="00062F02"/>
    <w:rsid w:val="0006588F"/>
    <w:rsid w:val="00071A7E"/>
    <w:rsid w:val="000746C0"/>
    <w:rsid w:val="00074D1D"/>
    <w:rsid w:val="00092580"/>
    <w:rsid w:val="00093D4D"/>
    <w:rsid w:val="000B2BA7"/>
    <w:rsid w:val="000B3442"/>
    <w:rsid w:val="000B7EF7"/>
    <w:rsid w:val="000D5D94"/>
    <w:rsid w:val="000F064A"/>
    <w:rsid w:val="000F1A0E"/>
    <w:rsid w:val="000F3868"/>
    <w:rsid w:val="001165A7"/>
    <w:rsid w:val="00117CA4"/>
    <w:rsid w:val="00127ECB"/>
    <w:rsid w:val="001554B5"/>
    <w:rsid w:val="00167D3A"/>
    <w:rsid w:val="00171434"/>
    <w:rsid w:val="001A3082"/>
    <w:rsid w:val="001B186A"/>
    <w:rsid w:val="001B2F75"/>
    <w:rsid w:val="001B4635"/>
    <w:rsid w:val="001D42C8"/>
    <w:rsid w:val="001F2716"/>
    <w:rsid w:val="001F5024"/>
    <w:rsid w:val="00201677"/>
    <w:rsid w:val="00207617"/>
    <w:rsid w:val="0023134B"/>
    <w:rsid w:val="00243169"/>
    <w:rsid w:val="00245E38"/>
    <w:rsid w:val="00265840"/>
    <w:rsid w:val="00283659"/>
    <w:rsid w:val="002C0F46"/>
    <w:rsid w:val="002C6BD4"/>
    <w:rsid w:val="002D290A"/>
    <w:rsid w:val="002D68BF"/>
    <w:rsid w:val="002F0753"/>
    <w:rsid w:val="002F6B98"/>
    <w:rsid w:val="00320186"/>
    <w:rsid w:val="00336CBF"/>
    <w:rsid w:val="00343FE3"/>
    <w:rsid w:val="003546C8"/>
    <w:rsid w:val="003A7CF2"/>
    <w:rsid w:val="003C5CE5"/>
    <w:rsid w:val="003E267B"/>
    <w:rsid w:val="003E7CD1"/>
    <w:rsid w:val="003F1117"/>
    <w:rsid w:val="003F3A76"/>
    <w:rsid w:val="00402B9E"/>
    <w:rsid w:val="004249CB"/>
    <w:rsid w:val="004261F8"/>
    <w:rsid w:val="0044127D"/>
    <w:rsid w:val="004448DB"/>
    <w:rsid w:val="00446C9A"/>
    <w:rsid w:val="00452F2B"/>
    <w:rsid w:val="00477193"/>
    <w:rsid w:val="004A1848"/>
    <w:rsid w:val="004A3DDC"/>
    <w:rsid w:val="004A41A6"/>
    <w:rsid w:val="004A6F4A"/>
    <w:rsid w:val="004E0F3D"/>
    <w:rsid w:val="004E4717"/>
    <w:rsid w:val="00507FEC"/>
    <w:rsid w:val="00510F0E"/>
    <w:rsid w:val="005479E1"/>
    <w:rsid w:val="00553E0A"/>
    <w:rsid w:val="005570FD"/>
    <w:rsid w:val="005575EA"/>
    <w:rsid w:val="00562F7A"/>
    <w:rsid w:val="0057790C"/>
    <w:rsid w:val="00593795"/>
    <w:rsid w:val="005972A9"/>
    <w:rsid w:val="005A75FF"/>
    <w:rsid w:val="005D10AB"/>
    <w:rsid w:val="00601D8F"/>
    <w:rsid w:val="00607D3E"/>
    <w:rsid w:val="006457D5"/>
    <w:rsid w:val="00653E97"/>
    <w:rsid w:val="006701F7"/>
    <w:rsid w:val="00684A74"/>
    <w:rsid w:val="00690B8A"/>
    <w:rsid w:val="006F2CF1"/>
    <w:rsid w:val="007038ED"/>
    <w:rsid w:val="00703BC3"/>
    <w:rsid w:val="00704B61"/>
    <w:rsid w:val="007552A9"/>
    <w:rsid w:val="00756090"/>
    <w:rsid w:val="00761858"/>
    <w:rsid w:val="0076727C"/>
    <w:rsid w:val="00767D59"/>
    <w:rsid w:val="00776E97"/>
    <w:rsid w:val="00780F86"/>
    <w:rsid w:val="007912AD"/>
    <w:rsid w:val="007A0B88"/>
    <w:rsid w:val="007B0824"/>
    <w:rsid w:val="007B5D3C"/>
    <w:rsid w:val="007C55F4"/>
    <w:rsid w:val="007F2A46"/>
    <w:rsid w:val="007F6AF8"/>
    <w:rsid w:val="00806249"/>
    <w:rsid w:val="00813C13"/>
    <w:rsid w:val="00821B72"/>
    <w:rsid w:val="00823EF2"/>
    <w:rsid w:val="008303B8"/>
    <w:rsid w:val="00833DCE"/>
    <w:rsid w:val="00841E0B"/>
    <w:rsid w:val="00844FC6"/>
    <w:rsid w:val="00851D4F"/>
    <w:rsid w:val="00855F59"/>
    <w:rsid w:val="00871D34"/>
    <w:rsid w:val="00881101"/>
    <w:rsid w:val="008A3898"/>
    <w:rsid w:val="008B270C"/>
    <w:rsid w:val="008B5078"/>
    <w:rsid w:val="008C3D3D"/>
    <w:rsid w:val="008D4131"/>
    <w:rsid w:val="008F1932"/>
    <w:rsid w:val="00921062"/>
    <w:rsid w:val="00940AF0"/>
    <w:rsid w:val="00951C5A"/>
    <w:rsid w:val="00957B0F"/>
    <w:rsid w:val="009722BC"/>
    <w:rsid w:val="009727A3"/>
    <w:rsid w:val="00983F46"/>
    <w:rsid w:val="00987774"/>
    <w:rsid w:val="009A11E8"/>
    <w:rsid w:val="009D557B"/>
    <w:rsid w:val="009F14B8"/>
    <w:rsid w:val="009F5220"/>
    <w:rsid w:val="009F7EBB"/>
    <w:rsid w:val="00A15234"/>
    <w:rsid w:val="00A201AB"/>
    <w:rsid w:val="00A31C8B"/>
    <w:rsid w:val="00A509FA"/>
    <w:rsid w:val="00A71C11"/>
    <w:rsid w:val="00A842AA"/>
    <w:rsid w:val="00A845DC"/>
    <w:rsid w:val="00AC04A0"/>
    <w:rsid w:val="00AD28FE"/>
    <w:rsid w:val="00B01D90"/>
    <w:rsid w:val="00B26AA2"/>
    <w:rsid w:val="00B315A7"/>
    <w:rsid w:val="00B3524D"/>
    <w:rsid w:val="00B40F69"/>
    <w:rsid w:val="00B44B1C"/>
    <w:rsid w:val="00B46616"/>
    <w:rsid w:val="00B57AE9"/>
    <w:rsid w:val="00B7040A"/>
    <w:rsid w:val="00B83391"/>
    <w:rsid w:val="00B91640"/>
    <w:rsid w:val="00B95326"/>
    <w:rsid w:val="00BD1289"/>
    <w:rsid w:val="00BD4196"/>
    <w:rsid w:val="00BF22CA"/>
    <w:rsid w:val="00BF23BB"/>
    <w:rsid w:val="00C2080F"/>
    <w:rsid w:val="00C26032"/>
    <w:rsid w:val="00C345E1"/>
    <w:rsid w:val="00C43BFD"/>
    <w:rsid w:val="00CA050F"/>
    <w:rsid w:val="00CB6E35"/>
    <w:rsid w:val="00CD3D3A"/>
    <w:rsid w:val="00CE1A46"/>
    <w:rsid w:val="00CE456F"/>
    <w:rsid w:val="00D20757"/>
    <w:rsid w:val="00D22636"/>
    <w:rsid w:val="00D2280E"/>
    <w:rsid w:val="00D231CE"/>
    <w:rsid w:val="00D40FD9"/>
    <w:rsid w:val="00D53769"/>
    <w:rsid w:val="00D8280B"/>
    <w:rsid w:val="00D85C13"/>
    <w:rsid w:val="00D9111A"/>
    <w:rsid w:val="00D91BE3"/>
    <w:rsid w:val="00D94AFC"/>
    <w:rsid w:val="00DB70AE"/>
    <w:rsid w:val="00DC2238"/>
    <w:rsid w:val="00DD5071"/>
    <w:rsid w:val="00DD5C39"/>
    <w:rsid w:val="00DE5E10"/>
    <w:rsid w:val="00DE7DB7"/>
    <w:rsid w:val="00E00A0A"/>
    <w:rsid w:val="00E066DE"/>
    <w:rsid w:val="00E07F57"/>
    <w:rsid w:val="00E30683"/>
    <w:rsid w:val="00E453D8"/>
    <w:rsid w:val="00E50BCE"/>
    <w:rsid w:val="00E574BF"/>
    <w:rsid w:val="00E61292"/>
    <w:rsid w:val="00E77C4D"/>
    <w:rsid w:val="00E81D01"/>
    <w:rsid w:val="00EA1132"/>
    <w:rsid w:val="00EE45D8"/>
    <w:rsid w:val="00F22EDA"/>
    <w:rsid w:val="00F41C53"/>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946B4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B44B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5107</Characters>
  <Application>Microsoft Office Word</Application>
  <DocSecurity>0</DocSecurity>
  <Lines>42</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2018-06-11T16:58:00Z</dcterms:created>
  <dcterms:modified xsi:type="dcterms:W3CDTF">2018-06-11T16:58:00Z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