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68956" w14:textId="77777777" w:rsidR="00F25956" w:rsidRPr="00CC669B" w:rsidRDefault="00F25956" w:rsidP="00F25956">
      <w:pPr>
        <w:rPr>
          <w:rFonts w:ascii="Book Antiqua" w:hAnsi="Book Antiqua" w:cs="Arial"/>
          <w:color w:val="000000"/>
          <w:sz w:val="16"/>
          <w:szCs w:val="16"/>
        </w:rPr>
      </w:pPr>
    </w:p>
    <w:p w14:paraId="552F6143" w14:textId="77777777" w:rsidR="00F25956" w:rsidRPr="00CC669B" w:rsidRDefault="00F25956" w:rsidP="00F25956">
      <w:pPr>
        <w:rPr>
          <w:rFonts w:ascii="Book Antiqua" w:hAnsi="Book Antiqua" w:cs="Arial"/>
          <w:color w:val="000000"/>
          <w:sz w:val="16"/>
          <w:szCs w:val="16"/>
        </w:rPr>
      </w:pPr>
    </w:p>
    <w:p w14:paraId="15B329F3" w14:textId="77777777" w:rsidR="00F25956" w:rsidRPr="00CC669B" w:rsidRDefault="00F25956" w:rsidP="00F25956">
      <w:pPr>
        <w:jc w:val="center"/>
        <w:rPr>
          <w:rFonts w:ascii="Book Antiqua" w:hAnsi="Book Antiqua" w:cs="Arial"/>
          <w:color w:val="000000"/>
        </w:rPr>
      </w:pPr>
      <w:r w:rsidRPr="00CC669B">
        <w:rPr>
          <w:rFonts w:ascii="Book Antiqua" w:hAnsi="Book Antiqua"/>
          <w:noProof/>
        </w:rPr>
        <w:drawing>
          <wp:inline distT="0" distB="0" distL="0" distR="0" wp14:anchorId="13BDB8FC" wp14:editId="33D76C84">
            <wp:extent cx="1404000" cy="1065600"/>
            <wp:effectExtent l="0" t="0" r="571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04000" cy="1065600"/>
                    </a:xfrm>
                    <a:prstGeom prst="rect">
                      <a:avLst/>
                    </a:prstGeom>
                    <a:noFill/>
                    <a:ln>
                      <a:noFill/>
                    </a:ln>
                  </pic:spPr>
                </pic:pic>
              </a:graphicData>
            </a:graphic>
          </wp:inline>
        </w:drawing>
      </w:r>
    </w:p>
    <w:p w14:paraId="155D0441" w14:textId="77777777" w:rsidR="00F25956" w:rsidRPr="00CC669B" w:rsidRDefault="00F25956" w:rsidP="00F25956">
      <w:pPr>
        <w:tabs>
          <w:tab w:val="right" w:pos="9720"/>
        </w:tabs>
        <w:ind w:right="-82"/>
        <w:rPr>
          <w:rFonts w:ascii="Book Antiqua" w:hAnsi="Book Antiqua" w:cs="Arial"/>
          <w:b/>
          <w:color w:val="000000"/>
        </w:rPr>
      </w:pPr>
      <w:r w:rsidRPr="00CC669B">
        <w:rPr>
          <w:rFonts w:ascii="Book Antiqua" w:hAnsi="Book Antiqua" w:cs="Arial"/>
          <w:b/>
          <w:color w:val="000000"/>
        </w:rPr>
        <w:t xml:space="preserve">Upper Tribunal </w:t>
      </w:r>
    </w:p>
    <w:p w14:paraId="2C78F533" w14:textId="53724631" w:rsidR="00F25956" w:rsidRPr="00CC669B" w:rsidRDefault="00F25956" w:rsidP="0005563A">
      <w:pPr>
        <w:tabs>
          <w:tab w:val="right" w:pos="9720"/>
        </w:tabs>
        <w:ind w:right="-82"/>
        <w:rPr>
          <w:rFonts w:ascii="Book Antiqua" w:hAnsi="Book Antiqua" w:cs="Arial"/>
          <w:color w:val="000000"/>
        </w:rPr>
      </w:pPr>
      <w:r w:rsidRPr="00CC669B">
        <w:rPr>
          <w:rFonts w:ascii="Book Antiqua" w:hAnsi="Book Antiqua" w:cs="Arial"/>
          <w:b/>
          <w:color w:val="000000"/>
        </w:rPr>
        <w:t>(</w:t>
      </w:r>
      <w:r w:rsidR="00CC669B" w:rsidRPr="00CC669B">
        <w:rPr>
          <w:rFonts w:ascii="Book Antiqua" w:hAnsi="Book Antiqua" w:cs="Arial"/>
          <w:b/>
          <w:color w:val="000000"/>
        </w:rPr>
        <w:t xml:space="preserve">Immigration and Asylum </w:t>
      </w:r>
      <w:proofErr w:type="gramStart"/>
      <w:r w:rsidR="00CC669B" w:rsidRPr="00CC669B">
        <w:rPr>
          <w:rFonts w:ascii="Book Antiqua" w:hAnsi="Book Antiqua" w:cs="Arial"/>
          <w:b/>
          <w:color w:val="000000"/>
        </w:rPr>
        <w:t xml:space="preserve">Chamber)   </w:t>
      </w:r>
      <w:proofErr w:type="gramEnd"/>
      <w:r w:rsidR="00CC669B" w:rsidRPr="00CC669B">
        <w:rPr>
          <w:rFonts w:ascii="Book Antiqua" w:hAnsi="Book Antiqua" w:cs="Arial"/>
          <w:b/>
          <w:color w:val="000000"/>
        </w:rPr>
        <w:t xml:space="preserve">                </w:t>
      </w:r>
      <w:r w:rsidRPr="00CC669B">
        <w:rPr>
          <w:rFonts w:ascii="Book Antiqua" w:hAnsi="Book Antiqua" w:cs="Arial"/>
          <w:b/>
          <w:color w:val="000000"/>
        </w:rPr>
        <w:t xml:space="preserve">Appeal Number: </w:t>
      </w:r>
      <w:r w:rsidR="0005563A" w:rsidRPr="00CC669B">
        <w:rPr>
          <w:rFonts w:ascii="Book Antiqua" w:hAnsi="Book Antiqua" w:cs="Arial"/>
          <w:b/>
          <w:color w:val="000000"/>
        </w:rPr>
        <w:t>EA/00812/2017</w:t>
      </w:r>
    </w:p>
    <w:p w14:paraId="38376289" w14:textId="77777777" w:rsidR="00CC669B" w:rsidRPr="00CC669B" w:rsidRDefault="00CC669B" w:rsidP="00F25956">
      <w:pPr>
        <w:jc w:val="center"/>
        <w:rPr>
          <w:rFonts w:ascii="Book Antiqua" w:hAnsi="Book Antiqua" w:cs="Arial"/>
          <w:b/>
          <w:color w:val="000000"/>
          <w:u w:val="single"/>
        </w:rPr>
      </w:pPr>
    </w:p>
    <w:p w14:paraId="37637939" w14:textId="05EB8AC5" w:rsidR="00F25956" w:rsidRPr="00CC669B" w:rsidRDefault="00F25956" w:rsidP="00F25956">
      <w:pPr>
        <w:jc w:val="center"/>
        <w:rPr>
          <w:rFonts w:ascii="Book Antiqua" w:hAnsi="Book Antiqua" w:cs="Arial"/>
          <w:b/>
          <w:color w:val="000000"/>
          <w:u w:val="single"/>
        </w:rPr>
      </w:pPr>
      <w:r w:rsidRPr="00CC669B">
        <w:rPr>
          <w:rFonts w:ascii="Book Antiqua" w:hAnsi="Book Antiqua" w:cs="Arial"/>
          <w:b/>
          <w:color w:val="000000"/>
          <w:u w:val="single"/>
        </w:rPr>
        <w:t>THE IMMIGRATION ACTS</w:t>
      </w:r>
    </w:p>
    <w:p w14:paraId="7E2E556C" w14:textId="77777777" w:rsidR="00F25956" w:rsidRPr="00CC669B" w:rsidRDefault="00F25956" w:rsidP="00F25956">
      <w:pPr>
        <w:jc w:val="center"/>
        <w:rPr>
          <w:rFonts w:ascii="Book Antiqua" w:hAnsi="Book Antiqua" w:cs="Arial"/>
          <w:b/>
          <w:u w:val="single"/>
        </w:rPr>
      </w:pPr>
    </w:p>
    <w:tbl>
      <w:tblPr>
        <w:tblW w:w="10488" w:type="dxa"/>
        <w:tblLook w:val="01E0" w:firstRow="1" w:lastRow="1" w:firstColumn="1" w:lastColumn="1" w:noHBand="0" w:noVBand="0"/>
      </w:tblPr>
      <w:tblGrid>
        <w:gridCol w:w="5103"/>
        <w:gridCol w:w="1268"/>
        <w:gridCol w:w="4117"/>
      </w:tblGrid>
      <w:tr w:rsidR="00F25956" w:rsidRPr="00CC669B" w14:paraId="2C0C000E" w14:textId="77777777" w:rsidTr="00CC669B">
        <w:trPr>
          <w:trHeight w:val="335"/>
        </w:trPr>
        <w:tc>
          <w:tcPr>
            <w:tcW w:w="5103" w:type="dxa"/>
            <w:hideMark/>
          </w:tcPr>
          <w:p w14:paraId="529008A5" w14:textId="77777777" w:rsidR="00F25956" w:rsidRPr="00CC669B" w:rsidRDefault="00F25956" w:rsidP="003045CA">
            <w:pPr>
              <w:jc w:val="both"/>
              <w:rPr>
                <w:rFonts w:ascii="Book Antiqua" w:hAnsi="Book Antiqua" w:cs="Arial"/>
                <w:b/>
              </w:rPr>
            </w:pPr>
            <w:r w:rsidRPr="00CC669B">
              <w:rPr>
                <w:rFonts w:ascii="Book Antiqua" w:hAnsi="Book Antiqua" w:cs="Arial"/>
                <w:b/>
              </w:rPr>
              <w:t>Heard at Field House</w:t>
            </w:r>
          </w:p>
        </w:tc>
        <w:tc>
          <w:tcPr>
            <w:tcW w:w="5385" w:type="dxa"/>
            <w:gridSpan w:val="2"/>
            <w:hideMark/>
          </w:tcPr>
          <w:p w14:paraId="7AA877E2" w14:textId="1EC649BA" w:rsidR="00F25956" w:rsidRPr="00CC669B" w:rsidRDefault="00CC669B" w:rsidP="003045CA">
            <w:pPr>
              <w:jc w:val="both"/>
              <w:rPr>
                <w:rFonts w:ascii="Book Antiqua" w:hAnsi="Book Antiqua" w:cs="Arial"/>
                <w:b/>
                <w:color w:val="000000"/>
              </w:rPr>
            </w:pPr>
            <w:r w:rsidRPr="00CC669B">
              <w:rPr>
                <w:rFonts w:ascii="Book Antiqua" w:hAnsi="Book Antiqua" w:cs="Arial"/>
                <w:b/>
                <w:color w:val="000000"/>
              </w:rPr>
              <w:t xml:space="preserve">Decision &amp; Reasons </w:t>
            </w:r>
            <w:r w:rsidR="00F25956" w:rsidRPr="00CC669B">
              <w:rPr>
                <w:rFonts w:ascii="Book Antiqua" w:hAnsi="Book Antiqua" w:cs="Arial"/>
                <w:b/>
                <w:color w:val="000000"/>
              </w:rPr>
              <w:t>Promulgated</w:t>
            </w:r>
          </w:p>
        </w:tc>
      </w:tr>
      <w:tr w:rsidR="00F25956" w:rsidRPr="00CC669B" w14:paraId="2E8FE993" w14:textId="77777777" w:rsidTr="00CC669B">
        <w:trPr>
          <w:trHeight w:val="335"/>
        </w:trPr>
        <w:tc>
          <w:tcPr>
            <w:tcW w:w="5103" w:type="dxa"/>
            <w:hideMark/>
          </w:tcPr>
          <w:p w14:paraId="636AE2BD" w14:textId="77777777" w:rsidR="00F25956" w:rsidRPr="00CC669B" w:rsidRDefault="00F25956" w:rsidP="003045CA">
            <w:pPr>
              <w:jc w:val="both"/>
              <w:rPr>
                <w:rFonts w:ascii="Book Antiqua" w:hAnsi="Book Antiqua" w:cs="Arial"/>
                <w:b/>
              </w:rPr>
            </w:pPr>
            <w:r w:rsidRPr="00CC669B">
              <w:rPr>
                <w:rFonts w:ascii="Book Antiqua" w:hAnsi="Book Antiqua" w:cs="Arial"/>
                <w:b/>
              </w:rPr>
              <w:t xml:space="preserve">On </w:t>
            </w:r>
            <w:r w:rsidR="00B379F3" w:rsidRPr="00CC669B">
              <w:rPr>
                <w:rFonts w:ascii="Book Antiqua" w:hAnsi="Book Antiqua" w:cs="Arial"/>
                <w:b/>
              </w:rPr>
              <w:t>8 June</w:t>
            </w:r>
            <w:r w:rsidRPr="00CC669B">
              <w:rPr>
                <w:rFonts w:ascii="Book Antiqua" w:hAnsi="Book Antiqua" w:cs="Arial"/>
                <w:b/>
              </w:rPr>
              <w:t xml:space="preserve"> 2018</w:t>
            </w:r>
          </w:p>
        </w:tc>
        <w:tc>
          <w:tcPr>
            <w:tcW w:w="5385" w:type="dxa"/>
            <w:gridSpan w:val="2"/>
          </w:tcPr>
          <w:p w14:paraId="16895BB5" w14:textId="77777777" w:rsidR="00F25956" w:rsidRPr="00CC669B" w:rsidRDefault="00D67F3E" w:rsidP="003045CA">
            <w:pPr>
              <w:jc w:val="both"/>
              <w:rPr>
                <w:rFonts w:ascii="Book Antiqua" w:hAnsi="Book Antiqua" w:cs="Arial"/>
                <w:b/>
                <w:bCs/>
              </w:rPr>
            </w:pPr>
            <w:r w:rsidRPr="00CC669B">
              <w:rPr>
                <w:rFonts w:ascii="Book Antiqua" w:hAnsi="Book Antiqua" w:cs="Arial"/>
                <w:b/>
                <w:bCs/>
              </w:rPr>
              <w:t>On 14 June 2018</w:t>
            </w:r>
          </w:p>
        </w:tc>
      </w:tr>
      <w:tr w:rsidR="00F25956" w:rsidRPr="00CC669B" w14:paraId="259272A0" w14:textId="77777777" w:rsidTr="00D67F3E">
        <w:trPr>
          <w:trHeight w:val="335"/>
        </w:trPr>
        <w:tc>
          <w:tcPr>
            <w:tcW w:w="6371" w:type="dxa"/>
            <w:gridSpan w:val="2"/>
          </w:tcPr>
          <w:p w14:paraId="6200766E" w14:textId="77777777" w:rsidR="00F25956" w:rsidRPr="00CC669B" w:rsidRDefault="00F25956" w:rsidP="003045CA">
            <w:pPr>
              <w:jc w:val="both"/>
              <w:rPr>
                <w:rFonts w:ascii="Book Antiqua" w:hAnsi="Book Antiqua" w:cs="Arial"/>
                <w:b/>
              </w:rPr>
            </w:pPr>
          </w:p>
        </w:tc>
        <w:tc>
          <w:tcPr>
            <w:tcW w:w="4117" w:type="dxa"/>
            <w:hideMark/>
          </w:tcPr>
          <w:p w14:paraId="46CC457C" w14:textId="77777777" w:rsidR="00F25956" w:rsidRPr="00CC669B" w:rsidRDefault="00F25956" w:rsidP="003045CA">
            <w:pPr>
              <w:jc w:val="both"/>
              <w:rPr>
                <w:rFonts w:ascii="Book Antiqua" w:hAnsi="Book Antiqua" w:cs="Arial"/>
                <w:b/>
              </w:rPr>
            </w:pPr>
          </w:p>
        </w:tc>
      </w:tr>
    </w:tbl>
    <w:p w14:paraId="7E443006" w14:textId="77777777" w:rsidR="00F25956" w:rsidRPr="00CC669B" w:rsidRDefault="00F25956" w:rsidP="00F25956">
      <w:pPr>
        <w:jc w:val="center"/>
        <w:rPr>
          <w:rFonts w:ascii="Book Antiqua" w:hAnsi="Book Antiqua" w:cs="Arial"/>
        </w:rPr>
      </w:pPr>
    </w:p>
    <w:p w14:paraId="18F35676" w14:textId="7BD8459D" w:rsidR="00F25956" w:rsidRPr="00CC669B" w:rsidRDefault="00F25956" w:rsidP="00F25956">
      <w:pPr>
        <w:jc w:val="center"/>
        <w:rPr>
          <w:rFonts w:ascii="Book Antiqua" w:hAnsi="Book Antiqua" w:cs="Arial"/>
          <w:b/>
        </w:rPr>
      </w:pPr>
      <w:r w:rsidRPr="00CC669B">
        <w:rPr>
          <w:rFonts w:ascii="Book Antiqua" w:hAnsi="Book Antiqua" w:cs="Arial"/>
          <w:b/>
        </w:rPr>
        <w:t>Before</w:t>
      </w:r>
    </w:p>
    <w:p w14:paraId="32F3958B" w14:textId="77777777" w:rsidR="00CC669B" w:rsidRPr="00CC669B" w:rsidRDefault="00CC669B" w:rsidP="00F25956">
      <w:pPr>
        <w:jc w:val="center"/>
        <w:rPr>
          <w:rFonts w:ascii="Book Antiqua" w:hAnsi="Book Antiqua" w:cs="Arial"/>
          <w:b/>
        </w:rPr>
      </w:pPr>
    </w:p>
    <w:p w14:paraId="4A489F25" w14:textId="77777777" w:rsidR="00F25956" w:rsidRPr="00CC669B" w:rsidRDefault="00F25956" w:rsidP="00F25956">
      <w:pPr>
        <w:jc w:val="center"/>
        <w:rPr>
          <w:rFonts w:ascii="Book Antiqua" w:hAnsi="Book Antiqua" w:cs="Arial"/>
          <w:b/>
          <w:color w:val="000000"/>
        </w:rPr>
      </w:pPr>
      <w:r w:rsidRPr="00CC669B">
        <w:rPr>
          <w:rFonts w:ascii="Book Antiqua" w:hAnsi="Book Antiqua" w:cs="Arial"/>
          <w:b/>
          <w:color w:val="000000"/>
        </w:rPr>
        <w:t>DEPUTY UPPER TRIBUNAL JUDGE JORDAN</w:t>
      </w:r>
    </w:p>
    <w:p w14:paraId="5F0E23B5" w14:textId="77777777" w:rsidR="00F25956" w:rsidRPr="00CC669B" w:rsidRDefault="00F25956" w:rsidP="00F25956">
      <w:pPr>
        <w:jc w:val="center"/>
        <w:rPr>
          <w:rFonts w:ascii="Book Antiqua" w:hAnsi="Book Antiqua" w:cs="Arial"/>
          <w:b/>
        </w:rPr>
      </w:pPr>
    </w:p>
    <w:p w14:paraId="3C7CCBB8" w14:textId="77777777" w:rsidR="00F25956" w:rsidRPr="00CC669B" w:rsidRDefault="00F25956" w:rsidP="00F25956">
      <w:pPr>
        <w:jc w:val="center"/>
        <w:rPr>
          <w:rFonts w:ascii="Book Antiqua" w:hAnsi="Book Antiqua" w:cs="Arial"/>
          <w:b/>
        </w:rPr>
      </w:pPr>
      <w:r w:rsidRPr="00CC669B">
        <w:rPr>
          <w:rFonts w:ascii="Book Antiqua" w:hAnsi="Book Antiqua" w:cs="Arial"/>
          <w:b/>
        </w:rPr>
        <w:t>Between</w:t>
      </w:r>
    </w:p>
    <w:p w14:paraId="1AA01A14" w14:textId="77777777" w:rsidR="00F25956" w:rsidRPr="00CC669B" w:rsidRDefault="00F25956" w:rsidP="00F25956">
      <w:pPr>
        <w:jc w:val="center"/>
        <w:rPr>
          <w:rFonts w:ascii="Book Antiqua" w:hAnsi="Book Antiqua" w:cs="Arial"/>
          <w:b/>
        </w:rPr>
      </w:pPr>
    </w:p>
    <w:p w14:paraId="0B1528A4" w14:textId="703A9AE8" w:rsidR="00F25956" w:rsidRPr="00CC669B" w:rsidRDefault="004E28F1" w:rsidP="00F25956">
      <w:pPr>
        <w:jc w:val="center"/>
        <w:rPr>
          <w:rFonts w:ascii="Book Antiqua" w:hAnsi="Book Antiqua" w:cs="Arial"/>
          <w:b/>
        </w:rPr>
      </w:pPr>
      <w:r w:rsidRPr="004E28F1">
        <w:rPr>
          <w:rFonts w:ascii="Book Antiqua" w:hAnsi="Book Antiqua" w:cs="Arial"/>
          <w:b/>
        </w:rPr>
        <w:t>AMDADUL KARIM</w:t>
      </w:r>
      <w:r>
        <w:rPr>
          <w:rFonts w:ascii="Book Antiqua" w:hAnsi="Book Antiqua" w:cs="Arial"/>
          <w:b/>
        </w:rPr>
        <w:t xml:space="preserve"> </w:t>
      </w:r>
      <w:r w:rsidR="00CC669B" w:rsidRPr="00CC669B">
        <w:rPr>
          <w:rFonts w:ascii="Book Antiqua" w:hAnsi="Book Antiqua" w:cs="Arial"/>
          <w:b/>
        </w:rPr>
        <w:t>CHOWDHURY</w:t>
      </w:r>
    </w:p>
    <w:p w14:paraId="45C4D7F8" w14:textId="77777777" w:rsidR="00F25956" w:rsidRPr="00CC669B" w:rsidRDefault="00F25956" w:rsidP="00F25956">
      <w:pPr>
        <w:jc w:val="right"/>
        <w:rPr>
          <w:rFonts w:ascii="Book Antiqua" w:hAnsi="Book Antiqua" w:cs="Arial"/>
          <w:u w:val="single"/>
        </w:rPr>
      </w:pPr>
      <w:r w:rsidRPr="00CC669B">
        <w:rPr>
          <w:rFonts w:ascii="Book Antiqua" w:hAnsi="Book Antiqua" w:cs="Arial"/>
          <w:u w:val="single"/>
        </w:rPr>
        <w:t>Applicant</w:t>
      </w:r>
    </w:p>
    <w:p w14:paraId="62B2AC2E" w14:textId="77777777" w:rsidR="00CC669B" w:rsidRPr="00CC669B" w:rsidRDefault="00CC669B" w:rsidP="00F25956">
      <w:pPr>
        <w:jc w:val="center"/>
        <w:rPr>
          <w:rFonts w:ascii="Book Antiqua" w:hAnsi="Book Antiqua" w:cs="Arial"/>
          <w:b/>
        </w:rPr>
      </w:pPr>
    </w:p>
    <w:p w14:paraId="2B9E2E5F" w14:textId="0696CFE8" w:rsidR="00F25956" w:rsidRPr="00CC669B" w:rsidRDefault="00F25956" w:rsidP="00F25956">
      <w:pPr>
        <w:jc w:val="center"/>
        <w:rPr>
          <w:rFonts w:ascii="Book Antiqua" w:hAnsi="Book Antiqua" w:cs="Arial"/>
          <w:b/>
        </w:rPr>
      </w:pPr>
      <w:r w:rsidRPr="00CC669B">
        <w:rPr>
          <w:rFonts w:ascii="Book Antiqua" w:hAnsi="Book Antiqua" w:cs="Arial"/>
          <w:b/>
        </w:rPr>
        <w:t>and</w:t>
      </w:r>
    </w:p>
    <w:p w14:paraId="6E65ADDA" w14:textId="77777777" w:rsidR="00F25956" w:rsidRPr="00CC669B" w:rsidRDefault="00F25956" w:rsidP="00F25956">
      <w:pPr>
        <w:jc w:val="center"/>
        <w:rPr>
          <w:rFonts w:ascii="Book Antiqua" w:hAnsi="Book Antiqua" w:cs="Arial"/>
          <w:b/>
        </w:rPr>
      </w:pPr>
    </w:p>
    <w:p w14:paraId="4DCB7F01" w14:textId="74B2F133" w:rsidR="00F25956" w:rsidRPr="00CC669B" w:rsidRDefault="00CC669B" w:rsidP="00F25956">
      <w:pPr>
        <w:jc w:val="center"/>
        <w:rPr>
          <w:rFonts w:ascii="Book Antiqua" w:hAnsi="Book Antiqua" w:cs="Arial"/>
          <w:b/>
        </w:rPr>
      </w:pPr>
      <w:r w:rsidRPr="00CC669B">
        <w:rPr>
          <w:rFonts w:ascii="Book Antiqua" w:hAnsi="Book Antiqua" w:cs="Arial"/>
          <w:b/>
        </w:rPr>
        <w:t xml:space="preserve">SECRETARY OF STATE FOR THE HOME DEPARTMENT </w:t>
      </w:r>
    </w:p>
    <w:p w14:paraId="12D4181E" w14:textId="77777777" w:rsidR="00F25956" w:rsidRPr="00CC669B" w:rsidRDefault="00F25956" w:rsidP="00F25956">
      <w:pPr>
        <w:jc w:val="right"/>
        <w:rPr>
          <w:rFonts w:ascii="Book Antiqua" w:hAnsi="Book Antiqua" w:cs="Arial"/>
          <w:u w:val="single"/>
        </w:rPr>
      </w:pPr>
      <w:r w:rsidRPr="00CC669B">
        <w:rPr>
          <w:rFonts w:ascii="Book Antiqua" w:hAnsi="Book Antiqua" w:cs="Arial"/>
          <w:u w:val="single"/>
        </w:rPr>
        <w:t>Respondent</w:t>
      </w:r>
    </w:p>
    <w:p w14:paraId="6DADE6B3" w14:textId="77777777" w:rsidR="00F25956" w:rsidRPr="00CC669B" w:rsidRDefault="00F25956" w:rsidP="00F25956">
      <w:pPr>
        <w:rPr>
          <w:rFonts w:ascii="Book Antiqua" w:hAnsi="Book Antiqua" w:cs="Arial"/>
          <w:u w:val="single"/>
        </w:rPr>
      </w:pPr>
    </w:p>
    <w:p w14:paraId="43785CE2" w14:textId="76717A27" w:rsidR="00F25956" w:rsidRPr="00CC669B" w:rsidRDefault="00F25956" w:rsidP="00F25956">
      <w:pPr>
        <w:rPr>
          <w:rFonts w:ascii="Book Antiqua" w:hAnsi="Book Antiqua" w:cs="Arial"/>
          <w:b/>
        </w:rPr>
      </w:pPr>
      <w:r w:rsidRPr="00CC669B">
        <w:rPr>
          <w:rFonts w:ascii="Book Antiqua" w:hAnsi="Book Antiqua" w:cs="Arial"/>
          <w:b/>
          <w:u w:val="single"/>
        </w:rPr>
        <w:t>Representation</w:t>
      </w:r>
      <w:r w:rsidRPr="00CC669B">
        <w:rPr>
          <w:rFonts w:ascii="Book Antiqua" w:hAnsi="Book Antiqua" w:cs="Arial"/>
          <w:b/>
        </w:rPr>
        <w:t>:</w:t>
      </w:r>
    </w:p>
    <w:p w14:paraId="7A681935" w14:textId="77777777" w:rsidR="00CC669B" w:rsidRPr="00CC669B" w:rsidRDefault="00CC669B" w:rsidP="00F25956">
      <w:pPr>
        <w:rPr>
          <w:rFonts w:ascii="Book Antiqua" w:hAnsi="Book Antiqua" w:cs="Arial"/>
        </w:rPr>
      </w:pPr>
    </w:p>
    <w:p w14:paraId="7B902DAE" w14:textId="77777777" w:rsidR="00F25956" w:rsidRPr="00CC669B" w:rsidRDefault="00F25956" w:rsidP="00F25956">
      <w:pPr>
        <w:tabs>
          <w:tab w:val="left" w:pos="2520"/>
        </w:tabs>
        <w:rPr>
          <w:rFonts w:ascii="Book Antiqua" w:hAnsi="Book Antiqua" w:cs="Arial"/>
        </w:rPr>
      </w:pPr>
      <w:r w:rsidRPr="00CC669B">
        <w:rPr>
          <w:rFonts w:ascii="Book Antiqua" w:hAnsi="Book Antiqua" w:cs="Arial"/>
        </w:rPr>
        <w:t xml:space="preserve">For the </w:t>
      </w:r>
      <w:r w:rsidR="00B379F3" w:rsidRPr="00CC669B">
        <w:rPr>
          <w:rFonts w:ascii="Book Antiqua" w:hAnsi="Book Antiqua" w:cs="Arial"/>
        </w:rPr>
        <w:t>appellant:</w:t>
      </w:r>
      <w:r w:rsidRPr="00CC669B">
        <w:rPr>
          <w:rFonts w:ascii="Book Antiqua" w:hAnsi="Book Antiqua" w:cs="Arial"/>
        </w:rPr>
        <w:tab/>
        <w:t>M</w:t>
      </w:r>
      <w:r w:rsidR="00B379F3" w:rsidRPr="00CC669B">
        <w:rPr>
          <w:rFonts w:ascii="Book Antiqua" w:hAnsi="Book Antiqua" w:cs="Arial"/>
        </w:rPr>
        <w:t xml:space="preserve">r J. </w:t>
      </w:r>
      <w:proofErr w:type="spellStart"/>
      <w:r w:rsidR="00B379F3" w:rsidRPr="00CC669B">
        <w:rPr>
          <w:rFonts w:ascii="Book Antiqua" w:hAnsi="Book Antiqua" w:cs="Arial"/>
        </w:rPr>
        <w:t>Sarker</w:t>
      </w:r>
      <w:proofErr w:type="spellEnd"/>
      <w:r w:rsidR="00B379F3" w:rsidRPr="00CC669B">
        <w:rPr>
          <w:rFonts w:ascii="Book Antiqua" w:hAnsi="Book Antiqua" w:cs="Arial"/>
        </w:rPr>
        <w:t>, Counsel, instructed by Adam Bernard Solicitors</w:t>
      </w:r>
      <w:r w:rsidRPr="00CC669B">
        <w:rPr>
          <w:rFonts w:ascii="Book Antiqua" w:hAnsi="Book Antiqua" w:cs="Arial"/>
        </w:rPr>
        <w:t xml:space="preserve"> </w:t>
      </w:r>
    </w:p>
    <w:p w14:paraId="65355569" w14:textId="77777777" w:rsidR="00F25956" w:rsidRPr="00CC669B" w:rsidRDefault="00F25956" w:rsidP="00F25956">
      <w:pPr>
        <w:tabs>
          <w:tab w:val="left" w:pos="2520"/>
        </w:tabs>
        <w:ind w:left="2520" w:hanging="2520"/>
        <w:rPr>
          <w:rFonts w:ascii="Book Antiqua" w:hAnsi="Book Antiqua" w:cs="Arial"/>
        </w:rPr>
      </w:pPr>
      <w:r w:rsidRPr="00CC669B">
        <w:rPr>
          <w:rFonts w:ascii="Book Antiqua" w:hAnsi="Book Antiqua" w:cs="Arial"/>
        </w:rPr>
        <w:t>For</w:t>
      </w:r>
      <w:r w:rsidR="00B379F3" w:rsidRPr="00CC669B">
        <w:rPr>
          <w:rFonts w:ascii="Book Antiqua" w:hAnsi="Book Antiqua" w:cs="Arial"/>
        </w:rPr>
        <w:t xml:space="preserve"> the respondent:</w:t>
      </w:r>
      <w:r w:rsidRPr="00CC669B">
        <w:rPr>
          <w:rFonts w:ascii="Book Antiqua" w:hAnsi="Book Antiqua" w:cs="Arial"/>
        </w:rPr>
        <w:tab/>
      </w:r>
      <w:r w:rsidR="00B379F3" w:rsidRPr="00CC669B">
        <w:rPr>
          <w:rFonts w:ascii="Book Antiqua" w:hAnsi="Book Antiqua" w:cs="Arial"/>
        </w:rPr>
        <w:t>Ms J. Isherwood Home Office Presenting Officer</w:t>
      </w:r>
      <w:r w:rsidRPr="00CC669B">
        <w:rPr>
          <w:rFonts w:ascii="Book Antiqua" w:hAnsi="Book Antiqua" w:cs="Arial"/>
        </w:rPr>
        <w:t xml:space="preserve"> </w:t>
      </w:r>
    </w:p>
    <w:p w14:paraId="4A1A77E2" w14:textId="77777777" w:rsidR="00F25956" w:rsidRPr="00CC669B" w:rsidRDefault="00F25956" w:rsidP="00F25956">
      <w:pPr>
        <w:tabs>
          <w:tab w:val="left" w:pos="2520"/>
        </w:tabs>
        <w:jc w:val="center"/>
        <w:rPr>
          <w:rFonts w:ascii="Book Antiqua" w:hAnsi="Book Antiqua" w:cs="Arial"/>
        </w:rPr>
      </w:pPr>
    </w:p>
    <w:p w14:paraId="7475F1AA" w14:textId="77777777" w:rsidR="00B0555A" w:rsidRPr="00CC669B" w:rsidRDefault="00B379F3" w:rsidP="00B379F3">
      <w:pPr>
        <w:jc w:val="center"/>
        <w:rPr>
          <w:rFonts w:ascii="Book Antiqua" w:hAnsi="Book Antiqua"/>
          <w:b/>
          <w:u w:val="single"/>
        </w:rPr>
      </w:pPr>
      <w:r w:rsidRPr="00CC669B">
        <w:rPr>
          <w:rFonts w:ascii="Book Antiqua" w:hAnsi="Book Antiqua"/>
          <w:b/>
          <w:u w:val="single"/>
        </w:rPr>
        <w:t>DECISION AND REASONS</w:t>
      </w:r>
    </w:p>
    <w:p w14:paraId="6BC4FB6B" w14:textId="77777777" w:rsidR="00B379F3" w:rsidRPr="00CC669B" w:rsidRDefault="00B379F3" w:rsidP="00FF7C77">
      <w:pPr>
        <w:jc w:val="both"/>
        <w:rPr>
          <w:rFonts w:ascii="Book Antiqua" w:hAnsi="Book Antiqua"/>
          <w:u w:val="single"/>
        </w:rPr>
      </w:pPr>
    </w:p>
    <w:p w14:paraId="7EEE3107" w14:textId="77777777" w:rsidR="00671F51" w:rsidRPr="00CC669B" w:rsidRDefault="00B379F3" w:rsidP="00FF7C77">
      <w:pPr>
        <w:pStyle w:val="ListParagraph"/>
        <w:numPr>
          <w:ilvl w:val="0"/>
          <w:numId w:val="1"/>
        </w:numPr>
        <w:jc w:val="both"/>
        <w:rPr>
          <w:rFonts w:ascii="Book Antiqua" w:hAnsi="Book Antiqua"/>
        </w:rPr>
      </w:pPr>
      <w:r w:rsidRPr="00CC669B">
        <w:rPr>
          <w:rFonts w:ascii="Book Antiqua" w:hAnsi="Book Antiqua"/>
        </w:rPr>
        <w:t>The appellant is a citizen of Bangladesh who was born on 20 April 1989</w:t>
      </w:r>
      <w:r w:rsidR="00671F51" w:rsidRPr="00CC669B">
        <w:rPr>
          <w:rFonts w:ascii="Book Antiqua" w:hAnsi="Book Antiqua"/>
        </w:rPr>
        <w:t xml:space="preserve">. He appeals against the decision of </w:t>
      </w:r>
      <w:r w:rsidR="00EF235E" w:rsidRPr="00CC669B">
        <w:rPr>
          <w:rFonts w:ascii="Book Antiqua" w:hAnsi="Book Antiqua"/>
        </w:rPr>
        <w:t>F</w:t>
      </w:r>
      <w:r w:rsidR="00671F51" w:rsidRPr="00CC669B">
        <w:rPr>
          <w:rFonts w:ascii="Book Antiqua" w:hAnsi="Book Antiqua"/>
        </w:rPr>
        <w:t xml:space="preserve">irst-tier Tribunal Judge Norris promulgated on 29 November 2017 dismissing his appeal against the decision of the Secretary of State made on 12 January 2017 refusing to issue him with a residence card acknowledging his entitlement to a retained right of residence. </w:t>
      </w:r>
    </w:p>
    <w:p w14:paraId="12DBCECF" w14:textId="77777777" w:rsidR="00FF7C77" w:rsidRPr="00CC669B" w:rsidRDefault="00FF7C77" w:rsidP="00FF7C77">
      <w:pPr>
        <w:pStyle w:val="ListParagraph"/>
        <w:jc w:val="both"/>
        <w:rPr>
          <w:rFonts w:ascii="Book Antiqua" w:hAnsi="Book Antiqua"/>
        </w:rPr>
      </w:pPr>
    </w:p>
    <w:p w14:paraId="15999905" w14:textId="7DFB4618" w:rsidR="00671F51" w:rsidRDefault="00671F51" w:rsidP="00FF7C77">
      <w:pPr>
        <w:pStyle w:val="ListParagraph"/>
        <w:numPr>
          <w:ilvl w:val="0"/>
          <w:numId w:val="1"/>
        </w:numPr>
        <w:jc w:val="both"/>
        <w:rPr>
          <w:rFonts w:ascii="Book Antiqua" w:hAnsi="Book Antiqua"/>
        </w:rPr>
      </w:pPr>
      <w:r w:rsidRPr="00CC669B">
        <w:rPr>
          <w:rFonts w:ascii="Book Antiqua" w:hAnsi="Book Antiqua"/>
        </w:rPr>
        <w:t xml:space="preserve">The appellant entered the United Kingdom on 15 October 2008 as a student with valid leave until April 2012. In 2009 he met Ms </w:t>
      </w:r>
      <w:proofErr w:type="spellStart"/>
      <w:r w:rsidRPr="00CC669B">
        <w:rPr>
          <w:rFonts w:ascii="Book Antiqua" w:hAnsi="Book Antiqua"/>
        </w:rPr>
        <w:t>Juarte</w:t>
      </w:r>
      <w:proofErr w:type="spellEnd"/>
      <w:r w:rsidRPr="00CC669B">
        <w:rPr>
          <w:rFonts w:ascii="Book Antiqua" w:hAnsi="Book Antiqua"/>
        </w:rPr>
        <w:t xml:space="preserve"> </w:t>
      </w:r>
      <w:proofErr w:type="spellStart"/>
      <w:r w:rsidRPr="00CC669B">
        <w:rPr>
          <w:rFonts w:ascii="Book Antiqua" w:hAnsi="Book Antiqua"/>
        </w:rPr>
        <w:t>Zelekiene</w:t>
      </w:r>
      <w:proofErr w:type="spellEnd"/>
      <w:r w:rsidRPr="00CC669B">
        <w:rPr>
          <w:rFonts w:ascii="Book Antiqua" w:hAnsi="Book Antiqua"/>
        </w:rPr>
        <w:t xml:space="preserve">. The couple were married on 7 January 2011. Unfortunately, they were separated in 2012. Ms </w:t>
      </w:r>
      <w:proofErr w:type="spellStart"/>
      <w:r w:rsidR="00FF7C77" w:rsidRPr="00CC669B">
        <w:rPr>
          <w:rFonts w:ascii="Book Antiqua" w:hAnsi="Book Antiqua"/>
        </w:rPr>
        <w:t>Zelekiene</w:t>
      </w:r>
      <w:proofErr w:type="spellEnd"/>
      <w:r w:rsidRPr="00CC669B">
        <w:rPr>
          <w:rFonts w:ascii="Book Antiqua" w:hAnsi="Book Antiqua"/>
        </w:rPr>
        <w:t xml:space="preserve"> told him that she had met someone else. On the following day she told him that she intended to divorce him. Thereafter he was unable to </w:t>
      </w:r>
      <w:r w:rsidRPr="00CC669B">
        <w:rPr>
          <w:rFonts w:ascii="Book Antiqua" w:hAnsi="Book Antiqua"/>
        </w:rPr>
        <w:lastRenderedPageBreak/>
        <w:t>contact her by telephone. She obtained a decree absolute on 10 May 2016 which the appellant discovered through his own solicitors. By then, the couple had been separated for a period of approximately four years during which time the appellant had had no further contact with her.</w:t>
      </w:r>
    </w:p>
    <w:p w14:paraId="3C48D08B" w14:textId="77777777" w:rsidR="004E28F1" w:rsidRPr="004E28F1" w:rsidRDefault="004E28F1" w:rsidP="004E28F1">
      <w:pPr>
        <w:pStyle w:val="ListParagraph"/>
        <w:rPr>
          <w:rFonts w:ascii="Book Antiqua" w:hAnsi="Book Antiqua"/>
        </w:rPr>
      </w:pPr>
    </w:p>
    <w:p w14:paraId="409002AC" w14:textId="77777777" w:rsidR="00B94837" w:rsidRPr="00CC669B" w:rsidRDefault="00671F51" w:rsidP="00FF7C77">
      <w:pPr>
        <w:pStyle w:val="ListParagraph"/>
        <w:numPr>
          <w:ilvl w:val="0"/>
          <w:numId w:val="1"/>
        </w:numPr>
        <w:jc w:val="both"/>
        <w:rPr>
          <w:rFonts w:ascii="Book Antiqua" w:hAnsi="Book Antiqua"/>
        </w:rPr>
      </w:pPr>
      <w:r w:rsidRPr="00CC669B">
        <w:rPr>
          <w:rFonts w:ascii="Book Antiqua" w:hAnsi="Book Antiqua"/>
        </w:rPr>
        <w:t>M</w:t>
      </w:r>
      <w:r w:rsidR="00FF7C77" w:rsidRPr="00CC669B">
        <w:rPr>
          <w:rFonts w:ascii="Book Antiqua" w:hAnsi="Book Antiqua"/>
        </w:rPr>
        <w:t xml:space="preserve">s </w:t>
      </w:r>
      <w:proofErr w:type="spellStart"/>
      <w:r w:rsidR="00FF7C77" w:rsidRPr="00CC669B">
        <w:rPr>
          <w:rFonts w:ascii="Book Antiqua" w:hAnsi="Book Antiqua"/>
        </w:rPr>
        <w:t>Zelekiene</w:t>
      </w:r>
      <w:proofErr w:type="spellEnd"/>
      <w:r w:rsidR="00FF7C77" w:rsidRPr="00CC669B">
        <w:rPr>
          <w:rFonts w:ascii="Book Antiqua" w:hAnsi="Book Antiqua"/>
        </w:rPr>
        <w:t xml:space="preserve"> i</w:t>
      </w:r>
      <w:r w:rsidRPr="00CC669B">
        <w:rPr>
          <w:rFonts w:ascii="Book Antiqua" w:hAnsi="Book Antiqua"/>
        </w:rPr>
        <w:t xml:space="preserve">s a Lithuanian citizen. The rights that the appellant seeks to engage are those contained in the Citizens Directive as incorporated into UK domestic law by the </w:t>
      </w:r>
      <w:r w:rsidR="00FF7C77" w:rsidRPr="00CC669B">
        <w:rPr>
          <w:rFonts w:ascii="Book Antiqua" w:hAnsi="Book Antiqua"/>
        </w:rPr>
        <w:t>I</w:t>
      </w:r>
      <w:r w:rsidRPr="00CC669B">
        <w:rPr>
          <w:rFonts w:ascii="Book Antiqua" w:hAnsi="Book Antiqua"/>
        </w:rPr>
        <w:t>mmigration (E</w:t>
      </w:r>
      <w:r w:rsidR="00FF7C77" w:rsidRPr="00CC669B">
        <w:rPr>
          <w:rFonts w:ascii="Book Antiqua" w:hAnsi="Book Antiqua"/>
        </w:rPr>
        <w:t xml:space="preserve">uropean </w:t>
      </w:r>
      <w:r w:rsidRPr="00CC669B">
        <w:rPr>
          <w:rFonts w:ascii="Book Antiqua" w:hAnsi="Book Antiqua"/>
        </w:rPr>
        <w:t>E</w:t>
      </w:r>
      <w:r w:rsidR="00FF7C77" w:rsidRPr="00CC669B">
        <w:rPr>
          <w:rFonts w:ascii="Book Antiqua" w:hAnsi="Book Antiqua"/>
        </w:rPr>
        <w:t xml:space="preserve">conomic </w:t>
      </w:r>
      <w:r w:rsidRPr="00CC669B">
        <w:rPr>
          <w:rFonts w:ascii="Book Antiqua" w:hAnsi="Book Antiqua"/>
        </w:rPr>
        <w:t>A</w:t>
      </w:r>
      <w:r w:rsidR="00FF7C77" w:rsidRPr="00CC669B">
        <w:rPr>
          <w:rFonts w:ascii="Book Antiqua" w:hAnsi="Book Antiqua"/>
        </w:rPr>
        <w:t>rea</w:t>
      </w:r>
      <w:r w:rsidRPr="00CC669B">
        <w:rPr>
          <w:rFonts w:ascii="Book Antiqua" w:hAnsi="Book Antiqua"/>
        </w:rPr>
        <w:t>) Regulations 2006</w:t>
      </w:r>
      <w:r w:rsidR="00B94837" w:rsidRPr="00CC669B">
        <w:rPr>
          <w:rFonts w:ascii="Book Antiqua" w:hAnsi="Book Antiqua"/>
        </w:rPr>
        <w:t>.</w:t>
      </w:r>
      <w:r w:rsidRPr="00CC669B">
        <w:rPr>
          <w:rFonts w:ascii="Book Antiqua" w:hAnsi="Book Antiqua"/>
        </w:rPr>
        <w:t xml:space="preserve"> </w:t>
      </w:r>
      <w:r w:rsidR="00B94837" w:rsidRPr="00CC669B">
        <w:rPr>
          <w:rFonts w:ascii="Book Antiqua" w:hAnsi="Book Antiqua"/>
        </w:rPr>
        <w:t xml:space="preserve">Regulation 10(5) and (6) permit a non-national </w:t>
      </w:r>
      <w:r w:rsidR="00FF7C77" w:rsidRPr="00CC669B">
        <w:rPr>
          <w:rFonts w:ascii="Book Antiqua" w:hAnsi="Book Antiqua"/>
        </w:rPr>
        <w:t xml:space="preserve">once </w:t>
      </w:r>
      <w:r w:rsidR="00B94837" w:rsidRPr="00CC669B">
        <w:rPr>
          <w:rFonts w:ascii="Book Antiqua" w:hAnsi="Book Antiqua"/>
        </w:rPr>
        <w:t xml:space="preserve">lawfully married to a </w:t>
      </w:r>
      <w:r w:rsidR="00FF7C77" w:rsidRPr="00CC669B">
        <w:rPr>
          <w:rFonts w:ascii="Book Antiqua" w:hAnsi="Book Antiqua"/>
        </w:rPr>
        <w:t>U</w:t>
      </w:r>
      <w:r w:rsidR="00B94837" w:rsidRPr="00CC669B">
        <w:rPr>
          <w:rFonts w:ascii="Book Antiqua" w:hAnsi="Book Antiqua"/>
        </w:rPr>
        <w:t>nion citizen to acquire a retained right of residence notwithstanding his divorce provided the marriage had lasted for at least three years and the parties had resided in the United Kingdom for at least one year during its duration. Additionally, the applicant must</w:t>
      </w:r>
      <w:r w:rsidR="00FF7C77" w:rsidRPr="00CC669B">
        <w:rPr>
          <w:rFonts w:ascii="Book Antiqua" w:hAnsi="Book Antiqua"/>
        </w:rPr>
        <w:t>,</w:t>
      </w:r>
      <w:r w:rsidR="00B94837" w:rsidRPr="00CC669B">
        <w:rPr>
          <w:rFonts w:ascii="Book Antiqua" w:hAnsi="Book Antiqua"/>
        </w:rPr>
        <w:t xml:space="preserve"> at the material time</w:t>
      </w:r>
      <w:r w:rsidR="00FF7C77" w:rsidRPr="00CC669B">
        <w:rPr>
          <w:rFonts w:ascii="Book Antiqua" w:hAnsi="Book Antiqua"/>
        </w:rPr>
        <w:t>, be a</w:t>
      </w:r>
      <w:r w:rsidR="00B94837" w:rsidRPr="00CC669B">
        <w:rPr>
          <w:rFonts w:ascii="Book Antiqua" w:hAnsi="Book Antiqua"/>
        </w:rPr>
        <w:t xml:space="preserve"> worker or self-employed or self-sufficient within the meaning of reg</w:t>
      </w:r>
      <w:r w:rsidR="00FF7C77" w:rsidRPr="00CC669B">
        <w:rPr>
          <w:rFonts w:ascii="Book Antiqua" w:hAnsi="Book Antiqua"/>
        </w:rPr>
        <w:t>. 6</w:t>
      </w:r>
      <w:r w:rsidR="00B94837" w:rsidRPr="00CC669B">
        <w:rPr>
          <w:rFonts w:ascii="Book Antiqua" w:hAnsi="Book Antiqua"/>
        </w:rPr>
        <w:t xml:space="preserve">. There is no issue that the appellant met these requirements. </w:t>
      </w:r>
    </w:p>
    <w:p w14:paraId="6FC3609D" w14:textId="77777777" w:rsidR="00FF7C77" w:rsidRPr="00CC669B" w:rsidRDefault="00FF7C77" w:rsidP="00FF7C77">
      <w:pPr>
        <w:pStyle w:val="ListParagraph"/>
        <w:jc w:val="both"/>
        <w:rPr>
          <w:rFonts w:ascii="Book Antiqua" w:hAnsi="Book Antiqua"/>
        </w:rPr>
      </w:pPr>
    </w:p>
    <w:p w14:paraId="355E68F6" w14:textId="77777777" w:rsidR="00FF7C77" w:rsidRPr="00CC669B" w:rsidRDefault="00B94837" w:rsidP="00FF7C77">
      <w:pPr>
        <w:pStyle w:val="ListParagraph"/>
        <w:numPr>
          <w:ilvl w:val="0"/>
          <w:numId w:val="1"/>
        </w:numPr>
        <w:jc w:val="both"/>
        <w:rPr>
          <w:rFonts w:ascii="Book Antiqua" w:hAnsi="Book Antiqua"/>
        </w:rPr>
      </w:pPr>
      <w:r w:rsidRPr="00CC669B">
        <w:rPr>
          <w:rFonts w:ascii="Book Antiqua" w:hAnsi="Book Antiqua"/>
        </w:rPr>
        <w:t xml:space="preserve">However, and crucially, the burden is placed upon the appellant to establish that he ceased to be a family member of a qualified person on </w:t>
      </w:r>
      <w:r w:rsidR="00C27AC0" w:rsidRPr="00CC669B">
        <w:rPr>
          <w:rFonts w:ascii="Book Antiqua" w:hAnsi="Book Antiqua"/>
        </w:rPr>
        <w:t>10 May 2016. This required him to establish that his wife was exercising Treaty rights by working in the United Kingdom</w:t>
      </w:r>
      <w:r w:rsidR="00FF7C77" w:rsidRPr="00CC669B">
        <w:rPr>
          <w:rFonts w:ascii="Book Antiqua" w:hAnsi="Book Antiqua"/>
        </w:rPr>
        <w:t xml:space="preserve"> on 10 May 2016</w:t>
      </w:r>
      <w:r w:rsidR="00C27AC0" w:rsidRPr="00CC669B">
        <w:rPr>
          <w:rFonts w:ascii="Book Antiqua" w:hAnsi="Book Antiqua"/>
        </w:rPr>
        <w:t>.</w:t>
      </w:r>
    </w:p>
    <w:p w14:paraId="01ED7E03" w14:textId="77777777" w:rsidR="00FF7C77" w:rsidRPr="00CC669B" w:rsidRDefault="00FF7C77" w:rsidP="00FF7C77">
      <w:pPr>
        <w:pStyle w:val="ListParagraph"/>
        <w:rPr>
          <w:rFonts w:ascii="Book Antiqua" w:hAnsi="Book Antiqua"/>
        </w:rPr>
      </w:pPr>
    </w:p>
    <w:p w14:paraId="0F07E800" w14:textId="77777777" w:rsidR="00FF7C77" w:rsidRPr="00CC669B" w:rsidRDefault="00C27AC0" w:rsidP="00FF7C77">
      <w:pPr>
        <w:pStyle w:val="ListParagraph"/>
        <w:numPr>
          <w:ilvl w:val="0"/>
          <w:numId w:val="1"/>
        </w:numPr>
        <w:jc w:val="both"/>
        <w:rPr>
          <w:rFonts w:ascii="Book Antiqua" w:hAnsi="Book Antiqua"/>
        </w:rPr>
      </w:pPr>
      <w:r w:rsidRPr="00CC669B">
        <w:rPr>
          <w:rFonts w:ascii="Book Antiqua" w:hAnsi="Book Antiqua"/>
        </w:rPr>
        <w:t xml:space="preserve">The evidence, however, that the appellant </w:t>
      </w:r>
      <w:proofErr w:type="gramStart"/>
      <w:r w:rsidRPr="00CC669B">
        <w:rPr>
          <w:rFonts w:ascii="Book Antiqua" w:hAnsi="Book Antiqua"/>
        </w:rPr>
        <w:t>was able to</w:t>
      </w:r>
      <w:proofErr w:type="gramEnd"/>
      <w:r w:rsidRPr="00CC669B">
        <w:rPr>
          <w:rFonts w:ascii="Book Antiqua" w:hAnsi="Book Antiqua"/>
        </w:rPr>
        <w:t xml:space="preserve"> advance ended in 2012 at the time the couple separated. At that time, the appellant knew that his wife had left the employment of </w:t>
      </w:r>
      <w:proofErr w:type="spellStart"/>
      <w:r w:rsidRPr="00CC669B">
        <w:rPr>
          <w:rFonts w:ascii="Book Antiqua" w:hAnsi="Book Antiqua"/>
        </w:rPr>
        <w:t>Kebabish</w:t>
      </w:r>
      <w:proofErr w:type="spellEnd"/>
      <w:r w:rsidRPr="00CC669B">
        <w:rPr>
          <w:rFonts w:ascii="Book Antiqua" w:hAnsi="Book Antiqua"/>
        </w:rPr>
        <w:t xml:space="preserve"> Original.  Although he visited that </w:t>
      </w:r>
      <w:bookmarkStart w:id="0" w:name="_GoBack"/>
      <w:bookmarkEnd w:id="0"/>
      <w:r w:rsidRPr="00CC669B">
        <w:rPr>
          <w:rFonts w:ascii="Book Antiqua" w:hAnsi="Book Antiqua"/>
        </w:rPr>
        <w:t>establishment, it is unsurprising that the company was unable to provide information about her current whereabouts or employment. It is difficult to understand why the appellant approached them</w:t>
      </w:r>
      <w:r w:rsidR="00FF7C77" w:rsidRPr="00CC669B">
        <w:rPr>
          <w:rFonts w:ascii="Book Antiqua" w:hAnsi="Book Antiqua"/>
        </w:rPr>
        <w:t xml:space="preserve"> as he knew she no longer worked there</w:t>
      </w:r>
      <w:r w:rsidRPr="00CC669B">
        <w:rPr>
          <w:rFonts w:ascii="Book Antiqua" w:hAnsi="Book Antiqua"/>
        </w:rPr>
        <w:t xml:space="preserve">. He knew that she had commenced work at </w:t>
      </w:r>
      <w:proofErr w:type="spellStart"/>
      <w:r w:rsidRPr="00CC669B">
        <w:rPr>
          <w:rFonts w:ascii="Book Antiqua" w:hAnsi="Book Antiqua"/>
        </w:rPr>
        <w:t>Adelie</w:t>
      </w:r>
      <w:proofErr w:type="spellEnd"/>
      <w:r w:rsidRPr="00CC669B">
        <w:rPr>
          <w:rFonts w:ascii="Book Antiqua" w:hAnsi="Book Antiqua"/>
        </w:rPr>
        <w:t xml:space="preserve"> Foods but, </w:t>
      </w:r>
      <w:proofErr w:type="gramStart"/>
      <w:r w:rsidRPr="00CC669B">
        <w:rPr>
          <w:rFonts w:ascii="Book Antiqua" w:hAnsi="Book Antiqua"/>
        </w:rPr>
        <w:t>in the course of</w:t>
      </w:r>
      <w:proofErr w:type="gramEnd"/>
      <w:r w:rsidRPr="00CC669B">
        <w:rPr>
          <w:rFonts w:ascii="Book Antiqua" w:hAnsi="Book Antiqua"/>
        </w:rPr>
        <w:t xml:space="preserve"> a telephone conversation, he was told they would not (or could not) disclose any information. The appellant visited the old address </w:t>
      </w:r>
      <w:r w:rsidR="00FF7C77" w:rsidRPr="00CC669B">
        <w:rPr>
          <w:rFonts w:ascii="Book Antiqua" w:hAnsi="Book Antiqua"/>
        </w:rPr>
        <w:t>but, once again</w:t>
      </w:r>
      <w:r w:rsidRPr="00CC669B">
        <w:rPr>
          <w:rFonts w:ascii="Book Antiqua" w:hAnsi="Book Antiqua"/>
        </w:rPr>
        <w:t xml:space="preserve"> unsurprisingly</w:t>
      </w:r>
      <w:r w:rsidR="00FF7C77" w:rsidRPr="00CC669B">
        <w:rPr>
          <w:rFonts w:ascii="Book Antiqua" w:hAnsi="Book Antiqua"/>
        </w:rPr>
        <w:t>,</w:t>
      </w:r>
      <w:r w:rsidRPr="00CC669B">
        <w:rPr>
          <w:rFonts w:ascii="Book Antiqua" w:hAnsi="Book Antiqua"/>
        </w:rPr>
        <w:t xml:space="preserve"> no</w:t>
      </w:r>
      <w:r w:rsidR="00FF7C77" w:rsidRPr="00CC669B">
        <w:rPr>
          <w:rFonts w:ascii="Book Antiqua" w:hAnsi="Book Antiqua"/>
        </w:rPr>
        <w:t>-one</w:t>
      </w:r>
      <w:r w:rsidRPr="00CC669B">
        <w:rPr>
          <w:rFonts w:ascii="Book Antiqua" w:hAnsi="Book Antiqua"/>
        </w:rPr>
        <w:t xml:space="preserve"> there </w:t>
      </w:r>
      <w:proofErr w:type="gramStart"/>
      <w:r w:rsidRPr="00CC669B">
        <w:rPr>
          <w:rFonts w:ascii="Book Antiqua" w:hAnsi="Book Antiqua"/>
        </w:rPr>
        <w:t>was able to</w:t>
      </w:r>
      <w:proofErr w:type="gramEnd"/>
      <w:r w:rsidRPr="00CC669B">
        <w:rPr>
          <w:rFonts w:ascii="Book Antiqua" w:hAnsi="Book Antiqua"/>
        </w:rPr>
        <w:t xml:space="preserve"> speak of her present location. Nor could it reasonably have been expected that they were able to do so. His wife had left him and he had then moved away.</w:t>
      </w:r>
    </w:p>
    <w:p w14:paraId="3D5BF03D" w14:textId="77777777" w:rsidR="00FF7C77" w:rsidRPr="00CC669B" w:rsidRDefault="00FF7C77" w:rsidP="00FF7C77">
      <w:pPr>
        <w:pStyle w:val="ListParagraph"/>
        <w:rPr>
          <w:rFonts w:ascii="Book Antiqua" w:hAnsi="Book Antiqua"/>
        </w:rPr>
      </w:pPr>
    </w:p>
    <w:p w14:paraId="0B1C3366" w14:textId="77777777" w:rsidR="00C27AC0" w:rsidRPr="00CC669B" w:rsidRDefault="00C27AC0" w:rsidP="00FF7C77">
      <w:pPr>
        <w:pStyle w:val="ListParagraph"/>
        <w:numPr>
          <w:ilvl w:val="0"/>
          <w:numId w:val="1"/>
        </w:numPr>
        <w:jc w:val="both"/>
        <w:rPr>
          <w:rFonts w:ascii="Book Antiqua" w:hAnsi="Book Antiqua"/>
        </w:rPr>
      </w:pPr>
      <w:r w:rsidRPr="00CC669B">
        <w:rPr>
          <w:rFonts w:ascii="Book Antiqua" w:hAnsi="Book Antiqua"/>
        </w:rPr>
        <w:t xml:space="preserve"> On this material it was obvious to the respondent and to the First-tier Judge that the appellant could not establish his former wife was working at the time of the divorce. The most up-to-date information that the appellant </w:t>
      </w:r>
      <w:proofErr w:type="gramStart"/>
      <w:r w:rsidRPr="00CC669B">
        <w:rPr>
          <w:rFonts w:ascii="Book Antiqua" w:hAnsi="Book Antiqua"/>
        </w:rPr>
        <w:t>was able to</w:t>
      </w:r>
      <w:proofErr w:type="gramEnd"/>
      <w:r w:rsidRPr="00CC669B">
        <w:rPr>
          <w:rFonts w:ascii="Book Antiqua" w:hAnsi="Book Antiqua"/>
        </w:rPr>
        <w:t xml:space="preserve"> provide was that a former colleague had met his wife whilst shopping and that she had had a child a few months before. This said nothing about the material issue, namely whether she was working in May 2016. </w:t>
      </w:r>
    </w:p>
    <w:p w14:paraId="53EC7E5C" w14:textId="77777777" w:rsidR="00FF7C77" w:rsidRPr="00CC669B" w:rsidRDefault="00FF7C77" w:rsidP="00FF7C77">
      <w:pPr>
        <w:pStyle w:val="ListParagraph"/>
        <w:jc w:val="both"/>
        <w:rPr>
          <w:rFonts w:ascii="Book Antiqua" w:hAnsi="Book Antiqua"/>
        </w:rPr>
      </w:pPr>
    </w:p>
    <w:p w14:paraId="32B87301" w14:textId="77777777" w:rsidR="000D5CF2" w:rsidRPr="00CC669B" w:rsidRDefault="00C27AC0" w:rsidP="00FF7C77">
      <w:pPr>
        <w:pStyle w:val="ListParagraph"/>
        <w:numPr>
          <w:ilvl w:val="0"/>
          <w:numId w:val="1"/>
        </w:numPr>
        <w:jc w:val="both"/>
        <w:rPr>
          <w:rFonts w:ascii="Book Antiqua" w:hAnsi="Book Antiqua"/>
        </w:rPr>
      </w:pPr>
      <w:r w:rsidRPr="00CC669B">
        <w:rPr>
          <w:rFonts w:ascii="Book Antiqua" w:hAnsi="Book Antiqua"/>
        </w:rPr>
        <w:t xml:space="preserve">Notwithstanding this, the appellant has sought to argue that there was a legal obligation upon the Secretary of State to provide the appellant with the information that would establish </w:t>
      </w:r>
      <w:r w:rsidR="000D5CF2" w:rsidRPr="00CC669B">
        <w:rPr>
          <w:rFonts w:ascii="Book Antiqua" w:hAnsi="Book Antiqua"/>
        </w:rPr>
        <w:t xml:space="preserve">(or fail to establish) her position as a worker in May 2016. In doing so Mr </w:t>
      </w:r>
      <w:proofErr w:type="spellStart"/>
      <w:r w:rsidR="000D5CF2" w:rsidRPr="00CC669B">
        <w:rPr>
          <w:rFonts w:ascii="Book Antiqua" w:hAnsi="Book Antiqua"/>
        </w:rPr>
        <w:t>Sa</w:t>
      </w:r>
      <w:r w:rsidR="00FF7C77" w:rsidRPr="00CC669B">
        <w:rPr>
          <w:rFonts w:ascii="Book Antiqua" w:hAnsi="Book Antiqua"/>
        </w:rPr>
        <w:t>rker</w:t>
      </w:r>
      <w:proofErr w:type="spellEnd"/>
      <w:r w:rsidR="000D5CF2" w:rsidRPr="00CC669B">
        <w:rPr>
          <w:rFonts w:ascii="Book Antiqua" w:hAnsi="Book Antiqua"/>
        </w:rPr>
        <w:t xml:space="preserve"> sought to rely upon the decision of the Court of Appeal in </w:t>
      </w:r>
      <w:r w:rsidR="000D5CF2" w:rsidRPr="00CC669B">
        <w:rPr>
          <w:rFonts w:ascii="Book Antiqua" w:hAnsi="Book Antiqua"/>
          <w:i/>
        </w:rPr>
        <w:t>Amos v Secretary of State for the home Department</w:t>
      </w:r>
      <w:r w:rsidR="000D5CF2" w:rsidRPr="00CC669B">
        <w:rPr>
          <w:rFonts w:ascii="Book Antiqua" w:hAnsi="Book Antiqua"/>
        </w:rPr>
        <w:t xml:space="preserve"> [2011] </w:t>
      </w:r>
      <w:r w:rsidR="000D5CF2" w:rsidRPr="00CC669B">
        <w:rPr>
          <w:rFonts w:ascii="Book Antiqua" w:hAnsi="Book Antiqua"/>
        </w:rPr>
        <w:lastRenderedPageBreak/>
        <w:t>EW</w:t>
      </w:r>
      <w:r w:rsidR="00FF7C77" w:rsidRPr="00CC669B">
        <w:rPr>
          <w:rFonts w:ascii="Book Antiqua" w:hAnsi="Book Antiqua"/>
        </w:rPr>
        <w:t xml:space="preserve">CA </w:t>
      </w:r>
      <w:proofErr w:type="spellStart"/>
      <w:r w:rsidR="00FF7C77" w:rsidRPr="00CC669B">
        <w:rPr>
          <w:rFonts w:ascii="Book Antiqua" w:hAnsi="Book Antiqua"/>
        </w:rPr>
        <w:t>C</w:t>
      </w:r>
      <w:r w:rsidR="000D5CF2" w:rsidRPr="00CC669B">
        <w:rPr>
          <w:rFonts w:ascii="Book Antiqua" w:hAnsi="Book Antiqua"/>
        </w:rPr>
        <w:t>iv</w:t>
      </w:r>
      <w:proofErr w:type="spellEnd"/>
      <w:r w:rsidR="000D5CF2" w:rsidRPr="00CC669B">
        <w:rPr>
          <w:rFonts w:ascii="Book Antiqua" w:hAnsi="Book Antiqua"/>
        </w:rPr>
        <w:t xml:space="preserve"> 552. In paragraph 34 of the </w:t>
      </w:r>
      <w:r w:rsidR="00FF7C77" w:rsidRPr="00CC669B">
        <w:rPr>
          <w:rFonts w:ascii="Book Antiqua" w:hAnsi="Book Antiqua"/>
        </w:rPr>
        <w:t>judgment</w:t>
      </w:r>
      <w:r w:rsidR="000D5CF2" w:rsidRPr="00CC669B">
        <w:rPr>
          <w:rFonts w:ascii="Book Antiqua" w:hAnsi="Book Antiqua"/>
        </w:rPr>
        <w:t xml:space="preserve"> of Stanley </w:t>
      </w:r>
      <w:proofErr w:type="spellStart"/>
      <w:r w:rsidR="000D5CF2" w:rsidRPr="00CC669B">
        <w:rPr>
          <w:rFonts w:ascii="Book Antiqua" w:hAnsi="Book Antiqua"/>
        </w:rPr>
        <w:t>B</w:t>
      </w:r>
      <w:r w:rsidR="00FF7C77" w:rsidRPr="00CC669B">
        <w:rPr>
          <w:rFonts w:ascii="Book Antiqua" w:hAnsi="Book Antiqua"/>
        </w:rPr>
        <w:t>urnton</w:t>
      </w:r>
      <w:proofErr w:type="spellEnd"/>
      <w:r w:rsidR="000D5CF2" w:rsidRPr="00CC669B">
        <w:rPr>
          <w:rFonts w:ascii="Book Antiqua" w:hAnsi="Book Antiqua"/>
        </w:rPr>
        <w:t xml:space="preserve"> LJ (with whom the other members of the Court of Appeal agreed), </w:t>
      </w:r>
      <w:r w:rsidR="00FF7C77" w:rsidRPr="00CC669B">
        <w:rPr>
          <w:rFonts w:ascii="Book Antiqua" w:hAnsi="Book Antiqua"/>
        </w:rPr>
        <w:t>he</w:t>
      </w:r>
      <w:r w:rsidR="000D5CF2" w:rsidRPr="00CC669B">
        <w:rPr>
          <w:rFonts w:ascii="Book Antiqua" w:hAnsi="Book Antiqua"/>
        </w:rPr>
        <w:t xml:space="preserve"> said: </w:t>
      </w:r>
    </w:p>
    <w:p w14:paraId="6920B032" w14:textId="77777777" w:rsidR="00FF7C77" w:rsidRPr="00CC669B" w:rsidRDefault="00FF7C77" w:rsidP="00FF7C77">
      <w:pPr>
        <w:pStyle w:val="ListParagraph"/>
        <w:ind w:left="360"/>
        <w:jc w:val="both"/>
        <w:rPr>
          <w:rFonts w:ascii="Book Antiqua" w:hAnsi="Book Antiqua"/>
        </w:rPr>
      </w:pPr>
    </w:p>
    <w:p w14:paraId="26146F44" w14:textId="77777777" w:rsidR="000D5CF2" w:rsidRPr="00CC669B" w:rsidRDefault="000D5CF2" w:rsidP="009B2B1B">
      <w:pPr>
        <w:ind w:left="1276"/>
        <w:jc w:val="both"/>
        <w:rPr>
          <w:rFonts w:ascii="Book Antiqua" w:hAnsi="Book Antiqua"/>
          <w:sz w:val="22"/>
          <w:szCs w:val="22"/>
        </w:rPr>
      </w:pPr>
      <w:r w:rsidRPr="00CC669B">
        <w:rPr>
          <w:rFonts w:ascii="Book Antiqua" w:hAnsi="Book Antiqua"/>
          <w:sz w:val="22"/>
          <w:szCs w:val="22"/>
        </w:rPr>
        <w:t xml:space="preserve">I would reject Miss </w:t>
      </w:r>
      <w:proofErr w:type="spellStart"/>
      <w:r w:rsidRPr="00CC669B">
        <w:rPr>
          <w:rFonts w:ascii="Book Antiqua" w:hAnsi="Book Antiqua"/>
          <w:sz w:val="22"/>
          <w:szCs w:val="22"/>
        </w:rPr>
        <w:t>Theophilus</w:t>
      </w:r>
      <w:proofErr w:type="spellEnd"/>
      <w:r w:rsidRPr="00CC669B">
        <w:rPr>
          <w:rFonts w:ascii="Book Antiqua" w:hAnsi="Book Antiqua"/>
          <w:sz w:val="22"/>
          <w:szCs w:val="22"/>
        </w:rPr>
        <w:t>’</w:t>
      </w:r>
      <w:r w:rsidR="009B2B1B" w:rsidRPr="00CC669B">
        <w:rPr>
          <w:rFonts w:ascii="Book Antiqua" w:hAnsi="Book Antiqua"/>
          <w:sz w:val="22"/>
          <w:szCs w:val="22"/>
        </w:rPr>
        <w:t xml:space="preserve"> </w:t>
      </w:r>
      <w:r w:rsidRPr="00CC669B">
        <w:rPr>
          <w:rFonts w:ascii="Book Antiqua" w:hAnsi="Book Antiqua"/>
          <w:sz w:val="22"/>
          <w:szCs w:val="22"/>
        </w:rPr>
        <w:t xml:space="preserve">contention that the </w:t>
      </w:r>
      <w:r w:rsidR="009B2B1B" w:rsidRPr="00CC669B">
        <w:rPr>
          <w:rFonts w:ascii="Book Antiqua" w:hAnsi="Book Antiqua"/>
          <w:sz w:val="22"/>
          <w:szCs w:val="22"/>
        </w:rPr>
        <w:t xml:space="preserve">Secretary of State was required </w:t>
      </w:r>
      <w:r w:rsidRPr="00CC669B">
        <w:rPr>
          <w:rFonts w:ascii="Book Antiqua" w:hAnsi="Book Antiqua"/>
          <w:sz w:val="22"/>
          <w:szCs w:val="22"/>
        </w:rPr>
        <w:t>to assist her to establish her case. The procedure in appeals before the Tribunal are essentially adversarial: the appellant seeks to show that the decision of the Secretary of State was unlawful or otherwise wrong. The Secretary of State must present the facts as known to her fairly, and seek a decision of the Tribunal that accords with the law, but to go beyond those requirements would be irrational: it would be to require the Secretary of State to take steps to prove that her own decision was wrong.</w:t>
      </w:r>
    </w:p>
    <w:p w14:paraId="78FD5C44" w14:textId="77777777" w:rsidR="009B2B1B" w:rsidRPr="00CC669B" w:rsidRDefault="009B2B1B" w:rsidP="009B2B1B">
      <w:pPr>
        <w:pStyle w:val="ListParagraph"/>
        <w:jc w:val="both"/>
        <w:rPr>
          <w:rFonts w:ascii="Book Antiqua" w:hAnsi="Book Antiqua"/>
        </w:rPr>
      </w:pPr>
    </w:p>
    <w:p w14:paraId="2AC9915E" w14:textId="77777777" w:rsidR="00150C92" w:rsidRPr="00CC669B" w:rsidRDefault="000D5CF2" w:rsidP="00FF7C77">
      <w:pPr>
        <w:pStyle w:val="ListParagraph"/>
        <w:numPr>
          <w:ilvl w:val="0"/>
          <w:numId w:val="1"/>
        </w:numPr>
        <w:jc w:val="both"/>
        <w:rPr>
          <w:rFonts w:ascii="Book Antiqua" w:hAnsi="Book Antiqua"/>
        </w:rPr>
      </w:pPr>
      <w:r w:rsidRPr="00CC669B">
        <w:rPr>
          <w:rFonts w:ascii="Book Antiqua" w:hAnsi="Book Antiqua"/>
        </w:rPr>
        <w:t xml:space="preserve">The Court of Appeal acknowledged the difficulties in which an appellant might be placed to ascertain the relevant facts after a long period of separation. However, the procedural rules as Stanley </w:t>
      </w:r>
      <w:proofErr w:type="spellStart"/>
      <w:r w:rsidRPr="00CC669B">
        <w:rPr>
          <w:rFonts w:ascii="Book Antiqua" w:hAnsi="Book Antiqua"/>
        </w:rPr>
        <w:t>Bu</w:t>
      </w:r>
      <w:r w:rsidR="009B2B1B" w:rsidRPr="00CC669B">
        <w:rPr>
          <w:rFonts w:ascii="Book Antiqua" w:hAnsi="Book Antiqua"/>
        </w:rPr>
        <w:t>r</w:t>
      </w:r>
      <w:r w:rsidRPr="00CC669B">
        <w:rPr>
          <w:rFonts w:ascii="Book Antiqua" w:hAnsi="Book Antiqua"/>
        </w:rPr>
        <w:t>nton</w:t>
      </w:r>
      <w:proofErr w:type="spellEnd"/>
      <w:r w:rsidRPr="00CC669B">
        <w:rPr>
          <w:rFonts w:ascii="Book Antiqua" w:hAnsi="Book Antiqua"/>
        </w:rPr>
        <w:t xml:space="preserve"> </w:t>
      </w:r>
      <w:r w:rsidR="009B2B1B" w:rsidRPr="00CC669B">
        <w:rPr>
          <w:rFonts w:ascii="Book Antiqua" w:hAnsi="Book Antiqua"/>
        </w:rPr>
        <w:t xml:space="preserve">LJ </w:t>
      </w:r>
      <w:r w:rsidRPr="00CC669B">
        <w:rPr>
          <w:rFonts w:ascii="Book Antiqua" w:hAnsi="Book Antiqua"/>
        </w:rPr>
        <w:t xml:space="preserve">pointed out in paragraph 40 permitted evidential flexibility to the extent that hearsay evidence was admissible and that an appellant advocate was </w:t>
      </w:r>
      <w:proofErr w:type="gramStart"/>
      <w:r w:rsidRPr="00CC669B">
        <w:rPr>
          <w:rFonts w:ascii="Book Antiqua" w:hAnsi="Book Antiqua"/>
        </w:rPr>
        <w:t>in a position to</w:t>
      </w:r>
      <w:proofErr w:type="gramEnd"/>
      <w:r w:rsidRPr="00CC669B">
        <w:rPr>
          <w:rFonts w:ascii="Book Antiqua" w:hAnsi="Book Antiqua"/>
        </w:rPr>
        <w:t xml:space="preserve"> apply under </w:t>
      </w:r>
      <w:r w:rsidR="009B2B1B" w:rsidRPr="00CC669B">
        <w:rPr>
          <w:rFonts w:ascii="Book Antiqua" w:hAnsi="Book Antiqua"/>
        </w:rPr>
        <w:t xml:space="preserve">Rule </w:t>
      </w:r>
      <w:r w:rsidRPr="00CC669B">
        <w:rPr>
          <w:rFonts w:ascii="Book Antiqua" w:hAnsi="Book Antiqua"/>
        </w:rPr>
        <w:t xml:space="preserve">50 </w:t>
      </w:r>
      <w:r w:rsidR="009B2B1B" w:rsidRPr="00CC669B">
        <w:rPr>
          <w:rFonts w:ascii="Book Antiqua" w:hAnsi="Book Antiqua"/>
        </w:rPr>
        <w:t xml:space="preserve">of the Procedure Rules </w:t>
      </w:r>
      <w:r w:rsidRPr="00CC669B">
        <w:rPr>
          <w:rFonts w:ascii="Book Antiqua" w:hAnsi="Book Antiqua"/>
        </w:rPr>
        <w:t>for a witness summons. A party to an appeal mig</w:t>
      </w:r>
      <w:r w:rsidR="009B2B1B" w:rsidRPr="00CC669B">
        <w:rPr>
          <w:rFonts w:ascii="Book Antiqua" w:hAnsi="Book Antiqua"/>
        </w:rPr>
        <w:t>ht also seek a direction under R</w:t>
      </w:r>
      <w:r w:rsidRPr="00CC669B">
        <w:rPr>
          <w:rFonts w:ascii="Book Antiqua" w:hAnsi="Book Antiqua"/>
        </w:rPr>
        <w:t>ule 45</w:t>
      </w:r>
      <w:r w:rsidR="00150C92" w:rsidRPr="00CC669B">
        <w:rPr>
          <w:rFonts w:ascii="Book Antiqua" w:hAnsi="Book Antiqua"/>
        </w:rPr>
        <w:t xml:space="preserve"> requiring the Secretary of State to provide relevant information.</w:t>
      </w:r>
    </w:p>
    <w:p w14:paraId="11DA95F3" w14:textId="77777777" w:rsidR="009B2B1B" w:rsidRPr="00CC669B" w:rsidRDefault="009B2B1B" w:rsidP="009B2B1B">
      <w:pPr>
        <w:pStyle w:val="ListParagraph"/>
        <w:jc w:val="both"/>
        <w:rPr>
          <w:rFonts w:ascii="Book Antiqua" w:hAnsi="Book Antiqua"/>
        </w:rPr>
      </w:pPr>
    </w:p>
    <w:p w14:paraId="09B733BE" w14:textId="77777777" w:rsidR="00150C92" w:rsidRPr="00CC669B" w:rsidRDefault="00150C92" w:rsidP="00FF7C77">
      <w:pPr>
        <w:pStyle w:val="ListParagraph"/>
        <w:numPr>
          <w:ilvl w:val="0"/>
          <w:numId w:val="1"/>
        </w:numPr>
        <w:jc w:val="both"/>
        <w:rPr>
          <w:rFonts w:ascii="Book Antiqua" w:hAnsi="Book Antiqua"/>
        </w:rPr>
      </w:pPr>
      <w:r w:rsidRPr="00CC669B">
        <w:rPr>
          <w:rFonts w:ascii="Book Antiqua" w:hAnsi="Book Antiqua"/>
        </w:rPr>
        <w:t>The Secretary of State has himself address</w:t>
      </w:r>
      <w:r w:rsidR="009B2B1B" w:rsidRPr="00CC669B">
        <w:rPr>
          <w:rFonts w:ascii="Book Antiqua" w:hAnsi="Book Antiqua"/>
        </w:rPr>
        <w:t>ed</w:t>
      </w:r>
      <w:r w:rsidRPr="00CC669B">
        <w:rPr>
          <w:rFonts w:ascii="Book Antiqua" w:hAnsi="Book Antiqua"/>
        </w:rPr>
        <w:t xml:space="preserve"> this issue in h</w:t>
      </w:r>
      <w:r w:rsidR="009B2B1B" w:rsidRPr="00CC669B">
        <w:rPr>
          <w:rFonts w:ascii="Book Antiqua" w:hAnsi="Book Antiqua"/>
        </w:rPr>
        <w:t>is</w:t>
      </w:r>
      <w:r w:rsidRPr="00CC669B">
        <w:rPr>
          <w:rFonts w:ascii="Book Antiqua" w:hAnsi="Book Antiqua"/>
        </w:rPr>
        <w:t xml:space="preserve"> own policy statements. On 4 August 2011 the respondent provided a revised document entitled </w:t>
      </w:r>
      <w:r w:rsidR="009B2B1B" w:rsidRPr="00CC669B">
        <w:rPr>
          <w:rFonts w:ascii="Book Antiqua" w:hAnsi="Book Antiqua"/>
        </w:rPr>
        <w:t>‘</w:t>
      </w:r>
      <w:r w:rsidRPr="00CC669B">
        <w:rPr>
          <w:rFonts w:ascii="Book Antiqua" w:hAnsi="Book Antiqua"/>
          <w:i/>
        </w:rPr>
        <w:t>Pragmatic approach in cases where an applicant is unable to provide required evidence</w:t>
      </w:r>
      <w:r w:rsidR="009B2B1B" w:rsidRPr="00CC669B">
        <w:rPr>
          <w:rFonts w:ascii="Book Antiqua" w:hAnsi="Book Antiqua"/>
        </w:rPr>
        <w:t>’</w:t>
      </w:r>
      <w:r w:rsidRPr="00CC669B">
        <w:rPr>
          <w:rFonts w:ascii="Book Antiqua" w:hAnsi="Book Antiqua"/>
        </w:rPr>
        <w:t xml:space="preserve">. The purpose of the Notice was to clarify the process that caseworkers were required to follow when a family member of a </w:t>
      </w:r>
      <w:r w:rsidR="009B2B1B" w:rsidRPr="00CC669B">
        <w:rPr>
          <w:rFonts w:ascii="Book Antiqua" w:hAnsi="Book Antiqua"/>
        </w:rPr>
        <w:t>U</w:t>
      </w:r>
      <w:r w:rsidRPr="00CC669B">
        <w:rPr>
          <w:rFonts w:ascii="Book Antiqua" w:hAnsi="Book Antiqua"/>
        </w:rPr>
        <w:t xml:space="preserve">nion citizen applied for documentation under the </w:t>
      </w:r>
      <w:r w:rsidR="009B2B1B" w:rsidRPr="00CC669B">
        <w:rPr>
          <w:rFonts w:ascii="Book Antiqua" w:hAnsi="Book Antiqua"/>
        </w:rPr>
        <w:t xml:space="preserve">2006 </w:t>
      </w:r>
      <w:r w:rsidRPr="00CC669B">
        <w:rPr>
          <w:rFonts w:ascii="Book Antiqua" w:hAnsi="Book Antiqua"/>
        </w:rPr>
        <w:t xml:space="preserve">Regulations but was unable to demonstrate that he met </w:t>
      </w:r>
      <w:proofErr w:type="gramStart"/>
      <w:r w:rsidRPr="00CC669B">
        <w:rPr>
          <w:rFonts w:ascii="Book Antiqua" w:hAnsi="Book Antiqua"/>
        </w:rPr>
        <w:t>all of</w:t>
      </w:r>
      <w:proofErr w:type="gramEnd"/>
      <w:r w:rsidRPr="00CC669B">
        <w:rPr>
          <w:rFonts w:ascii="Book Antiqua" w:hAnsi="Book Antiqua"/>
        </w:rPr>
        <w:t xml:space="preserve"> the requirements </w:t>
      </w:r>
      <w:r w:rsidR="009B2B1B" w:rsidRPr="00CC669B">
        <w:rPr>
          <w:rFonts w:ascii="Book Antiqua" w:hAnsi="Book Antiqua"/>
        </w:rPr>
        <w:t>‘</w:t>
      </w:r>
      <w:r w:rsidRPr="00CC669B">
        <w:rPr>
          <w:rFonts w:ascii="Book Antiqua" w:hAnsi="Book Antiqua"/>
          <w:i/>
        </w:rPr>
        <w:t>due to the exceptional circumstances of the application</w:t>
      </w:r>
      <w:r w:rsidR="009B2B1B" w:rsidRPr="00CC669B">
        <w:rPr>
          <w:rFonts w:ascii="Book Antiqua" w:hAnsi="Book Antiqua"/>
        </w:rPr>
        <w:t>’</w:t>
      </w:r>
      <w:r w:rsidRPr="00CC669B">
        <w:rPr>
          <w:rFonts w:ascii="Book Antiqua" w:hAnsi="Book Antiqua"/>
        </w:rPr>
        <w:t xml:space="preserve">. Caseworkers were enjoined to adopt a pragmatic approach where there had been a breakdown in the relationship between the applicant and his EEA national spouse. Exceptional cases were identified as being where the applicant provided proof of being the victim of domestic violence or where the relationship had ended acrimoniously and the applicant provided evidence to show that he had made every effort to provide the required documents. By way of an example, it was suggested that attempts </w:t>
      </w:r>
      <w:r w:rsidR="009B2B1B" w:rsidRPr="00CC669B">
        <w:rPr>
          <w:rFonts w:ascii="Book Antiqua" w:hAnsi="Book Antiqua"/>
        </w:rPr>
        <w:t xml:space="preserve">might be made </w:t>
      </w:r>
      <w:r w:rsidRPr="00CC669B">
        <w:rPr>
          <w:rFonts w:ascii="Book Antiqua" w:hAnsi="Book Antiqua"/>
        </w:rPr>
        <w:t xml:space="preserve">to </w:t>
      </w:r>
      <w:proofErr w:type="gramStart"/>
      <w:r w:rsidRPr="00CC669B">
        <w:rPr>
          <w:rFonts w:ascii="Book Antiqua" w:hAnsi="Book Antiqua"/>
        </w:rPr>
        <w:t>make contact with</w:t>
      </w:r>
      <w:proofErr w:type="gramEnd"/>
      <w:r w:rsidRPr="00CC669B">
        <w:rPr>
          <w:rFonts w:ascii="Book Antiqua" w:hAnsi="Book Antiqua"/>
        </w:rPr>
        <w:t xml:space="preserve"> the spouse during divorce proceedings. The note continues:</w:t>
      </w:r>
    </w:p>
    <w:p w14:paraId="5448B6CC" w14:textId="77777777" w:rsidR="00150C92" w:rsidRPr="00CC669B" w:rsidRDefault="00150C92" w:rsidP="00FF7C77">
      <w:pPr>
        <w:pStyle w:val="ListParagraph"/>
        <w:jc w:val="both"/>
        <w:rPr>
          <w:rFonts w:ascii="Book Antiqua" w:hAnsi="Book Antiqua"/>
        </w:rPr>
      </w:pPr>
    </w:p>
    <w:p w14:paraId="0499817C" w14:textId="77777777" w:rsidR="00150C92" w:rsidRPr="00CC669B" w:rsidRDefault="00150C92" w:rsidP="00B3532C">
      <w:pPr>
        <w:pStyle w:val="ListParagraph"/>
        <w:ind w:left="1440"/>
        <w:jc w:val="both"/>
        <w:rPr>
          <w:rFonts w:ascii="Book Antiqua" w:hAnsi="Book Antiqua"/>
          <w:sz w:val="22"/>
          <w:szCs w:val="22"/>
        </w:rPr>
      </w:pPr>
      <w:r w:rsidRPr="00CC669B">
        <w:rPr>
          <w:rFonts w:ascii="Book Antiqua" w:hAnsi="Book Antiqua"/>
          <w:sz w:val="22"/>
          <w:szCs w:val="22"/>
        </w:rPr>
        <w:t>Caseworkers must look at each case according to its individual merits and where they are satisfied that there is a valid reason why the applicant is unable to get the required evidence, enquiries must be made on behalf of the applicant where possible. Caseworkers must get the agreement of their senior caseworker before making any such enquiries.</w:t>
      </w:r>
    </w:p>
    <w:p w14:paraId="10092F91" w14:textId="77777777" w:rsidR="00150C92" w:rsidRPr="00CC669B" w:rsidRDefault="00150C92" w:rsidP="00FF7C77">
      <w:pPr>
        <w:pStyle w:val="ListParagraph"/>
        <w:jc w:val="both"/>
        <w:rPr>
          <w:rFonts w:ascii="Book Antiqua" w:hAnsi="Book Antiqua"/>
        </w:rPr>
      </w:pPr>
    </w:p>
    <w:p w14:paraId="4B728606" w14:textId="77777777" w:rsidR="00150C92" w:rsidRPr="00CC669B" w:rsidRDefault="00150C92" w:rsidP="00B3532C">
      <w:pPr>
        <w:pStyle w:val="ListParagraph"/>
        <w:numPr>
          <w:ilvl w:val="0"/>
          <w:numId w:val="1"/>
        </w:numPr>
        <w:jc w:val="both"/>
        <w:rPr>
          <w:rFonts w:ascii="Book Antiqua" w:hAnsi="Book Antiqua"/>
        </w:rPr>
      </w:pPr>
      <w:r w:rsidRPr="00CC669B">
        <w:rPr>
          <w:rFonts w:ascii="Book Antiqua" w:hAnsi="Book Antiqua"/>
        </w:rPr>
        <w:t xml:space="preserve">There is a clear implication upon the resources of the Home Office and the Inland Revenue if it were to become a routine requirement imposing upon the respondent a duty to obtain evidence from HMRC. Accordingly, a quota system has been introduced which effectively limits the </w:t>
      </w:r>
      <w:r w:rsidR="002050D0" w:rsidRPr="00CC669B">
        <w:rPr>
          <w:rFonts w:ascii="Book Antiqua" w:hAnsi="Book Antiqua"/>
        </w:rPr>
        <w:t>number of cases</w:t>
      </w:r>
      <w:r w:rsidRPr="00CC669B">
        <w:rPr>
          <w:rFonts w:ascii="Book Antiqua" w:hAnsi="Book Antiqua"/>
        </w:rPr>
        <w:t xml:space="preserve"> in </w:t>
      </w:r>
      <w:r w:rsidRPr="00CC669B">
        <w:rPr>
          <w:rFonts w:ascii="Book Antiqua" w:hAnsi="Book Antiqua"/>
        </w:rPr>
        <w:lastRenderedPageBreak/>
        <w:t>which such a tracing exercise is to be conducted to cases where the applicant has exhausted all reasonable lines of enquiry.</w:t>
      </w:r>
    </w:p>
    <w:p w14:paraId="038C5E70" w14:textId="77777777" w:rsidR="00671F51" w:rsidRPr="00CC669B" w:rsidRDefault="00671F51" w:rsidP="00FF7C77">
      <w:pPr>
        <w:pStyle w:val="ListParagraph"/>
        <w:jc w:val="both"/>
        <w:rPr>
          <w:rFonts w:ascii="Book Antiqua" w:hAnsi="Book Antiqua"/>
        </w:rPr>
      </w:pPr>
    </w:p>
    <w:p w14:paraId="3B0FA263" w14:textId="77777777" w:rsidR="008C766C" w:rsidRPr="00CC669B" w:rsidRDefault="00671F51" w:rsidP="00FF7C77">
      <w:pPr>
        <w:pStyle w:val="ListParagraph"/>
        <w:numPr>
          <w:ilvl w:val="0"/>
          <w:numId w:val="1"/>
        </w:numPr>
        <w:jc w:val="both"/>
        <w:rPr>
          <w:rFonts w:ascii="Book Antiqua" w:hAnsi="Book Antiqua"/>
        </w:rPr>
      </w:pPr>
      <w:r w:rsidRPr="00CC669B">
        <w:rPr>
          <w:rFonts w:ascii="Book Antiqua" w:hAnsi="Book Antiqua"/>
        </w:rPr>
        <w:t xml:space="preserve">The </w:t>
      </w:r>
      <w:r w:rsidR="002050D0" w:rsidRPr="00CC669B">
        <w:rPr>
          <w:rFonts w:ascii="Book Antiqua" w:hAnsi="Book Antiqua"/>
        </w:rPr>
        <w:t>First-tier Tribunal J</w:t>
      </w:r>
      <w:r w:rsidR="00150C92" w:rsidRPr="00CC669B">
        <w:rPr>
          <w:rFonts w:ascii="Book Antiqua" w:hAnsi="Book Antiqua"/>
        </w:rPr>
        <w:t xml:space="preserve">udge concluded, as a matter of fact, that the appellant had not taken reasonable steps to attempt to gain such evidence. </w:t>
      </w:r>
      <w:r w:rsidR="008C766C" w:rsidRPr="00CC669B">
        <w:rPr>
          <w:rFonts w:ascii="Book Antiqua" w:hAnsi="Book Antiqua"/>
        </w:rPr>
        <w:t>The appellant merely relied upon the fact that the marriage had broken down acrimoniously. However</w:t>
      </w:r>
      <w:r w:rsidR="002050D0" w:rsidRPr="00CC669B">
        <w:rPr>
          <w:rFonts w:ascii="Book Antiqua" w:hAnsi="Book Antiqua"/>
        </w:rPr>
        <w:t>,</w:t>
      </w:r>
      <w:r w:rsidR="008C766C" w:rsidRPr="00CC669B">
        <w:rPr>
          <w:rFonts w:ascii="Book Antiqua" w:hAnsi="Book Antiqua"/>
        </w:rPr>
        <w:t xml:space="preserve"> the evidence of this was only that the appellant’s wife had left the matrimonial home because she had found someone else. Those circumstances alone would not amount to a reason why attempts at tracing could not be conducted. Importantly, the appellant provided evidence that he had solicitors acting for him at the time of his divorce. It is to be inferred that the appellant’s spouse also instructed solicitors to petition for divorce. Inevitably, they would have had material which related to the petitioner</w:t>
      </w:r>
      <w:r w:rsidR="002050D0" w:rsidRPr="00CC669B">
        <w:rPr>
          <w:rFonts w:ascii="Book Antiqua" w:hAnsi="Book Antiqua"/>
        </w:rPr>
        <w:t>’</w:t>
      </w:r>
      <w:r w:rsidR="008C766C" w:rsidRPr="00CC669B">
        <w:rPr>
          <w:rFonts w:ascii="Book Antiqua" w:hAnsi="Book Antiqua"/>
        </w:rPr>
        <w:t>s whereabouts and current circumstances. There is no reason to assume that those solicitors would refuse to reveal information reasonably sought by the appellant</w:t>
      </w:r>
      <w:r w:rsidR="002050D0" w:rsidRPr="00CC669B">
        <w:rPr>
          <w:rFonts w:ascii="Book Antiqua" w:hAnsi="Book Antiqua"/>
        </w:rPr>
        <w:t>’s</w:t>
      </w:r>
      <w:r w:rsidR="008C766C" w:rsidRPr="00CC669B">
        <w:rPr>
          <w:rFonts w:ascii="Book Antiqua" w:hAnsi="Book Antiqua"/>
        </w:rPr>
        <w:t xml:space="preserve"> solicitors as to their client’s current circumstances. The fact that they may have been able to rely upon principles of professional privilege does not mean that they would not have answered enquiries that did not prejudice their client. Indeed, it would have been possible to elicit from them information that their client was working but that they were unable to provide the </w:t>
      </w:r>
      <w:proofErr w:type="gramStart"/>
      <w:r w:rsidR="008C766C" w:rsidRPr="00CC669B">
        <w:rPr>
          <w:rFonts w:ascii="Book Antiqua" w:hAnsi="Book Antiqua"/>
        </w:rPr>
        <w:t>particular information</w:t>
      </w:r>
      <w:proofErr w:type="gramEnd"/>
      <w:r w:rsidR="008C766C" w:rsidRPr="00CC669B">
        <w:rPr>
          <w:rFonts w:ascii="Book Antiqua" w:hAnsi="Book Antiqua"/>
        </w:rPr>
        <w:t xml:space="preserve"> about the location or nature of her work. There was no evidence </w:t>
      </w:r>
      <w:r w:rsidR="002050D0" w:rsidRPr="00CC669B">
        <w:rPr>
          <w:rFonts w:ascii="Book Antiqua" w:hAnsi="Book Antiqua"/>
        </w:rPr>
        <w:t xml:space="preserve">to </w:t>
      </w:r>
      <w:r w:rsidR="008C766C" w:rsidRPr="00CC669B">
        <w:rPr>
          <w:rFonts w:ascii="Book Antiqua" w:hAnsi="Book Antiqua"/>
        </w:rPr>
        <w:t>suggest such a level of animosity between the appellant and his former wife that not even the m</w:t>
      </w:r>
      <w:r w:rsidR="002050D0" w:rsidRPr="00CC669B">
        <w:rPr>
          <w:rFonts w:ascii="Book Antiqua" w:hAnsi="Book Antiqua"/>
        </w:rPr>
        <w:t>ost m</w:t>
      </w:r>
      <w:r w:rsidR="008C766C" w:rsidRPr="00CC669B">
        <w:rPr>
          <w:rFonts w:ascii="Book Antiqua" w:hAnsi="Book Antiqua"/>
        </w:rPr>
        <w:t>eagre information would have been provided. If necessary, it would have been open to the appellant’s representative to require the solicitor to attend by way of a witness summons to explain why basic evidence about their client</w:t>
      </w:r>
      <w:r w:rsidR="002050D0" w:rsidRPr="00CC669B">
        <w:rPr>
          <w:rFonts w:ascii="Book Antiqua" w:hAnsi="Book Antiqua"/>
        </w:rPr>
        <w:t>’</w:t>
      </w:r>
      <w:r w:rsidR="008C766C" w:rsidRPr="00CC669B">
        <w:rPr>
          <w:rFonts w:ascii="Book Antiqua" w:hAnsi="Book Antiqua"/>
        </w:rPr>
        <w:t xml:space="preserve">s circumstances (without identifying them in detail) could not have been provided. Even evidence from the solicitor that he knew those circumstances but refused to reveal them would have been material. </w:t>
      </w:r>
    </w:p>
    <w:p w14:paraId="61D5968A" w14:textId="77777777" w:rsidR="002050D0" w:rsidRPr="00CC669B" w:rsidRDefault="002050D0" w:rsidP="002050D0">
      <w:pPr>
        <w:pStyle w:val="ListParagraph"/>
        <w:jc w:val="both"/>
        <w:rPr>
          <w:rFonts w:ascii="Book Antiqua" w:hAnsi="Book Antiqua"/>
        </w:rPr>
      </w:pPr>
    </w:p>
    <w:p w14:paraId="59FD1F85" w14:textId="77777777" w:rsidR="00B379F3" w:rsidRPr="00CC669B" w:rsidRDefault="008C766C" w:rsidP="00FF7C77">
      <w:pPr>
        <w:pStyle w:val="ListParagraph"/>
        <w:numPr>
          <w:ilvl w:val="0"/>
          <w:numId w:val="1"/>
        </w:numPr>
        <w:jc w:val="both"/>
        <w:rPr>
          <w:rFonts w:ascii="Book Antiqua" w:hAnsi="Book Antiqua"/>
        </w:rPr>
      </w:pPr>
      <w:r w:rsidRPr="00CC669B">
        <w:rPr>
          <w:rFonts w:ascii="Book Antiqua" w:hAnsi="Book Antiqua"/>
        </w:rPr>
        <w:t xml:space="preserve">There was nothing in my judgement that gave rise to an obligation upon the Secretary of State to approach HMRC </w:t>
      </w:r>
      <w:proofErr w:type="gramStart"/>
      <w:r w:rsidRPr="00CC669B">
        <w:rPr>
          <w:rFonts w:ascii="Book Antiqua" w:hAnsi="Book Antiqua"/>
        </w:rPr>
        <w:t>in order to</w:t>
      </w:r>
      <w:proofErr w:type="gramEnd"/>
      <w:r w:rsidRPr="00CC669B">
        <w:rPr>
          <w:rFonts w:ascii="Book Antiqua" w:hAnsi="Book Antiqua"/>
        </w:rPr>
        <w:t xml:space="preserve"> elicit information </w:t>
      </w:r>
      <w:r w:rsidR="000F5993" w:rsidRPr="00CC669B">
        <w:rPr>
          <w:rFonts w:ascii="Book Antiqua" w:hAnsi="Book Antiqua"/>
        </w:rPr>
        <w:t xml:space="preserve">which may establish the working practice of the appellant’s former spouse. Absent such an obligation, the appellant’s case was bound to fail because he could not establish the requirements of the 2006 Regulations had been met. </w:t>
      </w:r>
    </w:p>
    <w:p w14:paraId="5EAF2707" w14:textId="77777777" w:rsidR="002050D0" w:rsidRPr="00CC669B" w:rsidRDefault="002050D0" w:rsidP="002050D0">
      <w:pPr>
        <w:pStyle w:val="ListParagraph"/>
        <w:rPr>
          <w:rFonts w:ascii="Book Antiqua" w:hAnsi="Book Antiqua"/>
        </w:rPr>
      </w:pPr>
    </w:p>
    <w:p w14:paraId="00791F19" w14:textId="77777777" w:rsidR="002050D0" w:rsidRPr="00CC669B" w:rsidRDefault="002050D0" w:rsidP="002050D0">
      <w:pPr>
        <w:pStyle w:val="ListParagraph"/>
        <w:ind w:left="0"/>
        <w:jc w:val="both"/>
        <w:rPr>
          <w:rFonts w:ascii="Book Antiqua" w:hAnsi="Book Antiqua"/>
          <w:u w:val="single"/>
        </w:rPr>
      </w:pPr>
      <w:r w:rsidRPr="00CC669B">
        <w:rPr>
          <w:rFonts w:ascii="Book Antiqua" w:hAnsi="Book Antiqua"/>
          <w:u w:val="single"/>
        </w:rPr>
        <w:t>DECISION</w:t>
      </w:r>
    </w:p>
    <w:p w14:paraId="41AAB69B" w14:textId="77777777" w:rsidR="002050D0" w:rsidRPr="00CC669B" w:rsidRDefault="002050D0" w:rsidP="002050D0">
      <w:pPr>
        <w:pStyle w:val="ListParagraph"/>
        <w:ind w:left="0"/>
        <w:jc w:val="both"/>
        <w:rPr>
          <w:rFonts w:ascii="Book Antiqua" w:hAnsi="Book Antiqua"/>
          <w:u w:val="single"/>
        </w:rPr>
      </w:pPr>
    </w:p>
    <w:p w14:paraId="4D2C3ED0" w14:textId="77777777" w:rsidR="002050D0" w:rsidRPr="00CC669B" w:rsidRDefault="002050D0" w:rsidP="002050D0">
      <w:pPr>
        <w:pStyle w:val="ListParagraph"/>
        <w:jc w:val="both"/>
        <w:rPr>
          <w:rFonts w:ascii="Book Antiqua" w:hAnsi="Book Antiqua"/>
        </w:rPr>
      </w:pPr>
      <w:r w:rsidRPr="00CC669B">
        <w:rPr>
          <w:rFonts w:ascii="Book Antiqua" w:hAnsi="Book Antiqua"/>
        </w:rPr>
        <w:t>The decision of the First-tier Tribunal Judge reveals no error of law and his determination shall stand.</w:t>
      </w:r>
    </w:p>
    <w:p w14:paraId="35728316" w14:textId="77777777" w:rsidR="002050D0" w:rsidRPr="00CC669B" w:rsidRDefault="002050D0" w:rsidP="002050D0">
      <w:pPr>
        <w:pStyle w:val="ListParagraph"/>
        <w:jc w:val="both"/>
        <w:rPr>
          <w:rFonts w:ascii="Book Antiqua" w:hAnsi="Book Antiqua"/>
        </w:rPr>
      </w:pPr>
    </w:p>
    <w:p w14:paraId="051BAE73" w14:textId="77777777" w:rsidR="002050D0" w:rsidRPr="00CC669B" w:rsidRDefault="002050D0" w:rsidP="002050D0">
      <w:pPr>
        <w:pStyle w:val="ListParagraph"/>
        <w:jc w:val="both"/>
        <w:rPr>
          <w:rFonts w:ascii="Book Antiqua" w:hAnsi="Book Antiqua"/>
        </w:rPr>
      </w:pPr>
    </w:p>
    <w:p w14:paraId="120021E2" w14:textId="77777777" w:rsidR="002050D0" w:rsidRPr="00CC669B" w:rsidRDefault="002050D0" w:rsidP="002050D0">
      <w:pPr>
        <w:pStyle w:val="ListParagraph"/>
        <w:jc w:val="both"/>
        <w:rPr>
          <w:rFonts w:ascii="Book Antiqua" w:hAnsi="Book Antiqua"/>
        </w:rPr>
      </w:pPr>
    </w:p>
    <w:p w14:paraId="2A20A61B" w14:textId="77777777" w:rsidR="002050D0" w:rsidRPr="00CC669B" w:rsidRDefault="002050D0" w:rsidP="002050D0">
      <w:pPr>
        <w:pStyle w:val="ListParagraph"/>
        <w:ind w:left="0"/>
        <w:jc w:val="both"/>
        <w:rPr>
          <w:rFonts w:ascii="Book Antiqua" w:hAnsi="Book Antiqua"/>
        </w:rPr>
      </w:pPr>
    </w:p>
    <w:p w14:paraId="41912CD4" w14:textId="77777777" w:rsidR="002050D0" w:rsidRPr="00CC669B" w:rsidRDefault="002050D0" w:rsidP="002050D0">
      <w:pPr>
        <w:pStyle w:val="ListParagraph"/>
        <w:ind w:left="0"/>
        <w:jc w:val="right"/>
        <w:rPr>
          <w:rFonts w:ascii="Book Antiqua" w:hAnsi="Book Antiqua"/>
        </w:rPr>
      </w:pPr>
      <w:r w:rsidRPr="00CC669B">
        <w:rPr>
          <w:rFonts w:ascii="Book Antiqua" w:hAnsi="Book Antiqua"/>
        </w:rPr>
        <w:t>ANDREW JORDAN</w:t>
      </w:r>
    </w:p>
    <w:p w14:paraId="7971A4BE" w14:textId="77777777" w:rsidR="002050D0" w:rsidRPr="00CC669B" w:rsidRDefault="002050D0" w:rsidP="002050D0">
      <w:pPr>
        <w:pStyle w:val="ListParagraph"/>
        <w:ind w:left="0"/>
        <w:jc w:val="right"/>
        <w:rPr>
          <w:rFonts w:ascii="Book Antiqua" w:hAnsi="Book Antiqua"/>
        </w:rPr>
      </w:pPr>
      <w:r w:rsidRPr="00CC669B">
        <w:rPr>
          <w:rFonts w:ascii="Book Antiqua" w:hAnsi="Book Antiqua"/>
        </w:rPr>
        <w:t>DEPUTY UPPER TRIBUNAL JUDGE</w:t>
      </w:r>
    </w:p>
    <w:p w14:paraId="17CA042A" w14:textId="77777777" w:rsidR="0001650C" w:rsidRPr="00CC669B" w:rsidRDefault="0001650C" w:rsidP="002050D0">
      <w:pPr>
        <w:pStyle w:val="ListParagraph"/>
        <w:ind w:left="0"/>
        <w:jc w:val="right"/>
        <w:rPr>
          <w:rFonts w:ascii="Book Antiqua" w:hAnsi="Book Antiqua"/>
        </w:rPr>
      </w:pPr>
    </w:p>
    <w:p w14:paraId="3C0E6B8A" w14:textId="77777777" w:rsidR="0001650C" w:rsidRPr="00CC669B" w:rsidRDefault="0001650C" w:rsidP="002050D0">
      <w:pPr>
        <w:pStyle w:val="ListParagraph"/>
        <w:ind w:left="0"/>
        <w:jc w:val="right"/>
        <w:rPr>
          <w:rFonts w:ascii="Book Antiqua" w:hAnsi="Book Antiqua"/>
        </w:rPr>
      </w:pPr>
      <w:r w:rsidRPr="00CC669B">
        <w:rPr>
          <w:rFonts w:ascii="Book Antiqua" w:hAnsi="Book Antiqua"/>
        </w:rPr>
        <w:t>Date:  13 June 2018</w:t>
      </w:r>
    </w:p>
    <w:p w14:paraId="10407463" w14:textId="77777777" w:rsidR="0001650C" w:rsidRPr="00CC669B" w:rsidRDefault="0001650C" w:rsidP="002050D0">
      <w:pPr>
        <w:pStyle w:val="ListParagraph"/>
        <w:ind w:left="0"/>
        <w:jc w:val="right"/>
        <w:rPr>
          <w:rFonts w:ascii="Book Antiqua" w:hAnsi="Book Antiqua"/>
        </w:rPr>
      </w:pPr>
    </w:p>
    <w:sectPr w:rsidR="0001650C" w:rsidRPr="00CC669B" w:rsidSect="00CC669B">
      <w:headerReference w:type="default" r:id="rId8"/>
      <w:footerReference w:type="default" r:id="rId9"/>
      <w:footerReference w:type="first" r:id="rId10"/>
      <w:pgSz w:w="11906" w:h="16838"/>
      <w:pgMar w:top="568"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CA455" w14:textId="77777777" w:rsidR="00B311DB" w:rsidRDefault="00B311DB" w:rsidP="0005563A">
      <w:r>
        <w:separator/>
      </w:r>
    </w:p>
  </w:endnote>
  <w:endnote w:type="continuationSeparator" w:id="0">
    <w:p w14:paraId="10196336" w14:textId="77777777" w:rsidR="00B311DB" w:rsidRDefault="00B311DB" w:rsidP="00055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983762"/>
      <w:docPartObj>
        <w:docPartGallery w:val="Page Numbers (Bottom of Page)"/>
        <w:docPartUnique/>
      </w:docPartObj>
    </w:sdtPr>
    <w:sdtEndPr>
      <w:rPr>
        <w:rFonts w:ascii="Book Antiqua" w:hAnsi="Book Antiqua"/>
        <w:noProof/>
      </w:rPr>
    </w:sdtEndPr>
    <w:sdtContent>
      <w:p w14:paraId="3AA4FACF" w14:textId="55CC749E" w:rsidR="0005563A" w:rsidRPr="00CC669B" w:rsidRDefault="0005563A">
        <w:pPr>
          <w:pStyle w:val="Footer"/>
          <w:jc w:val="center"/>
          <w:rPr>
            <w:rFonts w:ascii="Book Antiqua" w:hAnsi="Book Antiqua"/>
          </w:rPr>
        </w:pPr>
        <w:r w:rsidRPr="00CC669B">
          <w:rPr>
            <w:rFonts w:ascii="Book Antiqua" w:hAnsi="Book Antiqua"/>
          </w:rPr>
          <w:fldChar w:fldCharType="begin"/>
        </w:r>
        <w:r w:rsidRPr="00CC669B">
          <w:rPr>
            <w:rFonts w:ascii="Book Antiqua" w:hAnsi="Book Antiqua"/>
          </w:rPr>
          <w:instrText xml:space="preserve"> PAGE   \* MERGEFORMAT </w:instrText>
        </w:r>
        <w:r w:rsidRPr="00CC669B">
          <w:rPr>
            <w:rFonts w:ascii="Book Antiqua" w:hAnsi="Book Antiqua"/>
          </w:rPr>
          <w:fldChar w:fldCharType="separate"/>
        </w:r>
        <w:r w:rsidR="006E2839">
          <w:rPr>
            <w:rFonts w:ascii="Book Antiqua" w:hAnsi="Book Antiqua"/>
            <w:noProof/>
          </w:rPr>
          <w:t>3</w:t>
        </w:r>
        <w:r w:rsidRPr="00CC669B">
          <w:rPr>
            <w:rFonts w:ascii="Book Antiqua" w:hAnsi="Book Antiqua"/>
            <w:noProof/>
          </w:rPr>
          <w:fldChar w:fldCharType="end"/>
        </w:r>
      </w:p>
    </w:sdtContent>
  </w:sdt>
  <w:p w14:paraId="66369E61" w14:textId="77777777" w:rsidR="0005563A" w:rsidRDefault="000556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2F0F2" w14:textId="77777777" w:rsidR="0005563A" w:rsidRPr="00CC669B" w:rsidRDefault="0005563A" w:rsidP="0005563A">
    <w:pPr>
      <w:pStyle w:val="Footer"/>
      <w:jc w:val="center"/>
      <w:rPr>
        <w:rFonts w:ascii="Book Antiqua" w:hAnsi="Book Antiqua"/>
        <w:b/>
      </w:rPr>
    </w:pPr>
    <w:r w:rsidRPr="00CC669B">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4ACB3" w14:textId="77777777" w:rsidR="00B311DB" w:rsidRDefault="00B311DB" w:rsidP="0005563A">
      <w:r>
        <w:separator/>
      </w:r>
    </w:p>
  </w:footnote>
  <w:footnote w:type="continuationSeparator" w:id="0">
    <w:p w14:paraId="16C573FB" w14:textId="77777777" w:rsidR="00B311DB" w:rsidRDefault="00B311DB" w:rsidP="000556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4588C" w14:textId="12A58654" w:rsidR="0005563A" w:rsidRPr="00CC669B" w:rsidRDefault="00CC669B" w:rsidP="0005563A">
    <w:pPr>
      <w:pStyle w:val="Header"/>
      <w:jc w:val="right"/>
      <w:rPr>
        <w:rFonts w:ascii="Book Antiqua" w:hAnsi="Book Antiqua"/>
        <w:sz w:val="16"/>
        <w:szCs w:val="16"/>
      </w:rPr>
    </w:pPr>
    <w:r w:rsidRPr="00CC669B">
      <w:rPr>
        <w:rFonts w:ascii="Book Antiqua" w:hAnsi="Book Antiqua"/>
        <w:sz w:val="16"/>
        <w:szCs w:val="16"/>
      </w:rPr>
      <w:t xml:space="preserve">Appeal Number: </w:t>
    </w:r>
    <w:r w:rsidR="0005563A" w:rsidRPr="00CC669B">
      <w:rPr>
        <w:rFonts w:ascii="Book Antiqua" w:hAnsi="Book Antiqua"/>
        <w:sz w:val="16"/>
        <w:szCs w:val="16"/>
      </w:rPr>
      <w:t>EA/00812/2017</w:t>
    </w:r>
  </w:p>
  <w:p w14:paraId="731EF717" w14:textId="77777777" w:rsidR="00CC669B" w:rsidRPr="0005563A" w:rsidRDefault="00CC669B" w:rsidP="0005563A">
    <w:pPr>
      <w:pStyle w:val="Header"/>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E4779"/>
    <w:multiLevelType w:val="hybridMultilevel"/>
    <w:tmpl w:val="6D7A67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85ECA11E-CC0D-41C7-9E8D-111AE6E69738}"/>
    <w:docVar w:name="dgnword-eventsink" w:val="410009320"/>
  </w:docVars>
  <w:rsids>
    <w:rsidRoot w:val="00F25956"/>
    <w:rsid w:val="0001650C"/>
    <w:rsid w:val="0005563A"/>
    <w:rsid w:val="000D5CF2"/>
    <w:rsid w:val="000F5993"/>
    <w:rsid w:val="00150C92"/>
    <w:rsid w:val="002050D0"/>
    <w:rsid w:val="00231DE0"/>
    <w:rsid w:val="004E28F1"/>
    <w:rsid w:val="00671F51"/>
    <w:rsid w:val="006E2839"/>
    <w:rsid w:val="0088726F"/>
    <w:rsid w:val="008C766C"/>
    <w:rsid w:val="009B2B1B"/>
    <w:rsid w:val="00AB5DA8"/>
    <w:rsid w:val="00B0555A"/>
    <w:rsid w:val="00B311DB"/>
    <w:rsid w:val="00B3532C"/>
    <w:rsid w:val="00B379F3"/>
    <w:rsid w:val="00B94837"/>
    <w:rsid w:val="00BF03B1"/>
    <w:rsid w:val="00C27AC0"/>
    <w:rsid w:val="00CC669B"/>
    <w:rsid w:val="00D167C1"/>
    <w:rsid w:val="00D67F3E"/>
    <w:rsid w:val="00EA49E6"/>
    <w:rsid w:val="00EF235E"/>
    <w:rsid w:val="00F25956"/>
    <w:rsid w:val="00FF7C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BF5A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5956"/>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9F3"/>
    <w:pPr>
      <w:ind w:left="720"/>
      <w:contextualSpacing/>
    </w:pPr>
  </w:style>
  <w:style w:type="paragraph" w:styleId="Header">
    <w:name w:val="header"/>
    <w:basedOn w:val="Normal"/>
    <w:link w:val="HeaderChar"/>
    <w:uiPriority w:val="99"/>
    <w:unhideWhenUsed/>
    <w:rsid w:val="0005563A"/>
    <w:pPr>
      <w:tabs>
        <w:tab w:val="center" w:pos="4513"/>
        <w:tab w:val="right" w:pos="9026"/>
      </w:tabs>
    </w:pPr>
  </w:style>
  <w:style w:type="character" w:customStyle="1" w:styleId="HeaderChar">
    <w:name w:val="Header Char"/>
    <w:basedOn w:val="DefaultParagraphFont"/>
    <w:link w:val="Header"/>
    <w:uiPriority w:val="99"/>
    <w:rsid w:val="0005563A"/>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05563A"/>
    <w:pPr>
      <w:tabs>
        <w:tab w:val="center" w:pos="4513"/>
        <w:tab w:val="right" w:pos="9026"/>
      </w:tabs>
    </w:pPr>
  </w:style>
  <w:style w:type="character" w:customStyle="1" w:styleId="FooterChar">
    <w:name w:val="Footer Char"/>
    <w:basedOn w:val="DefaultParagraphFont"/>
    <w:link w:val="Footer"/>
    <w:uiPriority w:val="99"/>
    <w:rsid w:val="0005563A"/>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9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2018-07-09T15:03:00Z</dcterms:created>
  <dcterms:modified xsi:type="dcterms:W3CDTF">2018-07-09T15:03:00Z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