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A544A8" w:rsidRDefault="00D94AFC">
      <w:pPr>
        <w:rPr>
          <w:rFonts w:ascii="Sylfaen" w:hAnsi="Sylfaen" w:cs="Arial"/>
          <w:color w:val="000000"/>
          <w:sz w:val="16"/>
          <w:szCs w:val="16"/>
        </w:rPr>
      </w:pPr>
    </w:p>
    <w:p w:rsidR="00F97703" w:rsidRPr="00A544A8" w:rsidRDefault="00F621A6" w:rsidP="00F97703">
      <w:pPr>
        <w:jc w:val="center"/>
        <w:rPr>
          <w:rFonts w:ascii="Sylfaen" w:hAnsi="Sylfaen" w:cs="Arial"/>
          <w:color w:val="000000"/>
        </w:rPr>
      </w:pPr>
      <w:r w:rsidRPr="00A544A8">
        <w:rPr>
          <w:rFonts w:ascii="Sylfaen" w:hAnsi="Sylfaen"/>
          <w:noProof/>
        </w:rPr>
        <w:drawing>
          <wp:inline distT="0" distB="0" distL="0" distR="0">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F97703" w:rsidRPr="00A544A8" w:rsidRDefault="00611011" w:rsidP="00780F86">
      <w:pPr>
        <w:tabs>
          <w:tab w:val="right" w:pos="9720"/>
        </w:tabs>
        <w:ind w:right="-82"/>
        <w:rPr>
          <w:rFonts w:ascii="Sylfaen" w:hAnsi="Sylfaen" w:cs="Arial"/>
          <w:b/>
          <w:color w:val="000000"/>
        </w:rPr>
      </w:pPr>
      <w:r w:rsidRPr="00A544A8">
        <w:rPr>
          <w:rFonts w:ascii="Sylfaen" w:hAnsi="Sylfaen" w:cs="Arial"/>
          <w:b/>
          <w:color w:val="000000"/>
        </w:rPr>
        <w:t>Upper</w:t>
      </w:r>
      <w:r w:rsidR="00F97703" w:rsidRPr="00A544A8">
        <w:rPr>
          <w:rFonts w:ascii="Sylfaen" w:hAnsi="Sylfaen" w:cs="Arial"/>
          <w:b/>
          <w:color w:val="000000"/>
        </w:rPr>
        <w:t xml:space="preserve"> Tribunal </w:t>
      </w:r>
    </w:p>
    <w:p w:rsidR="007B0824" w:rsidRPr="00A544A8" w:rsidRDefault="00F97703" w:rsidP="00780F86">
      <w:pPr>
        <w:tabs>
          <w:tab w:val="right" w:pos="9720"/>
        </w:tabs>
        <w:ind w:right="-82"/>
        <w:rPr>
          <w:rFonts w:ascii="Sylfaen" w:hAnsi="Sylfaen" w:cs="Arial"/>
          <w:color w:val="000000"/>
        </w:rPr>
      </w:pPr>
      <w:r w:rsidRPr="00A544A8">
        <w:rPr>
          <w:rFonts w:ascii="Sylfaen" w:hAnsi="Sylfaen" w:cs="Arial"/>
          <w:b/>
          <w:color w:val="000000"/>
        </w:rPr>
        <w:t>(Immigration and Asylum Chamber)</w:t>
      </w:r>
      <w:r w:rsidR="00DB70AE" w:rsidRPr="00A544A8">
        <w:rPr>
          <w:rFonts w:ascii="Sylfaen" w:hAnsi="Sylfaen" w:cs="Arial"/>
          <w:b/>
          <w:color w:val="000000"/>
        </w:rPr>
        <w:tab/>
      </w:r>
      <w:r w:rsidR="00B3524D" w:rsidRPr="00A544A8">
        <w:rPr>
          <w:rFonts w:ascii="Sylfaen" w:hAnsi="Sylfaen" w:cs="Arial"/>
          <w:color w:val="000000"/>
        </w:rPr>
        <w:t>Appeal</w:t>
      </w:r>
      <w:r w:rsidR="00BD3A9C">
        <w:rPr>
          <w:rFonts w:ascii="Sylfaen" w:hAnsi="Sylfaen" w:cs="Arial"/>
          <w:color w:val="000000"/>
        </w:rPr>
        <w:t xml:space="preserve"> no</w:t>
      </w:r>
      <w:r w:rsidR="00D53769" w:rsidRPr="00A544A8">
        <w:rPr>
          <w:rFonts w:ascii="Sylfaen" w:hAnsi="Sylfaen" w:cs="Arial"/>
          <w:color w:val="000000"/>
        </w:rPr>
        <w:t>:</w:t>
      </w:r>
      <w:r w:rsidR="00B3524D" w:rsidRPr="00A544A8">
        <w:rPr>
          <w:rFonts w:ascii="Sylfaen" w:hAnsi="Sylfaen" w:cs="Arial"/>
          <w:color w:val="000000"/>
        </w:rPr>
        <w:t xml:space="preserve"> </w:t>
      </w:r>
      <w:bookmarkStart w:id="0" w:name="_GoBack"/>
      <w:r w:rsidR="00F06F20">
        <w:rPr>
          <w:rFonts w:ascii="Sylfaen" w:hAnsi="Sylfaen" w:cs="Arial"/>
          <w:b/>
          <w:caps/>
          <w:color w:val="000000"/>
        </w:rPr>
        <w:t>ea</w:t>
      </w:r>
      <w:r w:rsidR="00456E19">
        <w:rPr>
          <w:rFonts w:ascii="Sylfaen" w:hAnsi="Sylfaen" w:cs="Arial"/>
          <w:b/>
          <w:caps/>
          <w:color w:val="000000"/>
        </w:rPr>
        <w:t>/00815/20</w:t>
      </w:r>
      <w:r w:rsidR="00F06F20">
        <w:rPr>
          <w:rFonts w:ascii="Sylfaen" w:hAnsi="Sylfaen" w:cs="Arial"/>
          <w:b/>
          <w:caps/>
          <w:color w:val="000000"/>
        </w:rPr>
        <w:t>16</w:t>
      </w:r>
      <w:bookmarkEnd w:id="0"/>
    </w:p>
    <w:p w:rsidR="00C345E1" w:rsidRPr="00A544A8" w:rsidRDefault="00C345E1" w:rsidP="00C345E1">
      <w:pPr>
        <w:jc w:val="center"/>
        <w:rPr>
          <w:rFonts w:ascii="Sylfaen" w:hAnsi="Sylfaen" w:cs="Arial"/>
          <w:color w:val="000000"/>
        </w:rPr>
      </w:pPr>
    </w:p>
    <w:p w:rsidR="00C345E1" w:rsidRPr="00A544A8" w:rsidRDefault="00C345E1" w:rsidP="00C345E1">
      <w:pPr>
        <w:jc w:val="center"/>
        <w:rPr>
          <w:rFonts w:ascii="Sylfaen" w:hAnsi="Sylfaen" w:cs="Arial"/>
          <w:b/>
          <w:color w:val="000000"/>
          <w:u w:val="single"/>
        </w:rPr>
      </w:pPr>
      <w:r w:rsidRPr="00A544A8">
        <w:rPr>
          <w:rFonts w:ascii="Sylfaen" w:hAnsi="Sylfaen" w:cs="Arial"/>
          <w:b/>
          <w:color w:val="000000"/>
          <w:u w:val="single"/>
        </w:rPr>
        <w:t>THE IMMIGRATION ACTS</w:t>
      </w:r>
    </w:p>
    <w:p w:rsidR="00C345E1" w:rsidRPr="00A544A8" w:rsidRDefault="00C345E1" w:rsidP="00C345E1">
      <w:pPr>
        <w:jc w:val="center"/>
        <w:rPr>
          <w:rFonts w:ascii="Sylfaen" w:hAnsi="Sylfaen" w:cs="Arial"/>
          <w:b/>
          <w:u w:val="single"/>
        </w:rPr>
      </w:pPr>
    </w:p>
    <w:tbl>
      <w:tblPr>
        <w:tblW w:w="0" w:type="auto"/>
        <w:tblLook w:val="01E0" w:firstRow="1" w:lastRow="1" w:firstColumn="1" w:lastColumn="1" w:noHBand="0" w:noVBand="0"/>
      </w:tblPr>
      <w:tblGrid>
        <w:gridCol w:w="5656"/>
        <w:gridCol w:w="3982"/>
      </w:tblGrid>
      <w:tr w:rsidR="00D22636" w:rsidRPr="0019291F" w:rsidTr="00896DE4">
        <w:tc>
          <w:tcPr>
            <w:tcW w:w="5778" w:type="dxa"/>
            <w:shd w:val="clear" w:color="auto" w:fill="auto"/>
          </w:tcPr>
          <w:p w:rsidR="00D22636" w:rsidRPr="0019291F" w:rsidRDefault="00BD3A9C" w:rsidP="0019291F">
            <w:pPr>
              <w:ind w:left="540" w:hanging="540"/>
              <w:jc w:val="both"/>
              <w:rPr>
                <w:rFonts w:ascii="Sylfaen" w:hAnsi="Sylfaen" w:cs="Arial"/>
                <w:b/>
              </w:rPr>
            </w:pPr>
            <w:r w:rsidRPr="0019291F">
              <w:rPr>
                <w:rFonts w:ascii="Sylfaen" w:hAnsi="Sylfaen" w:cs="Arial"/>
              </w:rPr>
              <w:t>At</w:t>
            </w:r>
            <w:r w:rsidRPr="0019291F">
              <w:rPr>
                <w:rFonts w:ascii="Sylfaen" w:hAnsi="Sylfaen" w:cs="Arial"/>
                <w:b/>
              </w:rPr>
              <w:t xml:space="preserve">    </w:t>
            </w:r>
            <w:r w:rsidR="00896DE4" w:rsidRPr="00BD7B07">
              <w:rPr>
                <w:rFonts w:ascii="Book Antiqua" w:hAnsi="Book Antiqua" w:cs="Arial"/>
                <w:b/>
              </w:rPr>
              <w:t>Heard at Field House</w:t>
            </w:r>
          </w:p>
        </w:tc>
        <w:tc>
          <w:tcPr>
            <w:tcW w:w="4050" w:type="dxa"/>
            <w:shd w:val="clear" w:color="auto" w:fill="auto"/>
          </w:tcPr>
          <w:p w:rsidR="00D22636" w:rsidRPr="0019291F" w:rsidRDefault="00896DE4" w:rsidP="00896DE4">
            <w:pPr>
              <w:jc w:val="both"/>
              <w:rPr>
                <w:rFonts w:ascii="Sylfaen" w:hAnsi="Sylfaen" w:cs="Arial"/>
                <w:b/>
                <w:color w:val="000000"/>
              </w:rPr>
            </w:pPr>
            <w:r w:rsidRPr="00BD7B07">
              <w:rPr>
                <w:rFonts w:ascii="Book Antiqua" w:hAnsi="Book Antiqua" w:cs="Arial"/>
                <w:b/>
                <w:color w:val="000000"/>
              </w:rPr>
              <w:t>Decision &amp; Reasons Promulgated</w:t>
            </w:r>
          </w:p>
        </w:tc>
      </w:tr>
      <w:tr w:rsidR="00D22636" w:rsidRPr="0019291F" w:rsidTr="00896DE4">
        <w:tc>
          <w:tcPr>
            <w:tcW w:w="5778" w:type="dxa"/>
            <w:shd w:val="clear" w:color="auto" w:fill="auto"/>
          </w:tcPr>
          <w:p w:rsidR="00D22636" w:rsidRPr="0019291F" w:rsidRDefault="00BD3A9C" w:rsidP="0019291F">
            <w:pPr>
              <w:jc w:val="both"/>
              <w:rPr>
                <w:rFonts w:ascii="Sylfaen" w:hAnsi="Sylfaen" w:cs="Arial"/>
                <w:b/>
              </w:rPr>
            </w:pPr>
            <w:r w:rsidRPr="0019291F">
              <w:rPr>
                <w:rFonts w:ascii="Sylfaen" w:hAnsi="Sylfaen" w:cs="Arial"/>
              </w:rPr>
              <w:t>on</w:t>
            </w:r>
            <w:r w:rsidRPr="0019291F">
              <w:rPr>
                <w:rFonts w:ascii="Sylfaen" w:hAnsi="Sylfaen" w:cs="Arial"/>
                <w:b/>
              </w:rPr>
              <w:t xml:space="preserve">    </w:t>
            </w:r>
            <w:r w:rsidR="00F06F20" w:rsidRPr="0019291F">
              <w:rPr>
                <w:rFonts w:ascii="Sylfaen" w:hAnsi="Sylfaen" w:cs="Arial"/>
                <w:b/>
              </w:rPr>
              <w:t>21.05.2018</w:t>
            </w:r>
          </w:p>
        </w:tc>
        <w:tc>
          <w:tcPr>
            <w:tcW w:w="4050" w:type="dxa"/>
            <w:shd w:val="clear" w:color="auto" w:fill="auto"/>
          </w:tcPr>
          <w:p w:rsidR="00D22636" w:rsidRPr="0019291F" w:rsidRDefault="00896DE4" w:rsidP="00896DE4">
            <w:pPr>
              <w:jc w:val="both"/>
              <w:rPr>
                <w:rFonts w:ascii="Sylfaen" w:hAnsi="Sylfaen" w:cs="Arial"/>
                <w:b/>
              </w:rPr>
            </w:pPr>
            <w:r>
              <w:rPr>
                <w:rFonts w:ascii="Sylfaen" w:hAnsi="Sylfaen" w:cs="Arial"/>
                <w:b/>
              </w:rPr>
              <w:t>On 25.05.2018</w:t>
            </w:r>
          </w:p>
        </w:tc>
      </w:tr>
    </w:tbl>
    <w:p w:rsidR="00F07170" w:rsidRDefault="00F07170" w:rsidP="00BD3A9C">
      <w:pPr>
        <w:rPr>
          <w:rFonts w:ascii="Sylfaen" w:hAnsi="Sylfaen" w:cs="Arial"/>
          <w:b/>
        </w:rPr>
      </w:pPr>
    </w:p>
    <w:p w:rsidR="00A15234" w:rsidRPr="003860CF" w:rsidRDefault="00207617" w:rsidP="00BD3A9C">
      <w:pPr>
        <w:rPr>
          <w:rFonts w:ascii="Sylfaen" w:hAnsi="Sylfaen" w:cs="Arial"/>
        </w:rPr>
      </w:pPr>
      <w:r w:rsidRPr="003860CF">
        <w:rPr>
          <w:rFonts w:ascii="Sylfaen" w:hAnsi="Sylfaen" w:cs="Arial"/>
        </w:rPr>
        <w:t>Befo</w:t>
      </w:r>
      <w:r w:rsidR="00A15234" w:rsidRPr="003860CF">
        <w:rPr>
          <w:rFonts w:ascii="Sylfaen" w:hAnsi="Sylfaen" w:cs="Arial"/>
        </w:rPr>
        <w:t>re</w:t>
      </w:r>
      <w:r w:rsidR="00BD3A9C" w:rsidRPr="003860CF">
        <w:rPr>
          <w:rFonts w:ascii="Sylfaen" w:hAnsi="Sylfaen" w:cs="Arial"/>
        </w:rPr>
        <w:t>:</w:t>
      </w:r>
    </w:p>
    <w:p w:rsidR="00D20757" w:rsidRPr="00896DE4" w:rsidRDefault="00BA334F" w:rsidP="00A15234">
      <w:pPr>
        <w:jc w:val="center"/>
        <w:rPr>
          <w:rFonts w:ascii="Sylfaen" w:hAnsi="Sylfaen" w:cs="Arial"/>
          <w:b/>
          <w:color w:val="000000"/>
          <w:sz w:val="28"/>
          <w:szCs w:val="28"/>
        </w:rPr>
      </w:pPr>
      <w:r w:rsidRPr="00896DE4">
        <w:rPr>
          <w:rFonts w:ascii="Sylfaen" w:hAnsi="Sylfaen" w:cs="Arial"/>
          <w:b/>
          <w:color w:val="000000"/>
          <w:sz w:val="28"/>
          <w:szCs w:val="28"/>
        </w:rPr>
        <w:t xml:space="preserve">Upper Tribunal Judge </w:t>
      </w:r>
    </w:p>
    <w:p w:rsidR="00A544A8" w:rsidRPr="00A544A8" w:rsidRDefault="00A544A8" w:rsidP="00A544A8">
      <w:pPr>
        <w:jc w:val="center"/>
        <w:rPr>
          <w:rFonts w:ascii="Sylfaen" w:hAnsi="Sylfaen" w:cs="Arial"/>
          <w:b/>
          <w:color w:val="000000"/>
        </w:rPr>
      </w:pPr>
      <w:r w:rsidRPr="00A544A8">
        <w:rPr>
          <w:rFonts w:ascii="Sylfaen" w:hAnsi="Sylfaen" w:cs="Arial"/>
          <w:b/>
          <w:color w:val="000000"/>
        </w:rPr>
        <w:t>John FREEMAN</w:t>
      </w:r>
    </w:p>
    <w:p w:rsidR="00A845DC" w:rsidRPr="003860CF" w:rsidRDefault="00A845DC" w:rsidP="00BD3A9C">
      <w:pPr>
        <w:rPr>
          <w:rFonts w:ascii="Sylfaen" w:hAnsi="Sylfaen" w:cs="Arial"/>
        </w:rPr>
      </w:pPr>
      <w:r w:rsidRPr="003860CF">
        <w:rPr>
          <w:rFonts w:ascii="Sylfaen" w:hAnsi="Sylfaen" w:cs="Arial"/>
        </w:rPr>
        <w:t>Between</w:t>
      </w:r>
      <w:r w:rsidR="00BD3A9C" w:rsidRPr="003860CF">
        <w:rPr>
          <w:rFonts w:ascii="Sylfaen" w:hAnsi="Sylfaen" w:cs="Arial"/>
        </w:rPr>
        <w:t>:</w:t>
      </w:r>
    </w:p>
    <w:p w:rsidR="00704B61" w:rsidRPr="00A544A8" w:rsidRDefault="00F06F20" w:rsidP="00A15234">
      <w:pPr>
        <w:jc w:val="center"/>
        <w:rPr>
          <w:rFonts w:ascii="Sylfaen" w:hAnsi="Sylfaen" w:cs="Arial"/>
          <w:b/>
        </w:rPr>
      </w:pPr>
      <w:proofErr w:type="spellStart"/>
      <w:r>
        <w:rPr>
          <w:rFonts w:ascii="Sylfaen" w:hAnsi="Sylfaen" w:cs="Arial"/>
          <w:b/>
        </w:rPr>
        <w:t>Iram</w:t>
      </w:r>
      <w:proofErr w:type="spellEnd"/>
      <w:r>
        <w:rPr>
          <w:rFonts w:ascii="Sylfaen" w:hAnsi="Sylfaen" w:cs="Arial"/>
          <w:b/>
        </w:rPr>
        <w:t xml:space="preserve"> NAZ</w:t>
      </w:r>
    </w:p>
    <w:p w:rsidR="00704B61" w:rsidRPr="003860CF" w:rsidRDefault="00BD3A9C" w:rsidP="00704B61">
      <w:pPr>
        <w:jc w:val="right"/>
        <w:rPr>
          <w:rFonts w:ascii="Sylfaen" w:hAnsi="Sylfaen" w:cs="Arial"/>
        </w:rPr>
      </w:pPr>
      <w:r w:rsidRPr="003860CF">
        <w:rPr>
          <w:rFonts w:ascii="Sylfaen" w:hAnsi="Sylfaen" w:cs="Arial"/>
        </w:rPr>
        <w:t>appellant</w:t>
      </w:r>
    </w:p>
    <w:p w:rsidR="00704B61" w:rsidRPr="00A544A8" w:rsidRDefault="00DD5071" w:rsidP="00704B61">
      <w:pPr>
        <w:jc w:val="center"/>
        <w:rPr>
          <w:rFonts w:ascii="Sylfaen" w:hAnsi="Sylfaen" w:cs="Arial"/>
          <w:b/>
        </w:rPr>
      </w:pPr>
      <w:r w:rsidRPr="00A544A8">
        <w:rPr>
          <w:rFonts w:ascii="Sylfaen" w:hAnsi="Sylfaen" w:cs="Arial"/>
          <w:b/>
        </w:rPr>
        <w:t>and</w:t>
      </w:r>
    </w:p>
    <w:p w:rsidR="00DD5071" w:rsidRPr="00A544A8" w:rsidRDefault="00DD5071" w:rsidP="00704B61">
      <w:pPr>
        <w:jc w:val="center"/>
        <w:rPr>
          <w:rFonts w:ascii="Sylfaen" w:hAnsi="Sylfaen" w:cs="Arial"/>
          <w:b/>
        </w:rPr>
      </w:pPr>
    </w:p>
    <w:bookmarkStart w:id="1" w:name="Dropdown1"/>
    <w:p w:rsidR="00DD5071" w:rsidRPr="00A544A8" w:rsidRDefault="00A544A8" w:rsidP="00704B61">
      <w:pPr>
        <w:jc w:val="center"/>
        <w:rPr>
          <w:rFonts w:ascii="Sylfaen" w:hAnsi="Sylfaen" w:cs="Arial"/>
          <w:b/>
        </w:rPr>
      </w:pPr>
      <w:r w:rsidRPr="00A544A8">
        <w:rPr>
          <w:rFonts w:ascii="Sylfaen" w:hAnsi="Sylfaen" w:cs="Arial"/>
          <w:b/>
        </w:rPr>
        <w:fldChar w:fldCharType="begin">
          <w:ffData>
            <w:name w:val="Dropdown1"/>
            <w:enabled/>
            <w:calcOnExit w:val="0"/>
            <w:ddList>
              <w:listEntry w:val="Secretary of State for the Home Department"/>
              <w:listEntry w:val="Entry Clearance Officer,"/>
              <w:listEntry w:val="Immigration Officer, "/>
            </w:ddList>
          </w:ffData>
        </w:fldChar>
      </w:r>
      <w:r w:rsidRPr="00A544A8">
        <w:rPr>
          <w:rFonts w:ascii="Sylfaen" w:hAnsi="Sylfaen" w:cs="Arial"/>
          <w:b/>
        </w:rPr>
        <w:instrText xml:space="preserve"> FORMDROPDOWN </w:instrText>
      </w:r>
      <w:r w:rsidR="00BE6958">
        <w:rPr>
          <w:rFonts w:ascii="Sylfaen" w:hAnsi="Sylfaen" w:cs="Arial"/>
          <w:b/>
        </w:rPr>
      </w:r>
      <w:r w:rsidR="00BE6958">
        <w:rPr>
          <w:rFonts w:ascii="Sylfaen" w:hAnsi="Sylfaen" w:cs="Arial"/>
          <w:b/>
        </w:rPr>
        <w:fldChar w:fldCharType="separate"/>
      </w:r>
      <w:r w:rsidRPr="00A544A8">
        <w:rPr>
          <w:rFonts w:ascii="Sylfaen" w:hAnsi="Sylfaen" w:cs="Arial"/>
          <w:b/>
        </w:rPr>
        <w:fldChar w:fldCharType="end"/>
      </w:r>
      <w:bookmarkEnd w:id="1"/>
    </w:p>
    <w:p w:rsidR="00DD5071" w:rsidRPr="003860CF" w:rsidRDefault="00BD3A9C" w:rsidP="00DD5071">
      <w:pPr>
        <w:jc w:val="right"/>
        <w:rPr>
          <w:rFonts w:ascii="Sylfaen" w:hAnsi="Sylfaen" w:cs="Arial"/>
        </w:rPr>
      </w:pPr>
      <w:r w:rsidRPr="003860CF">
        <w:rPr>
          <w:rFonts w:ascii="Sylfaen" w:hAnsi="Sylfaen" w:cs="Arial"/>
        </w:rPr>
        <w:t>respondent</w:t>
      </w:r>
    </w:p>
    <w:p w:rsidR="00DD5071" w:rsidRPr="003860CF" w:rsidRDefault="00DE7DB7" w:rsidP="00DD5071">
      <w:pPr>
        <w:rPr>
          <w:rFonts w:ascii="Sylfaen" w:hAnsi="Sylfaen" w:cs="Arial"/>
        </w:rPr>
      </w:pPr>
      <w:r w:rsidRPr="003860CF">
        <w:rPr>
          <w:rFonts w:ascii="Sylfaen" w:hAnsi="Sylfaen" w:cs="Arial"/>
          <w:u w:val="single"/>
        </w:rPr>
        <w:t>Representation</w:t>
      </w:r>
      <w:r w:rsidRPr="003860CF">
        <w:rPr>
          <w:rFonts w:ascii="Sylfaen" w:hAnsi="Sylfaen" w:cs="Arial"/>
        </w:rPr>
        <w:t>:</w:t>
      </w:r>
    </w:p>
    <w:p w:rsidR="00DE7DB7" w:rsidRPr="00F06F20"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appellant</w:t>
      </w:r>
      <w:r w:rsidRPr="00A544A8">
        <w:rPr>
          <w:rFonts w:ascii="Sylfaen" w:hAnsi="Sylfaen" w:cs="Arial"/>
        </w:rPr>
        <w:t>:</w:t>
      </w:r>
      <w:r w:rsidRPr="00A544A8">
        <w:rPr>
          <w:rFonts w:ascii="Sylfaen" w:hAnsi="Sylfaen" w:cs="Arial"/>
        </w:rPr>
        <w:tab/>
      </w:r>
      <w:proofErr w:type="spellStart"/>
      <w:r w:rsidR="00F06F20">
        <w:rPr>
          <w:rFonts w:ascii="Sylfaen" w:hAnsi="Sylfaen" w:cs="Arial"/>
          <w:i/>
        </w:rPr>
        <w:t>Billal</w:t>
      </w:r>
      <w:proofErr w:type="spellEnd"/>
      <w:r w:rsidR="00F06F20">
        <w:rPr>
          <w:rFonts w:ascii="Sylfaen" w:hAnsi="Sylfaen" w:cs="Arial"/>
          <w:i/>
        </w:rPr>
        <w:t xml:space="preserve"> </w:t>
      </w:r>
      <w:proofErr w:type="gramStart"/>
      <w:r w:rsidR="00F06F20">
        <w:rPr>
          <w:rFonts w:ascii="Sylfaen" w:hAnsi="Sylfaen" w:cs="Arial"/>
          <w:i/>
        </w:rPr>
        <w:t xml:space="preserve">Malik </w:t>
      </w:r>
      <w:r w:rsidR="00F06F20">
        <w:rPr>
          <w:rFonts w:ascii="Sylfaen" w:hAnsi="Sylfaen" w:cs="Arial"/>
        </w:rPr>
        <w:t xml:space="preserve"> (</w:t>
      </w:r>
      <w:proofErr w:type="gramEnd"/>
      <w:r w:rsidR="00F06F20">
        <w:rPr>
          <w:rFonts w:ascii="Sylfaen" w:hAnsi="Sylfaen" w:cs="Arial"/>
        </w:rPr>
        <w:t>counsel instructed by direct access)</w:t>
      </w:r>
    </w:p>
    <w:p w:rsidR="00DE7DB7" w:rsidRPr="00A544A8"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respondent</w:t>
      </w:r>
      <w:r w:rsidRPr="00A544A8">
        <w:rPr>
          <w:rFonts w:ascii="Sylfaen" w:hAnsi="Sylfaen" w:cs="Arial"/>
        </w:rPr>
        <w:t>:</w:t>
      </w:r>
      <w:r w:rsidRPr="00A544A8">
        <w:rPr>
          <w:rFonts w:ascii="Sylfaen" w:hAnsi="Sylfaen" w:cs="Arial"/>
        </w:rPr>
        <w:tab/>
      </w:r>
      <w:r w:rsidR="00F06F20">
        <w:rPr>
          <w:rFonts w:ascii="Sylfaen" w:hAnsi="Sylfaen" w:cs="Arial"/>
        </w:rPr>
        <w:t xml:space="preserve">Mr Ian Jarvis </w:t>
      </w:r>
    </w:p>
    <w:p w:rsidR="00DE7DB7" w:rsidRPr="00A544A8" w:rsidRDefault="00DE7DB7" w:rsidP="00402B9E">
      <w:pPr>
        <w:tabs>
          <w:tab w:val="left" w:pos="2520"/>
        </w:tabs>
        <w:jc w:val="center"/>
        <w:rPr>
          <w:rFonts w:ascii="Sylfaen" w:hAnsi="Sylfaen" w:cs="Arial"/>
        </w:rPr>
      </w:pPr>
    </w:p>
    <w:p w:rsidR="00DE7DB7" w:rsidRPr="00A544A8" w:rsidRDefault="001401BB" w:rsidP="00BD3A9C">
      <w:pPr>
        <w:tabs>
          <w:tab w:val="left" w:pos="2520"/>
        </w:tabs>
        <w:spacing w:after="120"/>
        <w:jc w:val="center"/>
        <w:rPr>
          <w:rFonts w:ascii="Sylfaen" w:hAnsi="Sylfaen" w:cs="Arial"/>
        </w:rPr>
      </w:pPr>
      <w:r>
        <w:rPr>
          <w:rFonts w:ascii="Sylfaen" w:hAnsi="Sylfaen" w:cs="Arial"/>
          <w:b/>
          <w:u w:val="single"/>
        </w:rPr>
        <w:t>DECISION</w:t>
      </w:r>
      <w:r w:rsidR="00402B9E" w:rsidRPr="00A544A8">
        <w:rPr>
          <w:rFonts w:ascii="Sylfaen" w:hAnsi="Sylfaen" w:cs="Arial"/>
          <w:b/>
          <w:u w:val="single"/>
        </w:rPr>
        <w:t xml:space="preserve"> AND REASONS</w:t>
      </w:r>
    </w:p>
    <w:p w:rsidR="00BF23BB" w:rsidRDefault="00402B9E" w:rsidP="00BD3A9C">
      <w:pPr>
        <w:tabs>
          <w:tab w:val="left" w:pos="567"/>
        </w:tabs>
        <w:spacing w:after="120"/>
        <w:ind w:left="567" w:hanging="567"/>
        <w:jc w:val="both"/>
        <w:rPr>
          <w:rFonts w:ascii="Sylfaen" w:hAnsi="Sylfaen" w:cs="Arial"/>
        </w:rPr>
      </w:pPr>
      <w:r w:rsidRPr="00A544A8">
        <w:rPr>
          <w:rFonts w:ascii="Sylfaen" w:hAnsi="Sylfaen" w:cs="Arial"/>
        </w:rPr>
        <w:tab/>
      </w:r>
      <w:r w:rsidR="00FE4D99">
        <w:rPr>
          <w:rFonts w:ascii="Sylfaen" w:hAnsi="Sylfaen" w:cs="Arial"/>
        </w:rPr>
        <w:t>This is an appeal</w:t>
      </w:r>
      <w:r w:rsidR="00DF392C">
        <w:rPr>
          <w:rFonts w:ascii="Sylfaen" w:hAnsi="Sylfaen" w:cs="Arial"/>
        </w:rPr>
        <w:t>,</w:t>
      </w:r>
      <w:r w:rsidR="00FE4D99">
        <w:rPr>
          <w:rFonts w:ascii="Sylfaen" w:hAnsi="Sylfaen" w:cs="Arial"/>
        </w:rPr>
        <w:t xml:space="preserve"> by</w:t>
      </w:r>
      <w:r w:rsidR="00DE20CE">
        <w:rPr>
          <w:rFonts w:ascii="Sylfaen" w:hAnsi="Sylfaen" w:cs="Arial"/>
        </w:rPr>
        <w:t xml:space="preserve"> the </w:t>
      </w:r>
      <w:bookmarkStart w:id="2" w:name="Dropdown4"/>
      <w:r w:rsidR="00DE20CE">
        <w:rPr>
          <w:rFonts w:ascii="Sylfaen" w:hAnsi="Sylfaen" w:cs="Arial"/>
        </w:rPr>
        <w:fldChar w:fldCharType="begin">
          <w:ffData>
            <w:name w:val="Dropdown4"/>
            <w:enabled/>
            <w:calcOnExit w:val="0"/>
            <w:ddList>
              <w:listEntry w:val="appellant"/>
              <w:listEntry w:val="appellants"/>
              <w:listEntry w:val="respondent to the original appeal"/>
            </w:ddList>
          </w:ffData>
        </w:fldChar>
      </w:r>
      <w:r w:rsidR="00DE20CE">
        <w:rPr>
          <w:rFonts w:ascii="Sylfaen" w:hAnsi="Sylfaen" w:cs="Arial"/>
        </w:rPr>
        <w:instrText xml:space="preserve"> FORMDROPDOWN </w:instrText>
      </w:r>
      <w:r w:rsidR="00BE6958">
        <w:rPr>
          <w:rFonts w:ascii="Sylfaen" w:hAnsi="Sylfaen" w:cs="Arial"/>
        </w:rPr>
      </w:r>
      <w:r w:rsidR="00BE6958">
        <w:rPr>
          <w:rFonts w:ascii="Sylfaen" w:hAnsi="Sylfaen" w:cs="Arial"/>
        </w:rPr>
        <w:fldChar w:fldCharType="separate"/>
      </w:r>
      <w:r w:rsidR="00DE20CE">
        <w:rPr>
          <w:rFonts w:ascii="Sylfaen" w:hAnsi="Sylfaen" w:cs="Arial"/>
        </w:rPr>
        <w:fldChar w:fldCharType="end"/>
      </w:r>
      <w:bookmarkEnd w:id="2"/>
      <w:r w:rsidR="00DF392C">
        <w:rPr>
          <w:rFonts w:ascii="Sylfaen" w:hAnsi="Sylfaen" w:cs="Arial"/>
        </w:rPr>
        <w:t>,</w:t>
      </w:r>
      <w:r w:rsidR="00FE4D99">
        <w:rPr>
          <w:rFonts w:ascii="Sylfaen" w:hAnsi="Sylfaen" w:cs="Arial"/>
        </w:rPr>
        <w:t xml:space="preserve"> against the decision of </w:t>
      </w:r>
      <w:r w:rsidR="00194E6E">
        <w:rPr>
          <w:rFonts w:ascii="Sylfaen" w:hAnsi="Sylfaen" w:cs="Arial"/>
        </w:rPr>
        <w:t>the First-tier Tribunal</w:t>
      </w:r>
      <w:r w:rsidR="00FE4D99">
        <w:rPr>
          <w:rFonts w:ascii="Sylfaen" w:hAnsi="Sylfaen" w:cs="Arial"/>
        </w:rPr>
        <w:t xml:space="preserve"> </w:t>
      </w:r>
      <w:r w:rsidR="00194E6E">
        <w:rPr>
          <w:rFonts w:ascii="Sylfaen" w:hAnsi="Sylfaen" w:cs="Arial"/>
        </w:rPr>
        <w:t>(</w:t>
      </w:r>
      <w:r w:rsidR="00FE4D99">
        <w:rPr>
          <w:rFonts w:ascii="Sylfaen" w:hAnsi="Sylfaen" w:cs="Arial"/>
        </w:rPr>
        <w:t xml:space="preserve">Judge </w:t>
      </w:r>
      <w:r w:rsidR="00F06F20">
        <w:rPr>
          <w:rFonts w:ascii="Sylfaen" w:hAnsi="Sylfaen" w:cs="Arial"/>
        </w:rPr>
        <w:t xml:space="preserve">Susan </w:t>
      </w:r>
      <w:proofErr w:type="spellStart"/>
      <w:r w:rsidR="00F06F20">
        <w:rPr>
          <w:rFonts w:ascii="Sylfaen" w:hAnsi="Sylfaen" w:cs="Arial"/>
        </w:rPr>
        <w:t>Turquet</w:t>
      </w:r>
      <w:proofErr w:type="spellEnd"/>
      <w:r w:rsidR="00194E6E">
        <w:rPr>
          <w:rFonts w:ascii="Sylfaen" w:hAnsi="Sylfaen" w:cs="Arial"/>
        </w:rPr>
        <w:t>)</w:t>
      </w:r>
      <w:r w:rsidR="00FE4D99">
        <w:rPr>
          <w:rFonts w:ascii="Sylfaen" w:hAnsi="Sylfaen" w:cs="Arial"/>
        </w:rPr>
        <w:t xml:space="preserve">, sitting at </w:t>
      </w:r>
      <w:r w:rsidR="00F06F20">
        <w:rPr>
          <w:rFonts w:ascii="Sylfaen" w:hAnsi="Sylfaen" w:cs="Arial"/>
        </w:rPr>
        <w:t>Hatton Cross</w:t>
      </w:r>
      <w:r w:rsidR="00FE4D99">
        <w:rPr>
          <w:rFonts w:ascii="Sylfaen" w:hAnsi="Sylfaen" w:cs="Arial"/>
        </w:rPr>
        <w:t xml:space="preserve"> on </w:t>
      </w:r>
      <w:r w:rsidR="00F06F20">
        <w:rPr>
          <w:rFonts w:ascii="Sylfaen" w:hAnsi="Sylfaen" w:cs="Arial"/>
        </w:rPr>
        <w:t>25 May 2017</w:t>
      </w:r>
      <w:r w:rsidR="00FE4D99">
        <w:rPr>
          <w:rFonts w:ascii="Sylfaen" w:hAnsi="Sylfaen" w:cs="Arial"/>
        </w:rPr>
        <w:t xml:space="preserve">, to </w:t>
      </w:r>
      <w:bookmarkStart w:id="3" w:name="Dropdown2"/>
      <w:r w:rsidR="004617F0">
        <w:rPr>
          <w:rFonts w:ascii="Sylfaen" w:hAnsi="Sylfaen" w:cs="Arial"/>
        </w:rPr>
        <w:fldChar w:fldCharType="begin">
          <w:ffData>
            <w:name w:val="Dropdown2"/>
            <w:enabled/>
            <w:calcOnExit w:val="0"/>
            <w:ddList>
              <w:listEntry w:val="dismiss"/>
              <w:listEntry w:val="allow"/>
            </w:ddList>
          </w:ffData>
        </w:fldChar>
      </w:r>
      <w:r w:rsidR="004617F0">
        <w:rPr>
          <w:rFonts w:ascii="Sylfaen" w:hAnsi="Sylfaen" w:cs="Arial"/>
        </w:rPr>
        <w:instrText xml:space="preserve"> FORMDROPDOWN </w:instrText>
      </w:r>
      <w:r w:rsidR="00BE6958">
        <w:rPr>
          <w:rFonts w:ascii="Sylfaen" w:hAnsi="Sylfaen" w:cs="Arial"/>
        </w:rPr>
      </w:r>
      <w:r w:rsidR="00BE6958">
        <w:rPr>
          <w:rFonts w:ascii="Sylfaen" w:hAnsi="Sylfaen" w:cs="Arial"/>
        </w:rPr>
        <w:fldChar w:fldCharType="separate"/>
      </w:r>
      <w:r w:rsidR="004617F0">
        <w:rPr>
          <w:rFonts w:ascii="Sylfaen" w:hAnsi="Sylfaen" w:cs="Arial"/>
        </w:rPr>
        <w:fldChar w:fldCharType="end"/>
      </w:r>
      <w:bookmarkEnd w:id="3"/>
      <w:r w:rsidR="00FE4D99">
        <w:rPr>
          <w:rFonts w:ascii="Sylfaen" w:hAnsi="Sylfaen" w:cs="Arial"/>
        </w:rPr>
        <w:t xml:space="preserve"> </w:t>
      </w:r>
      <w:r w:rsidR="00F06F20">
        <w:rPr>
          <w:rFonts w:ascii="Sylfaen" w:hAnsi="Sylfaen" w:cs="Arial"/>
        </w:rPr>
        <w:t>an EEA</w:t>
      </w:r>
      <w:r w:rsidR="00FE4D99">
        <w:rPr>
          <w:rFonts w:ascii="Sylfaen" w:hAnsi="Sylfaen" w:cs="Arial"/>
        </w:rPr>
        <w:t xml:space="preserve"> appeal by a citizen of </w:t>
      </w:r>
      <w:r w:rsidR="00F06F20">
        <w:rPr>
          <w:rFonts w:ascii="Sylfaen" w:hAnsi="Sylfaen" w:cs="Arial"/>
        </w:rPr>
        <w:t>Pakistan</w:t>
      </w:r>
      <w:r w:rsidR="00102EBC">
        <w:rPr>
          <w:rFonts w:ascii="Sylfaen" w:hAnsi="Sylfaen" w:cs="Arial"/>
        </w:rPr>
        <w:t xml:space="preserve">, born </w:t>
      </w:r>
      <w:r w:rsidR="00F06F20">
        <w:rPr>
          <w:rFonts w:ascii="Sylfaen" w:hAnsi="Sylfaen" w:cs="Arial"/>
        </w:rPr>
        <w:t xml:space="preserve">1970, and </w:t>
      </w:r>
      <w:r w:rsidR="00D17964">
        <w:rPr>
          <w:rFonts w:ascii="Sylfaen" w:hAnsi="Sylfaen" w:cs="Arial"/>
        </w:rPr>
        <w:t xml:space="preserve">married there to a German citizen called </w:t>
      </w:r>
      <w:proofErr w:type="spellStart"/>
      <w:r w:rsidR="00D17964">
        <w:rPr>
          <w:rFonts w:ascii="Sylfaen" w:hAnsi="Sylfaen" w:cs="Arial"/>
        </w:rPr>
        <w:t>Mohd</w:t>
      </w:r>
      <w:proofErr w:type="spellEnd"/>
      <w:r w:rsidR="00D17964">
        <w:rPr>
          <w:rFonts w:ascii="Sylfaen" w:hAnsi="Sylfaen" w:cs="Arial"/>
        </w:rPr>
        <w:t>. Iqbal (the sponsor), more recently working as a taxi-driver in this country</w:t>
      </w:r>
      <w:r w:rsidR="00FE4D99">
        <w:rPr>
          <w:rFonts w:ascii="Sylfaen" w:hAnsi="Sylfaen" w:cs="Arial"/>
        </w:rPr>
        <w:t>.</w:t>
      </w:r>
      <w:r w:rsidR="00D17964">
        <w:rPr>
          <w:rFonts w:ascii="Sylfaen" w:hAnsi="Sylfaen" w:cs="Arial"/>
        </w:rPr>
        <w:t xml:space="preserve"> The appellant had held an EEA </w:t>
      </w:r>
      <w:r w:rsidR="00D17964" w:rsidRPr="00D17964">
        <w:rPr>
          <w:rFonts w:ascii="Sylfaen" w:hAnsi="Sylfaen" w:cs="Arial"/>
        </w:rPr>
        <w:t>residence card</w:t>
      </w:r>
      <w:r w:rsidR="00D17964">
        <w:rPr>
          <w:rFonts w:ascii="Sylfaen" w:hAnsi="Sylfaen" w:cs="Arial"/>
        </w:rPr>
        <w:t xml:space="preserve"> on that basis from 2009 to 2015, when she applied for a permanent one; but on 6 January 2016 that was refused, on the grounds that she had not provided proper evidence of</w:t>
      </w:r>
    </w:p>
    <w:p w:rsidR="00D17964" w:rsidRDefault="00D17964" w:rsidP="00D17964">
      <w:pPr>
        <w:numPr>
          <w:ilvl w:val="0"/>
          <w:numId w:val="3"/>
        </w:numPr>
        <w:tabs>
          <w:tab w:val="left" w:pos="567"/>
        </w:tabs>
        <w:spacing w:after="120"/>
        <w:jc w:val="both"/>
        <w:rPr>
          <w:rFonts w:ascii="Sylfaen" w:hAnsi="Sylfaen" w:cs="Arial"/>
        </w:rPr>
      </w:pPr>
      <w:r>
        <w:rPr>
          <w:rFonts w:ascii="Sylfaen" w:hAnsi="Sylfaen" w:cs="Arial"/>
        </w:rPr>
        <w:t xml:space="preserve">five years’ </w:t>
      </w:r>
      <w:r w:rsidRPr="00D17964">
        <w:rPr>
          <w:rFonts w:ascii="Sylfaen" w:hAnsi="Sylfaen" w:cs="Arial"/>
        </w:rPr>
        <w:t>continuous</w:t>
      </w:r>
      <w:r>
        <w:rPr>
          <w:rFonts w:ascii="Sylfaen" w:hAnsi="Sylfaen" w:cs="Arial"/>
        </w:rPr>
        <w:t xml:space="preserve"> residence here; or</w:t>
      </w:r>
    </w:p>
    <w:p w:rsidR="00D17964" w:rsidRPr="00A544A8" w:rsidRDefault="00D17964" w:rsidP="00D17964">
      <w:pPr>
        <w:numPr>
          <w:ilvl w:val="0"/>
          <w:numId w:val="3"/>
        </w:numPr>
        <w:tabs>
          <w:tab w:val="left" w:pos="567"/>
        </w:tabs>
        <w:spacing w:after="120"/>
        <w:jc w:val="both"/>
        <w:rPr>
          <w:rFonts w:ascii="Sylfaen" w:hAnsi="Sylfaen" w:cs="Arial"/>
        </w:rPr>
      </w:pPr>
      <w:r>
        <w:rPr>
          <w:rFonts w:ascii="Sylfaen" w:hAnsi="Sylfaen" w:cs="Arial"/>
        </w:rPr>
        <w:t xml:space="preserve">her </w:t>
      </w:r>
      <w:r w:rsidRPr="00D17964">
        <w:rPr>
          <w:rFonts w:ascii="Sylfaen" w:hAnsi="Sylfaen" w:cs="Arial"/>
        </w:rPr>
        <w:t>husband</w:t>
      </w:r>
      <w:r>
        <w:rPr>
          <w:rFonts w:ascii="Sylfaen" w:hAnsi="Sylfaen" w:cs="Arial"/>
        </w:rPr>
        <w:t xml:space="preserve">’s exercise of </w:t>
      </w:r>
      <w:r w:rsidRPr="00D17964">
        <w:rPr>
          <w:rFonts w:ascii="Sylfaen" w:hAnsi="Sylfaen" w:cs="Arial"/>
        </w:rPr>
        <w:t>Treaty rights</w:t>
      </w:r>
      <w:r>
        <w:rPr>
          <w:rFonts w:ascii="Sylfaen" w:hAnsi="Sylfaen" w:cs="Arial"/>
        </w:rPr>
        <w:t xml:space="preserve"> here for the same length of time.</w:t>
      </w:r>
    </w:p>
    <w:p w:rsidR="00A60589" w:rsidRDefault="00A60589" w:rsidP="00A60589">
      <w:pPr>
        <w:spacing w:after="120"/>
        <w:jc w:val="both"/>
        <w:rPr>
          <w:rFonts w:ascii="Sylfaen" w:hAnsi="Sylfaen" w:cs="Arial"/>
        </w:rPr>
      </w:pPr>
    </w:p>
    <w:p w:rsidR="00A60589" w:rsidRDefault="00A60589" w:rsidP="00A60589">
      <w:pPr>
        <w:spacing w:after="120"/>
        <w:jc w:val="both"/>
        <w:rPr>
          <w:rFonts w:ascii="Sylfaen" w:hAnsi="Sylfaen" w:cs="Arial"/>
        </w:rPr>
      </w:pPr>
    </w:p>
    <w:p w:rsidR="004617F0" w:rsidRDefault="00E546BE" w:rsidP="00BD3A9C">
      <w:pPr>
        <w:numPr>
          <w:ilvl w:val="0"/>
          <w:numId w:val="1"/>
        </w:numPr>
        <w:tabs>
          <w:tab w:val="clear" w:pos="757"/>
        </w:tabs>
        <w:spacing w:after="120"/>
        <w:ind w:left="540" w:hanging="540"/>
        <w:jc w:val="both"/>
        <w:rPr>
          <w:rFonts w:ascii="Sylfaen" w:hAnsi="Sylfaen" w:cs="Arial"/>
        </w:rPr>
      </w:pPr>
      <w:r>
        <w:rPr>
          <w:rFonts w:ascii="Sylfaen" w:hAnsi="Sylfaen" w:cs="Arial"/>
        </w:rPr>
        <w:lastRenderedPageBreak/>
        <w:t xml:space="preserve">The judge was satisfied on (a), but not on (b), which is the subject of this appeal. </w:t>
      </w:r>
      <w:r w:rsidR="00A60589">
        <w:rPr>
          <w:rFonts w:ascii="Sylfaen" w:hAnsi="Sylfaen" w:cs="Arial"/>
        </w:rPr>
        <w:t xml:space="preserve">There is no real question but that the sponsor was exercising </w:t>
      </w:r>
      <w:r w:rsidR="00A60589" w:rsidRPr="00A60589">
        <w:rPr>
          <w:rFonts w:ascii="Sylfaen" w:hAnsi="Sylfaen" w:cs="Arial"/>
        </w:rPr>
        <w:t>Treaty rights</w:t>
      </w:r>
      <w:r w:rsidR="00A60589">
        <w:rPr>
          <w:rFonts w:ascii="Sylfaen" w:hAnsi="Sylfaen" w:cs="Arial"/>
        </w:rPr>
        <w:t xml:space="preserve"> by working here as a taxi-driver from April 2012, just over five years before the date of the hearing, until 5 April 2016, the last date he was able to vouch for with a P60. The question is whether the judge was entitled not to be satisfied that the sponsor was doing so from the following day till the date of the hearing, which time I shall call ‘the last year’, though in fact it is slightly more.</w:t>
      </w:r>
    </w:p>
    <w:p w:rsidR="00A60589" w:rsidRDefault="00A60589" w:rsidP="00BD3A9C">
      <w:pPr>
        <w:numPr>
          <w:ilvl w:val="0"/>
          <w:numId w:val="1"/>
        </w:numPr>
        <w:tabs>
          <w:tab w:val="clear" w:pos="757"/>
        </w:tabs>
        <w:spacing w:after="120"/>
        <w:ind w:left="540" w:hanging="540"/>
        <w:jc w:val="both"/>
        <w:rPr>
          <w:rFonts w:ascii="Sylfaen" w:hAnsi="Sylfaen" w:cs="Arial"/>
        </w:rPr>
      </w:pPr>
      <w:r>
        <w:rPr>
          <w:rFonts w:ascii="Sylfaen" w:hAnsi="Sylfaen" w:cs="Arial"/>
        </w:rPr>
        <w:t>The judge’s reasons for not being satisfied on the last year come down to this, at paragraph 20:</w:t>
      </w:r>
    </w:p>
    <w:p w:rsidR="00A60589" w:rsidRPr="00A60589" w:rsidRDefault="00A60589" w:rsidP="00A60589">
      <w:pPr>
        <w:spacing w:after="120"/>
        <w:ind w:left="851"/>
        <w:jc w:val="both"/>
        <w:rPr>
          <w:rFonts w:ascii="Sylfaen" w:hAnsi="Sylfaen" w:cs="Arial"/>
          <w:sz w:val="22"/>
          <w:szCs w:val="22"/>
        </w:rPr>
      </w:pPr>
      <w:r>
        <w:rPr>
          <w:rFonts w:ascii="Sylfaen" w:hAnsi="Sylfaen" w:cs="Arial"/>
          <w:sz w:val="22"/>
          <w:szCs w:val="22"/>
        </w:rPr>
        <w:t xml:space="preserve">The date of the hearing is five years after the April 2012 date. There is no supporting evidence of income after the P60 for the year ending April </w:t>
      </w:r>
      <w:proofErr w:type="gramStart"/>
      <w:r>
        <w:rPr>
          <w:rFonts w:ascii="Sylfaen" w:hAnsi="Sylfaen" w:cs="Arial"/>
          <w:sz w:val="22"/>
          <w:szCs w:val="22"/>
        </w:rPr>
        <w:t>5</w:t>
      </w:r>
      <w:proofErr w:type="gramEnd"/>
      <w:r>
        <w:rPr>
          <w:rFonts w:ascii="Sylfaen" w:hAnsi="Sylfaen" w:cs="Arial"/>
          <w:sz w:val="22"/>
          <w:szCs w:val="22"/>
        </w:rPr>
        <w:t xml:space="preserve"> 2016. In the event that the P60 for the financial year 2016/2017 is not yet available, it is reasonable to expect the Sponsor to have provided other documentation showing his income in that tax year for example his receipts, invoices and bank statements.</w:t>
      </w:r>
    </w:p>
    <w:p w:rsidR="00A60589" w:rsidRDefault="00A60589"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While there is no prescribed evidence on an application of this kind, as in a </w:t>
      </w:r>
      <w:r w:rsidRPr="00A60589">
        <w:rPr>
          <w:rFonts w:ascii="Sylfaen" w:hAnsi="Sylfaen" w:cs="Arial"/>
          <w:bCs/>
          <w:color w:val="000000"/>
          <w:lang w:val="en"/>
        </w:rPr>
        <w:t>points-based system [PBS]</w:t>
      </w:r>
      <w:r>
        <w:rPr>
          <w:rFonts w:ascii="Sylfaen" w:hAnsi="Sylfaen" w:cs="Arial"/>
        </w:rPr>
        <w:t xml:space="preserve"> case, I regard that approach as eminently reasonable, in general terms. The suggestion in the grounds of appeal that the judge should have been prepared to make the necessary finding on the basis of </w:t>
      </w:r>
      <w:r w:rsidRPr="00A60589">
        <w:rPr>
          <w:rFonts w:ascii="Sylfaen" w:hAnsi="Sylfaen" w:cs="Arial"/>
        </w:rPr>
        <w:t>oral evidence</w:t>
      </w:r>
      <w:r>
        <w:rPr>
          <w:rFonts w:ascii="Sylfaen" w:hAnsi="Sylfaen" w:cs="Arial"/>
        </w:rPr>
        <w:t xml:space="preserve"> alone is wholly misconceived. </w:t>
      </w:r>
      <w:r w:rsidR="00D07C27">
        <w:rPr>
          <w:rFonts w:ascii="Sylfaen" w:hAnsi="Sylfaen" w:cs="Arial"/>
        </w:rPr>
        <w:t>It is much too easy to make the necessary assertions, if not obliged to back them up with documentary evidence. While taxi-drivers no doubt do most of their business in cash, they have to find some way of satisfying the Revenue about their earnings, and can reasonably be expected to do the same with the immigration authorities.</w:t>
      </w:r>
    </w:p>
    <w:p w:rsidR="00D07C27" w:rsidRDefault="00D07C27"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However, the judge had been satisfied that the sponsor had been exercising </w:t>
      </w:r>
      <w:r w:rsidRPr="00D07C27">
        <w:rPr>
          <w:rFonts w:ascii="Sylfaen" w:hAnsi="Sylfaen" w:cs="Arial"/>
        </w:rPr>
        <w:t>Treaty rights</w:t>
      </w:r>
      <w:r>
        <w:rPr>
          <w:rFonts w:ascii="Sylfaen" w:hAnsi="Sylfaen" w:cs="Arial"/>
        </w:rPr>
        <w:t xml:space="preserve"> for nearly four years out of the five required, and, as she also noted, he had held a taxi licence from 2011, and his current one remained valid till 6 November 2017. In those circumstances, it seems to me that, as a matter of principle in this particular case, she ought reasonably </w:t>
      </w:r>
      <w:proofErr w:type="gramStart"/>
      <w:r>
        <w:rPr>
          <w:rFonts w:ascii="Sylfaen" w:hAnsi="Sylfaen" w:cs="Arial"/>
        </w:rPr>
        <w:t>have</w:t>
      </w:r>
      <w:proofErr w:type="gramEnd"/>
      <w:r>
        <w:rPr>
          <w:rFonts w:ascii="Sylfaen" w:hAnsi="Sylfaen" w:cs="Arial"/>
        </w:rPr>
        <w:t xml:space="preserve"> been prepared to give more latitude than would have been required in the case of a sponsor arriving fresh on the scene.</w:t>
      </w:r>
    </w:p>
    <w:p w:rsidR="00D07C27" w:rsidRPr="001A6573" w:rsidRDefault="00D07C27" w:rsidP="00D07C27">
      <w:pPr>
        <w:numPr>
          <w:ilvl w:val="0"/>
          <w:numId w:val="1"/>
        </w:numPr>
        <w:tabs>
          <w:tab w:val="clear" w:pos="757"/>
        </w:tabs>
        <w:spacing w:after="120"/>
        <w:ind w:left="540" w:hanging="540"/>
        <w:jc w:val="both"/>
        <w:rPr>
          <w:rFonts w:ascii="Sylfaen" w:hAnsi="Sylfaen" w:cs="Arial"/>
        </w:rPr>
      </w:pPr>
      <w:r w:rsidRPr="001A6573">
        <w:rPr>
          <w:rFonts w:ascii="Sylfaen" w:hAnsi="Sylfaen" w:cs="Arial"/>
        </w:rPr>
        <w:t>What allowances might have been made, and what the effect should have been, was for the judge, who had heard the evidence of the sponsor, and of the appellant, to decide. I have not done so, and am not prepared to re-decide the case for myself without conclusive documentary evidence for the last year. The result is that there should be a resumed</w:t>
      </w:r>
      <w:r w:rsidR="001A6573">
        <w:rPr>
          <w:rFonts w:ascii="Sylfaen" w:hAnsi="Sylfaen" w:cs="Arial"/>
        </w:rPr>
        <w:t xml:space="preserve"> </w:t>
      </w:r>
      <w:r w:rsidRPr="001A6573">
        <w:rPr>
          <w:rFonts w:ascii="Sylfaen" w:hAnsi="Sylfaen" w:cs="Arial"/>
        </w:rPr>
        <w:t>hearing before the same judge, who, now that the appellant and the sponsor have been put clearly on notice about this, may reasonably expect such evidence to be produced.</w:t>
      </w:r>
    </w:p>
    <w:p w:rsidR="009F5220" w:rsidRDefault="008F23F4" w:rsidP="00780F86">
      <w:pPr>
        <w:ind w:left="540" w:hanging="540"/>
        <w:jc w:val="both"/>
        <w:rPr>
          <w:rFonts w:ascii="Sylfaen" w:hAnsi="Sylfaen" w:cs="Arial"/>
          <w:b/>
        </w:rPr>
      </w:pPr>
      <w:r>
        <w:rPr>
          <w:rFonts w:ascii="Sylfaen" w:hAnsi="Sylfaen" w:cs="Arial"/>
          <w:b/>
        </w:rPr>
        <w:t xml:space="preserve">Appeal </w:t>
      </w:r>
      <w:bookmarkStart w:id="4" w:name="Dropdown3"/>
      <w:r w:rsidR="00D07C27">
        <w:rPr>
          <w:rFonts w:ascii="Sylfaen" w:hAnsi="Sylfaen" w:cs="Arial"/>
          <w:b/>
        </w:rPr>
        <w:fldChar w:fldCharType="begin">
          <w:ffData>
            <w:name w:val="Dropdown3"/>
            <w:enabled/>
            <w:calcOnExit w:val="0"/>
            <w:ddList>
              <w:listEntry w:val="allowed"/>
              <w:listEntry w:val="dismissed"/>
            </w:ddList>
          </w:ffData>
        </w:fldChar>
      </w:r>
      <w:r w:rsidR="00D07C27">
        <w:rPr>
          <w:rFonts w:ascii="Sylfaen" w:hAnsi="Sylfaen" w:cs="Arial"/>
          <w:b/>
        </w:rPr>
        <w:instrText xml:space="preserve"> FORMDROPDOWN </w:instrText>
      </w:r>
      <w:r w:rsidR="00BE6958">
        <w:rPr>
          <w:rFonts w:ascii="Sylfaen" w:hAnsi="Sylfaen" w:cs="Arial"/>
          <w:b/>
        </w:rPr>
      </w:r>
      <w:r w:rsidR="00BE6958">
        <w:rPr>
          <w:rFonts w:ascii="Sylfaen" w:hAnsi="Sylfaen" w:cs="Arial"/>
          <w:b/>
        </w:rPr>
        <w:fldChar w:fldCharType="separate"/>
      </w:r>
      <w:r w:rsidR="00D07C27">
        <w:rPr>
          <w:rFonts w:ascii="Sylfaen" w:hAnsi="Sylfaen" w:cs="Arial"/>
          <w:b/>
        </w:rPr>
        <w:fldChar w:fldCharType="end"/>
      </w:r>
      <w:bookmarkEnd w:id="4"/>
      <w:r w:rsidR="00D07C27">
        <w:rPr>
          <w:rFonts w:ascii="Sylfaen" w:hAnsi="Sylfaen" w:cs="Arial"/>
          <w:b/>
        </w:rPr>
        <w:t>: decision set aside in part</w:t>
      </w:r>
    </w:p>
    <w:p w:rsidR="00D07C27" w:rsidRPr="008F23F4" w:rsidRDefault="00D07C27" w:rsidP="00780F86">
      <w:pPr>
        <w:ind w:left="540" w:hanging="540"/>
        <w:jc w:val="both"/>
        <w:rPr>
          <w:rFonts w:ascii="Sylfaen" w:hAnsi="Sylfaen" w:cs="Arial"/>
          <w:b/>
        </w:rPr>
      </w:pPr>
      <w:r>
        <w:rPr>
          <w:rFonts w:ascii="Sylfaen" w:hAnsi="Sylfaen" w:cs="Arial"/>
          <w:b/>
        </w:rPr>
        <w:t xml:space="preserve">Further hearing before Judge </w:t>
      </w:r>
      <w:proofErr w:type="spellStart"/>
      <w:r>
        <w:rPr>
          <w:rFonts w:ascii="Sylfaen" w:hAnsi="Sylfaen" w:cs="Arial"/>
          <w:b/>
        </w:rPr>
        <w:t>Turquet</w:t>
      </w:r>
      <w:proofErr w:type="spellEnd"/>
      <w:r>
        <w:rPr>
          <w:rFonts w:ascii="Sylfaen" w:hAnsi="Sylfaen" w:cs="Arial"/>
          <w:b/>
        </w:rPr>
        <w:t xml:space="preserve"> at Hatton Cross </w:t>
      </w:r>
    </w:p>
    <w:p w:rsidR="00B95326" w:rsidRDefault="00F621A6" w:rsidP="00F07170">
      <w:pPr>
        <w:ind w:left="4508" w:hanging="539"/>
        <w:rPr>
          <w:rFonts w:ascii="Sylfaen" w:hAnsi="Sylfaen" w:cs="Arial"/>
          <w:color w:val="000000"/>
        </w:rPr>
      </w:pPr>
      <w:r w:rsidRPr="00A544A8">
        <w:rPr>
          <w:rFonts w:ascii="Sylfaen" w:hAnsi="Sylfaen" w:cs="Arial"/>
          <w:b/>
          <w:noProof/>
        </w:rPr>
        <w:drawing>
          <wp:inline distT="0" distB="0" distL="0" distR="0">
            <wp:extent cx="2143125" cy="103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1038225"/>
                    </a:xfrm>
                    <a:prstGeom prst="rect">
                      <a:avLst/>
                    </a:prstGeom>
                    <a:noFill/>
                    <a:ln>
                      <a:noFill/>
                    </a:ln>
                  </pic:spPr>
                </pic:pic>
              </a:graphicData>
            </a:graphic>
          </wp:inline>
        </w:drawing>
      </w:r>
      <w:r w:rsidR="00A544A8">
        <w:rPr>
          <w:rFonts w:ascii="Sylfaen" w:hAnsi="Sylfaen" w:cs="Arial"/>
        </w:rPr>
        <w:t xml:space="preserve"> </w:t>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D9111A" w:rsidRPr="00A544A8">
        <w:rPr>
          <w:rFonts w:ascii="Sylfaen" w:hAnsi="Sylfaen" w:cs="Arial"/>
          <w:color w:val="000000"/>
        </w:rPr>
        <w:t xml:space="preserve"> </w:t>
      </w:r>
      <w:r w:rsidR="00A544A8">
        <w:rPr>
          <w:rFonts w:ascii="Sylfaen" w:hAnsi="Sylfaen" w:cs="Arial"/>
          <w:color w:val="000000"/>
        </w:rPr>
        <w:t xml:space="preserve">(a </w:t>
      </w:r>
      <w:r w:rsidR="00A544A8" w:rsidRPr="00A544A8">
        <w:rPr>
          <w:rFonts w:ascii="Sylfaen" w:hAnsi="Sylfaen" w:cs="Arial"/>
          <w:color w:val="000000"/>
        </w:rPr>
        <w:t xml:space="preserve">judge </w:t>
      </w:r>
      <w:r w:rsidR="00A544A8">
        <w:rPr>
          <w:rFonts w:ascii="Sylfaen" w:hAnsi="Sylfaen" w:cs="Arial"/>
          <w:color w:val="000000"/>
        </w:rPr>
        <w:t xml:space="preserve">of the </w:t>
      </w:r>
      <w:smartTag w:uri="urn:schemas-microsoft-com:office:smarttags" w:element="PersonName">
        <w:r w:rsidR="00A544A8">
          <w:rPr>
            <w:rFonts w:ascii="Sylfaen" w:hAnsi="Sylfaen" w:cs="Arial"/>
            <w:color w:val="000000"/>
          </w:rPr>
          <w:t>Upper Tribunal</w:t>
        </w:r>
      </w:smartTag>
      <w:r w:rsidR="00A544A8">
        <w:rPr>
          <w:rFonts w:ascii="Sylfaen" w:hAnsi="Sylfaen" w:cs="Arial"/>
          <w:color w:val="000000"/>
        </w:rPr>
        <w:t>)</w:t>
      </w:r>
    </w:p>
    <w:p w:rsidR="00896DE4" w:rsidRPr="0019291F" w:rsidRDefault="00896DE4" w:rsidP="00896DE4">
      <w:pPr>
        <w:ind w:left="1872" w:hanging="1872"/>
        <w:rPr>
          <w:rFonts w:ascii="Sylfaen" w:hAnsi="Sylfaen" w:cs="Arial"/>
          <w:b/>
          <w:color w:val="000000"/>
        </w:rPr>
      </w:pPr>
      <w:r w:rsidRPr="0019291F">
        <w:rPr>
          <w:rFonts w:ascii="Sylfaen" w:hAnsi="Sylfaen" w:cs="Arial"/>
          <w:color w:val="000000"/>
        </w:rPr>
        <w:t>Decision signed:</w:t>
      </w:r>
      <w:r w:rsidRPr="0019291F">
        <w:rPr>
          <w:rFonts w:ascii="Sylfaen" w:hAnsi="Sylfaen" w:cs="Arial"/>
          <w:b/>
          <w:color w:val="000000"/>
        </w:rPr>
        <w:t xml:space="preserve">   23.05.2018</w:t>
      </w:r>
    </w:p>
    <w:sectPr w:rsidR="00896DE4" w:rsidRPr="0019291F"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AC3" w:rsidRDefault="00CE1AC3">
      <w:r>
        <w:separator/>
      </w:r>
    </w:p>
  </w:endnote>
  <w:endnote w:type="continuationSeparator" w:id="0">
    <w:p w:rsidR="00CE1AC3" w:rsidRDefault="00CE1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91F" w:rsidRPr="001A6573" w:rsidRDefault="0019291F">
    <w:pPr>
      <w:pStyle w:val="Footer"/>
      <w:jc w:val="center"/>
      <w:rPr>
        <w:sz w:val="20"/>
        <w:szCs w:val="20"/>
      </w:rPr>
    </w:pPr>
    <w:r w:rsidRPr="001A6573">
      <w:rPr>
        <w:sz w:val="20"/>
        <w:szCs w:val="20"/>
      </w:rPr>
      <w:fldChar w:fldCharType="begin"/>
    </w:r>
    <w:r w:rsidRPr="001A6573">
      <w:rPr>
        <w:sz w:val="20"/>
        <w:szCs w:val="20"/>
      </w:rPr>
      <w:instrText xml:space="preserve"> PAGE   \* MERGEFORMAT </w:instrText>
    </w:r>
    <w:r w:rsidRPr="001A6573">
      <w:rPr>
        <w:sz w:val="20"/>
        <w:szCs w:val="20"/>
      </w:rPr>
      <w:fldChar w:fldCharType="separate"/>
    </w:r>
    <w:r w:rsidR="00BE6958">
      <w:rPr>
        <w:noProof/>
        <w:sz w:val="20"/>
        <w:szCs w:val="20"/>
      </w:rPr>
      <w:t>2</w:t>
    </w:r>
    <w:r w:rsidRPr="001A6573">
      <w:rPr>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6BE" w:rsidRPr="00686C0C" w:rsidRDefault="00E546BE" w:rsidP="00FF5012">
    <w:pPr>
      <w:ind w:left="720" w:hanging="720"/>
      <w:jc w:val="both"/>
      <w:rPr>
        <w:rFonts w:ascii="Sylfaen" w:hAnsi="Sylfaen" w:cs="Arial"/>
        <w:i/>
        <w:spacing w:val="-6"/>
        <w:sz w:val="22"/>
        <w:szCs w:val="22"/>
      </w:rPr>
    </w:pPr>
    <w:r w:rsidRPr="00686C0C">
      <w:rPr>
        <w:rFonts w:ascii="Sylfaen" w:hAnsi="Sylfaen" w:cs="Arial"/>
        <w:i/>
        <w:spacing w:val="-6"/>
        <w:sz w:val="22"/>
        <w:szCs w:val="22"/>
        <w:u w:val="single"/>
      </w:rPr>
      <w:t>NOTE</w:t>
    </w:r>
    <w:r w:rsidRPr="00686C0C">
      <w:rPr>
        <w:rFonts w:ascii="Sylfaen" w:hAnsi="Sylfaen" w:cs="Arial"/>
        <w:i/>
        <w:spacing w:val="-6"/>
        <w:sz w:val="22"/>
        <w:szCs w:val="22"/>
      </w:rPr>
      <w:t xml:space="preserve">: </w:t>
    </w:r>
    <w:r>
      <w:rPr>
        <w:rFonts w:ascii="Sylfaen" w:hAnsi="Sylfaen" w:cs="Arial"/>
        <w:i/>
        <w:spacing w:val="-6"/>
        <w:sz w:val="22"/>
        <w:szCs w:val="22"/>
      </w:rPr>
      <w:tab/>
      <w:t>(1)</w:t>
    </w:r>
    <w:r>
      <w:rPr>
        <w:rFonts w:ascii="Sylfaen" w:hAnsi="Sylfaen" w:cs="Arial"/>
        <w:i/>
        <w:spacing w:val="-6"/>
        <w:sz w:val="22"/>
        <w:szCs w:val="22"/>
      </w:rPr>
      <w:tab/>
    </w:r>
    <w:r w:rsidRPr="00686C0C">
      <w:rPr>
        <w:rFonts w:ascii="Sylfaen" w:hAnsi="Sylfaen" w:cs="Arial"/>
        <w:i/>
        <w:spacing w:val="-6"/>
        <w:sz w:val="22"/>
        <w:szCs w:val="22"/>
      </w:rPr>
      <w:t xml:space="preserve">no anonymity direction made at first instance </w:t>
    </w:r>
    <w:r>
      <w:rPr>
        <w:rFonts w:ascii="Sylfaen" w:hAnsi="Sylfaen" w:cs="Arial"/>
        <w:i/>
        <w:spacing w:val="-6"/>
        <w:sz w:val="22"/>
        <w:szCs w:val="22"/>
      </w:rPr>
      <w:t xml:space="preserve">will continue, unless extended </w:t>
    </w:r>
    <w:r w:rsidRPr="00686C0C">
      <w:rPr>
        <w:rFonts w:ascii="Sylfaen" w:hAnsi="Sylfaen" w:cs="Arial"/>
        <w:i/>
        <w:spacing w:val="-6"/>
        <w:sz w:val="22"/>
        <w:szCs w:val="22"/>
      </w:rPr>
      <w:t>by me.</w:t>
    </w:r>
  </w:p>
  <w:p w:rsidR="00E546BE" w:rsidRPr="00686C0C" w:rsidRDefault="00E546BE" w:rsidP="00FF5012">
    <w:pPr>
      <w:ind w:left="720" w:hanging="720"/>
      <w:jc w:val="both"/>
      <w:rPr>
        <w:rFonts w:ascii="Sylfaen" w:hAnsi="Sylfaen" w:cs="Arial"/>
        <w:i/>
        <w:spacing w:val="-6"/>
        <w:sz w:val="22"/>
        <w:szCs w:val="22"/>
      </w:rPr>
    </w:pPr>
    <w:r>
      <w:rPr>
        <w:rFonts w:ascii="Sylfaen" w:hAnsi="Sylfaen" w:cs="Arial"/>
        <w:i/>
        <w:spacing w:val="-6"/>
        <w:sz w:val="22"/>
        <w:szCs w:val="22"/>
      </w:rPr>
      <w:tab/>
      <w:t>(2)</w:t>
    </w:r>
    <w:r>
      <w:rPr>
        <w:rFonts w:ascii="Sylfaen" w:hAnsi="Sylfaen" w:cs="Arial"/>
        <w:i/>
        <w:spacing w:val="-6"/>
        <w:sz w:val="22"/>
        <w:szCs w:val="22"/>
      </w:rPr>
      <w:tab/>
      <w:t>persons under 18 are referred to by initials, and must not be further identified.</w:t>
    </w:r>
  </w:p>
  <w:p w:rsidR="001A6573" w:rsidRDefault="001A6573" w:rsidP="00090CF9">
    <w:pPr>
      <w:jc w:val="center"/>
      <w:rPr>
        <w:rFonts w:ascii="Book Antiqua" w:hAnsi="Book Antiqua" w:cs="Arial"/>
        <w:b/>
        <w:spacing w:val="-6"/>
        <w:szCs w:val="22"/>
      </w:rPr>
    </w:pPr>
  </w:p>
  <w:p w:rsidR="00E546BE" w:rsidRPr="001A6573" w:rsidRDefault="00E546BE" w:rsidP="00090CF9">
    <w:pPr>
      <w:jc w:val="center"/>
      <w:rPr>
        <w:rFonts w:ascii="Book Antiqua" w:hAnsi="Book Antiqua" w:cs="Arial"/>
        <w:b/>
        <w:szCs w:val="22"/>
      </w:rPr>
    </w:pPr>
    <w:r w:rsidRPr="001A6573">
      <w:rPr>
        <w:rFonts w:ascii="Book Antiqua" w:hAnsi="Book Antiqua" w:cs="Arial"/>
        <w:b/>
        <w:spacing w:val="-6"/>
        <w:szCs w:val="22"/>
      </w:rPr>
      <w:t>©</w:t>
    </w:r>
    <w:r w:rsidRPr="001A6573">
      <w:rPr>
        <w:rFonts w:ascii="Book Antiqua" w:hAnsi="Book Antiqua" w:cs="Arial"/>
        <w:b/>
        <w:szCs w:val="22"/>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AC3" w:rsidRDefault="00CE1AC3">
      <w:r>
        <w:separator/>
      </w:r>
    </w:p>
  </w:footnote>
  <w:footnote w:type="continuationSeparator" w:id="0">
    <w:p w:rsidR="00CE1AC3" w:rsidRDefault="00CE1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91F" w:rsidRPr="0019291F" w:rsidRDefault="0019291F" w:rsidP="0019291F">
    <w:pPr>
      <w:pStyle w:val="Header"/>
      <w:jc w:val="right"/>
      <w:rPr>
        <w:sz w:val="20"/>
        <w:szCs w:val="20"/>
      </w:rPr>
    </w:pPr>
    <w:r w:rsidRPr="0019291F">
      <w:rPr>
        <w:sz w:val="20"/>
        <w:szCs w:val="20"/>
      </w:rPr>
      <w:t>EA/00815/2016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C2D46"/>
    <w:multiLevelType w:val="hybridMultilevel"/>
    <w:tmpl w:val="8760021E"/>
    <w:lvl w:ilvl="0" w:tplc="0542F5A8">
      <w:start w:val="2"/>
      <w:numFmt w:val="decimal"/>
      <w:lvlText w:val="%1."/>
      <w:lvlJc w:val="left"/>
      <w:pPr>
        <w:tabs>
          <w:tab w:val="num" w:pos="757"/>
        </w:tabs>
        <w:ind w:left="757" w:hanging="397"/>
      </w:pPr>
      <w:rPr>
        <w:rFonts w:ascii="Sylfaen" w:hAnsi="Sylfaen"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59252B96"/>
    <w:multiLevelType w:val="multilevel"/>
    <w:tmpl w:val="49B4DD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6FFD0591"/>
    <w:multiLevelType w:val="hybridMultilevel"/>
    <w:tmpl w:val="CAB2A0B4"/>
    <w:lvl w:ilvl="0" w:tplc="B6B25A62">
      <w:start w:val="1"/>
      <w:numFmt w:val="lowerLetter"/>
      <w:lvlText w:val="(%1)"/>
      <w:lvlJc w:val="left"/>
      <w:pPr>
        <w:tabs>
          <w:tab w:val="num" w:pos="930"/>
        </w:tabs>
        <w:ind w:left="930" w:hanging="360"/>
      </w:pPr>
      <w:rPr>
        <w:rFonts w:hint="default"/>
      </w:rPr>
    </w:lvl>
    <w:lvl w:ilvl="1" w:tplc="08090019" w:tentative="1">
      <w:start w:val="1"/>
      <w:numFmt w:val="lowerLetter"/>
      <w:lvlText w:val="%2."/>
      <w:lvlJc w:val="left"/>
      <w:pPr>
        <w:tabs>
          <w:tab w:val="num" w:pos="1650"/>
        </w:tabs>
        <w:ind w:left="1650" w:hanging="360"/>
      </w:pPr>
    </w:lvl>
    <w:lvl w:ilvl="2" w:tplc="0809001B" w:tentative="1">
      <w:start w:val="1"/>
      <w:numFmt w:val="lowerRoman"/>
      <w:lvlText w:val="%3."/>
      <w:lvlJc w:val="right"/>
      <w:pPr>
        <w:tabs>
          <w:tab w:val="num" w:pos="2370"/>
        </w:tabs>
        <w:ind w:left="2370" w:hanging="180"/>
      </w:pPr>
    </w:lvl>
    <w:lvl w:ilvl="3" w:tplc="0809000F" w:tentative="1">
      <w:start w:val="1"/>
      <w:numFmt w:val="decimal"/>
      <w:lvlText w:val="%4."/>
      <w:lvlJc w:val="left"/>
      <w:pPr>
        <w:tabs>
          <w:tab w:val="num" w:pos="3090"/>
        </w:tabs>
        <w:ind w:left="3090" w:hanging="360"/>
      </w:pPr>
    </w:lvl>
    <w:lvl w:ilvl="4" w:tplc="08090019" w:tentative="1">
      <w:start w:val="1"/>
      <w:numFmt w:val="lowerLetter"/>
      <w:lvlText w:val="%5."/>
      <w:lvlJc w:val="left"/>
      <w:pPr>
        <w:tabs>
          <w:tab w:val="num" w:pos="3810"/>
        </w:tabs>
        <w:ind w:left="3810" w:hanging="360"/>
      </w:pPr>
    </w:lvl>
    <w:lvl w:ilvl="5" w:tplc="0809001B" w:tentative="1">
      <w:start w:val="1"/>
      <w:numFmt w:val="lowerRoman"/>
      <w:lvlText w:val="%6."/>
      <w:lvlJc w:val="right"/>
      <w:pPr>
        <w:tabs>
          <w:tab w:val="num" w:pos="4530"/>
        </w:tabs>
        <w:ind w:left="4530" w:hanging="180"/>
      </w:pPr>
    </w:lvl>
    <w:lvl w:ilvl="6" w:tplc="0809000F" w:tentative="1">
      <w:start w:val="1"/>
      <w:numFmt w:val="decimal"/>
      <w:lvlText w:val="%7."/>
      <w:lvlJc w:val="left"/>
      <w:pPr>
        <w:tabs>
          <w:tab w:val="num" w:pos="5250"/>
        </w:tabs>
        <w:ind w:left="5250" w:hanging="360"/>
      </w:pPr>
    </w:lvl>
    <w:lvl w:ilvl="7" w:tplc="08090019" w:tentative="1">
      <w:start w:val="1"/>
      <w:numFmt w:val="lowerLetter"/>
      <w:lvlText w:val="%8."/>
      <w:lvlJc w:val="left"/>
      <w:pPr>
        <w:tabs>
          <w:tab w:val="num" w:pos="5970"/>
        </w:tabs>
        <w:ind w:left="5970" w:hanging="360"/>
      </w:pPr>
    </w:lvl>
    <w:lvl w:ilvl="8" w:tplc="0809001B" w:tentative="1">
      <w:start w:val="1"/>
      <w:numFmt w:val="lowerRoman"/>
      <w:lvlText w:val="%9."/>
      <w:lvlJc w:val="right"/>
      <w:pPr>
        <w:tabs>
          <w:tab w:val="num" w:pos="6690"/>
        </w:tabs>
        <w:ind w:left="669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F20"/>
    <w:rsid w:val="00000621"/>
    <w:rsid w:val="000036C2"/>
    <w:rsid w:val="00033D3D"/>
    <w:rsid w:val="00057601"/>
    <w:rsid w:val="00057E2B"/>
    <w:rsid w:val="00062F02"/>
    <w:rsid w:val="00071A7E"/>
    <w:rsid w:val="000746C0"/>
    <w:rsid w:val="00074D1D"/>
    <w:rsid w:val="000857AF"/>
    <w:rsid w:val="00090CF9"/>
    <w:rsid w:val="00092580"/>
    <w:rsid w:val="00093D4D"/>
    <w:rsid w:val="000A1210"/>
    <w:rsid w:val="000B2183"/>
    <w:rsid w:val="000D5D94"/>
    <w:rsid w:val="000F1A0E"/>
    <w:rsid w:val="00102EBC"/>
    <w:rsid w:val="001165A7"/>
    <w:rsid w:val="00117FD8"/>
    <w:rsid w:val="001401BB"/>
    <w:rsid w:val="001435AF"/>
    <w:rsid w:val="00167D3A"/>
    <w:rsid w:val="0019291F"/>
    <w:rsid w:val="00194E6E"/>
    <w:rsid w:val="001A3082"/>
    <w:rsid w:val="001A5D86"/>
    <w:rsid w:val="001A6573"/>
    <w:rsid w:val="001B186A"/>
    <w:rsid w:val="001B2F75"/>
    <w:rsid w:val="001E6DE8"/>
    <w:rsid w:val="001F114E"/>
    <w:rsid w:val="001F2716"/>
    <w:rsid w:val="00206F6B"/>
    <w:rsid w:val="00207617"/>
    <w:rsid w:val="0023134B"/>
    <w:rsid w:val="0026015E"/>
    <w:rsid w:val="002667BE"/>
    <w:rsid w:val="00270E13"/>
    <w:rsid w:val="00283659"/>
    <w:rsid w:val="002B5149"/>
    <w:rsid w:val="002C6BD4"/>
    <w:rsid w:val="002D68BF"/>
    <w:rsid w:val="002F6B98"/>
    <w:rsid w:val="00310B90"/>
    <w:rsid w:val="00336CBF"/>
    <w:rsid w:val="00343FE3"/>
    <w:rsid w:val="003546C8"/>
    <w:rsid w:val="00374981"/>
    <w:rsid w:val="003860CF"/>
    <w:rsid w:val="003925C9"/>
    <w:rsid w:val="003A3DA7"/>
    <w:rsid w:val="003A7CF2"/>
    <w:rsid w:val="003C5CE5"/>
    <w:rsid w:val="003E267B"/>
    <w:rsid w:val="003E5773"/>
    <w:rsid w:val="003E7CD1"/>
    <w:rsid w:val="003F2E3F"/>
    <w:rsid w:val="00402B9E"/>
    <w:rsid w:val="00420643"/>
    <w:rsid w:val="004249CB"/>
    <w:rsid w:val="0044127D"/>
    <w:rsid w:val="004448DB"/>
    <w:rsid w:val="00446C9A"/>
    <w:rsid w:val="00452F2B"/>
    <w:rsid w:val="00456E19"/>
    <w:rsid w:val="004617F0"/>
    <w:rsid w:val="00473EEA"/>
    <w:rsid w:val="00477193"/>
    <w:rsid w:val="00480D87"/>
    <w:rsid w:val="004A1848"/>
    <w:rsid w:val="004A6F4A"/>
    <w:rsid w:val="004C5C63"/>
    <w:rsid w:val="004E4717"/>
    <w:rsid w:val="005035E7"/>
    <w:rsid w:val="00507FEC"/>
    <w:rsid w:val="00510F0E"/>
    <w:rsid w:val="00531929"/>
    <w:rsid w:val="005479E1"/>
    <w:rsid w:val="00553E0A"/>
    <w:rsid w:val="005570FD"/>
    <w:rsid w:val="005575EA"/>
    <w:rsid w:val="0056148E"/>
    <w:rsid w:val="00574E42"/>
    <w:rsid w:val="0057790C"/>
    <w:rsid w:val="005829AB"/>
    <w:rsid w:val="00593795"/>
    <w:rsid w:val="00593821"/>
    <w:rsid w:val="00597008"/>
    <w:rsid w:val="005A549B"/>
    <w:rsid w:val="005A75FF"/>
    <w:rsid w:val="005D10AB"/>
    <w:rsid w:val="005D721A"/>
    <w:rsid w:val="005F1F19"/>
    <w:rsid w:val="00601D8F"/>
    <w:rsid w:val="00611011"/>
    <w:rsid w:val="00615768"/>
    <w:rsid w:val="00653E97"/>
    <w:rsid w:val="00655341"/>
    <w:rsid w:val="00676204"/>
    <w:rsid w:val="00684A74"/>
    <w:rsid w:val="00686C0C"/>
    <w:rsid w:val="00690B8A"/>
    <w:rsid w:val="0069160E"/>
    <w:rsid w:val="00696018"/>
    <w:rsid w:val="00696D3B"/>
    <w:rsid w:val="006B058B"/>
    <w:rsid w:val="006F2CF1"/>
    <w:rsid w:val="007038ED"/>
    <w:rsid w:val="00703BC3"/>
    <w:rsid w:val="00704B61"/>
    <w:rsid w:val="007334B3"/>
    <w:rsid w:val="00741157"/>
    <w:rsid w:val="007420F1"/>
    <w:rsid w:val="00742454"/>
    <w:rsid w:val="00747608"/>
    <w:rsid w:val="00750745"/>
    <w:rsid w:val="007552A9"/>
    <w:rsid w:val="00761858"/>
    <w:rsid w:val="00767D59"/>
    <w:rsid w:val="00776E97"/>
    <w:rsid w:val="00780F86"/>
    <w:rsid w:val="007912AD"/>
    <w:rsid w:val="007A37E8"/>
    <w:rsid w:val="007B0824"/>
    <w:rsid w:val="007B5D3C"/>
    <w:rsid w:val="007B67B0"/>
    <w:rsid w:val="00821B72"/>
    <w:rsid w:val="00823EF2"/>
    <w:rsid w:val="008303B8"/>
    <w:rsid w:val="00833DCE"/>
    <w:rsid w:val="00871D34"/>
    <w:rsid w:val="00896DE4"/>
    <w:rsid w:val="008A414E"/>
    <w:rsid w:val="008B270C"/>
    <w:rsid w:val="008B382D"/>
    <w:rsid w:val="008B5078"/>
    <w:rsid w:val="008C3D3D"/>
    <w:rsid w:val="008D4131"/>
    <w:rsid w:val="008D5786"/>
    <w:rsid w:val="008F0697"/>
    <w:rsid w:val="008F1932"/>
    <w:rsid w:val="008F23F4"/>
    <w:rsid w:val="00921062"/>
    <w:rsid w:val="00923B15"/>
    <w:rsid w:val="00925AB2"/>
    <w:rsid w:val="009722BC"/>
    <w:rsid w:val="009727A3"/>
    <w:rsid w:val="00977EB3"/>
    <w:rsid w:val="00987774"/>
    <w:rsid w:val="00996FBB"/>
    <w:rsid w:val="009A11E8"/>
    <w:rsid w:val="009C5F92"/>
    <w:rsid w:val="009E30EE"/>
    <w:rsid w:val="009F3381"/>
    <w:rsid w:val="009F5220"/>
    <w:rsid w:val="00A11F19"/>
    <w:rsid w:val="00A15234"/>
    <w:rsid w:val="00A201AB"/>
    <w:rsid w:val="00A240AA"/>
    <w:rsid w:val="00A253BF"/>
    <w:rsid w:val="00A31C8B"/>
    <w:rsid w:val="00A509FA"/>
    <w:rsid w:val="00A544A8"/>
    <w:rsid w:val="00A60589"/>
    <w:rsid w:val="00A845DC"/>
    <w:rsid w:val="00A8721C"/>
    <w:rsid w:val="00AE226C"/>
    <w:rsid w:val="00B20636"/>
    <w:rsid w:val="00B26AA2"/>
    <w:rsid w:val="00B3524D"/>
    <w:rsid w:val="00B40F69"/>
    <w:rsid w:val="00B46616"/>
    <w:rsid w:val="00B7040A"/>
    <w:rsid w:val="00B83391"/>
    <w:rsid w:val="00B95326"/>
    <w:rsid w:val="00BA334F"/>
    <w:rsid w:val="00BB3FC4"/>
    <w:rsid w:val="00BB7997"/>
    <w:rsid w:val="00BC481C"/>
    <w:rsid w:val="00BC4DE5"/>
    <w:rsid w:val="00BD2083"/>
    <w:rsid w:val="00BD3A9C"/>
    <w:rsid w:val="00BD4196"/>
    <w:rsid w:val="00BE6958"/>
    <w:rsid w:val="00BF22CA"/>
    <w:rsid w:val="00BF23BB"/>
    <w:rsid w:val="00C12F97"/>
    <w:rsid w:val="00C217AF"/>
    <w:rsid w:val="00C26032"/>
    <w:rsid w:val="00C345E1"/>
    <w:rsid w:val="00C43BFD"/>
    <w:rsid w:val="00C45496"/>
    <w:rsid w:val="00C5573A"/>
    <w:rsid w:val="00CB6E35"/>
    <w:rsid w:val="00CC0CC9"/>
    <w:rsid w:val="00CE1A46"/>
    <w:rsid w:val="00CE1AC3"/>
    <w:rsid w:val="00CF6833"/>
    <w:rsid w:val="00D07C27"/>
    <w:rsid w:val="00D17964"/>
    <w:rsid w:val="00D20757"/>
    <w:rsid w:val="00D22636"/>
    <w:rsid w:val="00D40FD9"/>
    <w:rsid w:val="00D50A21"/>
    <w:rsid w:val="00D53769"/>
    <w:rsid w:val="00D85C13"/>
    <w:rsid w:val="00D9111A"/>
    <w:rsid w:val="00D91BE3"/>
    <w:rsid w:val="00D94AFC"/>
    <w:rsid w:val="00DB1EA9"/>
    <w:rsid w:val="00DB70AE"/>
    <w:rsid w:val="00DD5071"/>
    <w:rsid w:val="00DD5C39"/>
    <w:rsid w:val="00DD6918"/>
    <w:rsid w:val="00DE20CE"/>
    <w:rsid w:val="00DE65C8"/>
    <w:rsid w:val="00DE7DB7"/>
    <w:rsid w:val="00DF2161"/>
    <w:rsid w:val="00DF392C"/>
    <w:rsid w:val="00E00A0A"/>
    <w:rsid w:val="00E024EB"/>
    <w:rsid w:val="00E066DE"/>
    <w:rsid w:val="00E07F57"/>
    <w:rsid w:val="00E30683"/>
    <w:rsid w:val="00E418CE"/>
    <w:rsid w:val="00E453D8"/>
    <w:rsid w:val="00E50BCE"/>
    <w:rsid w:val="00E546BE"/>
    <w:rsid w:val="00E574BF"/>
    <w:rsid w:val="00E61292"/>
    <w:rsid w:val="00E74B5A"/>
    <w:rsid w:val="00E77294"/>
    <w:rsid w:val="00E77C4D"/>
    <w:rsid w:val="00E80AD9"/>
    <w:rsid w:val="00E81D01"/>
    <w:rsid w:val="00E862ED"/>
    <w:rsid w:val="00EE43F3"/>
    <w:rsid w:val="00EE45D8"/>
    <w:rsid w:val="00F06F20"/>
    <w:rsid w:val="00F07170"/>
    <w:rsid w:val="00F118C6"/>
    <w:rsid w:val="00F22EDA"/>
    <w:rsid w:val="00F556F2"/>
    <w:rsid w:val="00F621A6"/>
    <w:rsid w:val="00F97703"/>
    <w:rsid w:val="00FA48DC"/>
    <w:rsid w:val="00FC5AE2"/>
    <w:rsid w:val="00FD79ED"/>
    <w:rsid w:val="00FE4D99"/>
    <w:rsid w:val="00FF5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3"/>
    <o:shapelayout v:ext="edit">
      <o:idmap v:ext="edit" data="1"/>
    </o:shapelayout>
  </w:shapeDefaults>
  <w:decimalSymbol w:val="."/>
  <w:listSeparator w:val=","/>
  <w14:docId w14:val="00B634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ownfootnote">
    <w:name w:val="own footnote"/>
    <w:basedOn w:val="FootnoteText"/>
    <w:autoRedefine/>
    <w:rsid w:val="00DE65C8"/>
    <w:pPr>
      <w:ind w:left="540" w:hanging="540"/>
    </w:pPr>
    <w:rPr>
      <w:rFonts w:ascii="Sylfaen" w:hAnsi="Sylfaen"/>
      <w:sz w:val="22"/>
      <w:szCs w:val="22"/>
    </w:rPr>
  </w:style>
  <w:style w:type="paragraph" w:styleId="FootnoteText">
    <w:name w:val="footnote text"/>
    <w:basedOn w:val="Normal"/>
    <w:semiHidden/>
    <w:rsid w:val="00DE65C8"/>
    <w:rPr>
      <w:sz w:val="20"/>
      <w:szCs w:val="20"/>
    </w:rPr>
  </w:style>
  <w:style w:type="paragraph" w:customStyle="1" w:styleId="pedal">
    <w:name w:val="pedal"/>
    <w:basedOn w:val="Footer"/>
    <w:autoRedefine/>
    <w:rsid w:val="00E862ED"/>
    <w:pPr>
      <w:ind w:left="540" w:hanging="540"/>
    </w:pPr>
    <w:rPr>
      <w:rFonts w:ascii="Sylfaen" w:hAnsi="Sylfaen"/>
      <w:sz w:val="22"/>
      <w:szCs w:val="22"/>
    </w:rPr>
  </w:style>
  <w:style w:type="paragraph" w:customStyle="1" w:styleId="pedal1">
    <w:name w:val="pedal1"/>
    <w:basedOn w:val="pedal"/>
    <w:autoRedefine/>
    <w:rsid w:val="000B2183"/>
    <w:pPr>
      <w:ind w:left="539" w:hanging="539"/>
    </w:pPr>
  </w:style>
  <w:style w:type="paragraph" w:customStyle="1" w:styleId="pedal2">
    <w:name w:val="pedal2"/>
    <w:basedOn w:val="pedal"/>
    <w:autoRedefine/>
    <w:rsid w:val="000B2183"/>
    <w:pPr>
      <w:ind w:left="539" w:hanging="539"/>
      <w:jc w:val="both"/>
    </w:pPr>
  </w:style>
  <w:style w:type="paragraph" w:customStyle="1" w:styleId="foot-note">
    <w:name w:val="foot-note"/>
    <w:basedOn w:val="pedal2"/>
    <w:rsid w:val="003A3DA7"/>
  </w:style>
  <w:style w:type="character" w:customStyle="1" w:styleId="FooterChar">
    <w:name w:val="Footer Char"/>
    <w:link w:val="Footer"/>
    <w:uiPriority w:val="99"/>
    <w:rsid w:val="0019291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3368</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2018-06-18T15:41:00Z</dcterms:created>
  <dcterms:modified xsi:type="dcterms:W3CDTF">2018-06-18T15:41:00Z</dcterms:modified>
</cp:coreProperties>
</file>