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D7115" w:rsidP="00C321B5">
      <w:pPr>
        <w:jc w:val="center"/>
        <w:rPr>
          <w:rFonts w:ascii="Book Antiqua" w:hAnsi="Book Antiqua" w:cs="Arial"/>
          <w:sz w:val="16"/>
          <w:szCs w:val="16"/>
        </w:rPr>
      </w:pPr>
      <w:r>
        <w:rPr>
          <w:noProof/>
        </w:rPr>
        <w:drawing>
          <wp:inline distT="0" distB="0" distL="0" distR="0" wp14:anchorId="4AD2FA5B" wp14:editId="1ADB5CFD">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66EFB">
        <w:rPr>
          <w:rFonts w:ascii="Book Antiqua" w:hAnsi="Book Antiqua" w:cs="Arial"/>
          <w:b/>
        </w:rPr>
        <w:t xml:space="preserve">   </w:t>
      </w:r>
      <w:proofErr w:type="gramEnd"/>
      <w:r w:rsidR="00466EFB">
        <w:rPr>
          <w:rFonts w:ascii="Book Antiqua" w:hAnsi="Book Antiqua" w:cs="Arial"/>
          <w:b/>
        </w:rPr>
        <w:t xml:space="preserve">                  </w:t>
      </w:r>
      <w:r w:rsidR="00B3524D" w:rsidRPr="00466EFB">
        <w:rPr>
          <w:rFonts w:ascii="Book Antiqua" w:hAnsi="Book Antiqua" w:cs="Arial"/>
          <w:b/>
        </w:rPr>
        <w:t>Appeal Number</w:t>
      </w:r>
      <w:r w:rsidR="00D53769" w:rsidRPr="00466EFB">
        <w:rPr>
          <w:rFonts w:ascii="Book Antiqua" w:hAnsi="Book Antiqua" w:cs="Arial"/>
          <w:b/>
        </w:rPr>
        <w:t>:</w:t>
      </w:r>
      <w:r w:rsidR="00B3524D" w:rsidRPr="00466EFB">
        <w:rPr>
          <w:rFonts w:ascii="Book Antiqua" w:hAnsi="Book Antiqua" w:cs="Arial"/>
          <w:b/>
        </w:rPr>
        <w:t xml:space="preserve"> </w:t>
      </w:r>
      <w:bookmarkStart w:id="0" w:name="_Hlk522090125"/>
      <w:r w:rsidR="008160DA" w:rsidRPr="00466EFB">
        <w:rPr>
          <w:rFonts w:ascii="Book Antiqua" w:hAnsi="Book Antiqua" w:cs="Arial"/>
          <w:b/>
          <w:caps/>
        </w:rPr>
        <w:t>EA/00836/2016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rsidTr="00466EFB">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8160DA">
              <w:rPr>
                <w:rFonts w:ascii="Book Antiqua" w:hAnsi="Book Antiqua" w:cs="Arial"/>
                <w:b/>
              </w:rPr>
              <w:t>Field House</w:t>
            </w:r>
          </w:p>
        </w:tc>
        <w:tc>
          <w:tcPr>
            <w:tcW w:w="4905" w:type="dxa"/>
          </w:tcPr>
          <w:p w:rsidR="00D22636" w:rsidRPr="00F5664C" w:rsidRDefault="00466EFB"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466EFB">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8160DA">
              <w:rPr>
                <w:rFonts w:ascii="Book Antiqua" w:hAnsi="Book Antiqua" w:cs="Arial"/>
                <w:b/>
              </w:rPr>
              <w:t>13</w:t>
            </w:r>
            <w:r w:rsidR="008160DA" w:rsidRPr="008160DA">
              <w:rPr>
                <w:rFonts w:ascii="Book Antiqua" w:hAnsi="Book Antiqua" w:cs="Arial"/>
                <w:b/>
                <w:vertAlign w:val="superscript"/>
              </w:rPr>
              <w:t>th</w:t>
            </w:r>
            <w:r w:rsidR="008160DA">
              <w:rPr>
                <w:rFonts w:ascii="Book Antiqua" w:hAnsi="Book Antiqua" w:cs="Arial"/>
                <w:b/>
              </w:rPr>
              <w:t xml:space="preserve"> August 2018</w:t>
            </w:r>
          </w:p>
        </w:tc>
        <w:tc>
          <w:tcPr>
            <w:tcW w:w="4905" w:type="dxa"/>
          </w:tcPr>
          <w:p w:rsidR="00D22636" w:rsidRPr="00F5664C" w:rsidRDefault="00466EFB" w:rsidP="004A1848">
            <w:pPr>
              <w:jc w:val="both"/>
              <w:rPr>
                <w:rFonts w:ascii="Book Antiqua" w:hAnsi="Book Antiqua" w:cs="Arial"/>
                <w:b/>
              </w:rPr>
            </w:pPr>
            <w:r>
              <w:rPr>
                <w:rFonts w:ascii="Book Antiqua" w:hAnsi="Book Antiqua" w:cs="Arial"/>
                <w:b/>
              </w:rPr>
              <w:t xml:space="preserve"> </w:t>
            </w:r>
            <w:r w:rsidR="00E77F65">
              <w:rPr>
                <w:rFonts w:ascii="Book Antiqua" w:hAnsi="Book Antiqua" w:cs="Arial"/>
                <w:b/>
              </w:rPr>
              <w:t>On 24</w:t>
            </w:r>
            <w:r w:rsidR="00E77F65" w:rsidRPr="00E77F65">
              <w:rPr>
                <w:rFonts w:ascii="Book Antiqua" w:hAnsi="Book Antiqua" w:cs="Arial"/>
                <w:b/>
                <w:vertAlign w:val="superscript"/>
              </w:rPr>
              <w:t>th</w:t>
            </w:r>
            <w:r w:rsidR="00E77F65">
              <w:rPr>
                <w:rFonts w:ascii="Book Antiqua" w:hAnsi="Book Antiqua" w:cs="Arial"/>
                <w:b/>
              </w:rPr>
              <w:t xml:space="preserve"> August 2018</w:t>
            </w:r>
          </w:p>
        </w:tc>
      </w:tr>
      <w:tr w:rsidR="00D22636" w:rsidRPr="00F5664C" w:rsidTr="00466EFB">
        <w:tc>
          <w:tcPr>
            <w:tcW w:w="5103" w:type="dxa"/>
          </w:tcPr>
          <w:p w:rsidR="00D22636" w:rsidRPr="00F5664C" w:rsidRDefault="00D22636" w:rsidP="004A1848">
            <w:pPr>
              <w:jc w:val="both"/>
              <w:rPr>
                <w:rFonts w:ascii="Book Antiqua" w:hAnsi="Book Antiqua" w:cs="Arial"/>
                <w:b/>
              </w:rPr>
            </w:pPr>
          </w:p>
        </w:tc>
        <w:tc>
          <w:tcPr>
            <w:tcW w:w="4905" w:type="dxa"/>
          </w:tcPr>
          <w:p w:rsidR="00D22636" w:rsidRPr="00F5664C" w:rsidRDefault="00D22636" w:rsidP="004A1848">
            <w:pPr>
              <w:jc w:val="both"/>
              <w:rPr>
                <w:rFonts w:ascii="Book Antiqua" w:hAnsi="Book Antiqua" w:cs="Arial"/>
                <w:b/>
              </w:rPr>
            </w:pPr>
          </w:p>
        </w:tc>
      </w:tr>
    </w:tbl>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00725F">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8160DA" w:rsidRPr="00F5664C" w:rsidRDefault="008160DA"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160DA" w:rsidP="00742A8D">
      <w:pPr>
        <w:jc w:val="center"/>
        <w:rPr>
          <w:rFonts w:ascii="Book Antiqua" w:hAnsi="Book Antiqua" w:cs="Arial"/>
          <w:b/>
          <w:caps/>
        </w:rPr>
      </w:pPr>
      <w:r w:rsidRPr="008160DA">
        <w:rPr>
          <w:rFonts w:ascii="Book Antiqua" w:hAnsi="Book Antiqua" w:cs="Arial"/>
          <w:b/>
          <w:caps/>
        </w:rPr>
        <w:t>Kikelomo Queen</w:t>
      </w:r>
      <w:r>
        <w:rPr>
          <w:rFonts w:ascii="Book Antiqua" w:hAnsi="Book Antiqua" w:cs="Arial"/>
          <w:b/>
          <w:caps/>
        </w:rPr>
        <w:t xml:space="preserve"> </w:t>
      </w:r>
      <w:r w:rsidRPr="008160DA">
        <w:rPr>
          <w:rFonts w:ascii="Book Antiqua" w:hAnsi="Book Antiqua" w:cs="Arial"/>
          <w:b/>
          <w:caps/>
        </w:rPr>
        <w:t>Akinnuoye</w:t>
      </w:r>
    </w:p>
    <w:p w:rsidR="00F13D39" w:rsidRPr="00466EFB" w:rsidRDefault="00F13D39" w:rsidP="00F13D39">
      <w:pPr>
        <w:jc w:val="center"/>
        <w:rPr>
          <w:rFonts w:ascii="Book Antiqua" w:hAnsi="Book Antiqua" w:cs="Arial"/>
          <w:caps/>
        </w:rPr>
      </w:pPr>
      <w:r w:rsidRPr="00466EFB">
        <w:rPr>
          <w:rFonts w:ascii="Book Antiqua" w:hAnsi="Book Antiqua" w:cs="Arial"/>
          <w:caps/>
        </w:rPr>
        <w:t>(ANONYMITY DIRECTIO</w:t>
      </w:r>
      <w:r w:rsidR="00BF0573" w:rsidRPr="00466EFB">
        <w:rPr>
          <w:rFonts w:ascii="Book Antiqua" w:hAnsi="Book Antiqua" w:cs="Arial"/>
          <w:caps/>
        </w:rPr>
        <w:t>n not made</w:t>
      </w:r>
      <w:r w:rsidRPr="00466EFB">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466EFB" w:rsidRPr="00F5664C" w:rsidRDefault="00466EFB"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160DA">
        <w:rPr>
          <w:rFonts w:ascii="Book Antiqua" w:hAnsi="Book Antiqua" w:cs="Arial"/>
        </w:rPr>
        <w:t xml:space="preserve">Mr J René </w:t>
      </w:r>
      <w:r w:rsidR="00BF0573">
        <w:rPr>
          <w:rFonts w:ascii="Book Antiqua" w:hAnsi="Book Antiqua" w:cs="Arial"/>
        </w:rPr>
        <w:t>(instructed by</w:t>
      </w:r>
      <w:r w:rsidR="008160DA">
        <w:rPr>
          <w:rFonts w:ascii="Book Antiqua" w:hAnsi="Book Antiqua" w:cs="Arial"/>
        </w:rPr>
        <w:t xml:space="preserve"> Dorcas </w:t>
      </w:r>
      <w:proofErr w:type="spellStart"/>
      <w:r w:rsidR="008160DA">
        <w:rPr>
          <w:rFonts w:ascii="Book Antiqua" w:hAnsi="Book Antiqua" w:cs="Arial"/>
        </w:rPr>
        <w:t>Funmi</w:t>
      </w:r>
      <w:proofErr w:type="spellEnd"/>
      <w:r w:rsidR="008160DA">
        <w:rPr>
          <w:rFonts w:ascii="Book Antiqua" w:hAnsi="Book Antiqua" w:cs="Arial"/>
        </w:rPr>
        <w:t xml:space="preserve"> &amp; Co Solicitors</w:t>
      </w:r>
      <w:r w:rsidR="00BF0573">
        <w:rPr>
          <w:rFonts w:ascii="Book Antiqua" w:hAnsi="Book Antiqua" w:cs="Arial"/>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160DA">
        <w:rPr>
          <w:rFonts w:ascii="Book Antiqua" w:hAnsi="Book Antiqua" w:cs="Arial"/>
        </w:rPr>
        <w:t>Miss J Isherwood</w:t>
      </w:r>
      <w:r w:rsidR="00BF0573">
        <w:rPr>
          <w:rFonts w:ascii="Book Antiqua" w:hAnsi="Book Antiqua" w:cs="Arial"/>
        </w:rPr>
        <w:t xml:space="preserve"> (Senior</w:t>
      </w:r>
      <w:r w:rsidR="008160DA">
        <w:rPr>
          <w:rFonts w:ascii="Book Antiqua" w:hAnsi="Book Antiqua" w:cs="Arial"/>
        </w:rPr>
        <w:t xml:space="preserve"> Home Office Presenting Officer</w:t>
      </w:r>
      <w:r w:rsidR="00BF0573">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4221D" w:rsidRDefault="008160DA" w:rsidP="009A1ED5">
      <w:pPr>
        <w:numPr>
          <w:ilvl w:val="0"/>
          <w:numId w:val="3"/>
        </w:numPr>
        <w:spacing w:before="240"/>
        <w:jc w:val="both"/>
        <w:rPr>
          <w:rFonts w:ascii="Book Antiqua" w:hAnsi="Book Antiqua" w:cs="Arial"/>
        </w:rPr>
      </w:pPr>
      <w:r>
        <w:rPr>
          <w:rFonts w:ascii="Book Antiqua" w:hAnsi="Book Antiqua" w:cs="Arial"/>
        </w:rPr>
        <w:t xml:space="preserve">This is an appeal to the Upper Tribunal </w:t>
      </w:r>
      <w:r w:rsidR="007D3424">
        <w:rPr>
          <w:rFonts w:ascii="Book Antiqua" w:hAnsi="Book Antiqua" w:cs="Arial"/>
        </w:rPr>
        <w:t xml:space="preserve">by the Appellant </w:t>
      </w:r>
      <w:r>
        <w:rPr>
          <w:rFonts w:ascii="Book Antiqua" w:hAnsi="Book Antiqua" w:cs="Arial"/>
        </w:rPr>
        <w:t xml:space="preserve">with permission.  It is an appeal against </w:t>
      </w:r>
      <w:r w:rsidR="00BF0573">
        <w:rPr>
          <w:rFonts w:ascii="Book Antiqua" w:hAnsi="Book Antiqua" w:cs="Arial"/>
        </w:rPr>
        <w:t>a</w:t>
      </w:r>
      <w:r>
        <w:rPr>
          <w:rFonts w:ascii="Book Antiqua" w:hAnsi="Book Antiqua" w:cs="Arial"/>
        </w:rPr>
        <w:t xml:space="preserve"> </w:t>
      </w:r>
      <w:r w:rsidR="00BF0573">
        <w:rPr>
          <w:rFonts w:ascii="Book Antiqua" w:hAnsi="Book Antiqua" w:cs="Arial"/>
        </w:rPr>
        <w:t>D</w:t>
      </w:r>
      <w:r>
        <w:rPr>
          <w:rFonts w:ascii="Book Antiqua" w:hAnsi="Book Antiqua" w:cs="Arial"/>
        </w:rPr>
        <w:t xml:space="preserve">ecision of </w:t>
      </w:r>
      <w:r w:rsidR="0000725F">
        <w:rPr>
          <w:rFonts w:ascii="Book Antiqua" w:hAnsi="Book Antiqua" w:cs="Arial"/>
        </w:rPr>
        <w:t>Judge</w:t>
      </w:r>
      <w:r>
        <w:rPr>
          <w:rFonts w:ascii="Book Antiqua" w:hAnsi="Book Antiqua" w:cs="Arial"/>
        </w:rPr>
        <w:t xml:space="preserve"> Rayner in the First-tier Tribunal promulgated on 2</w:t>
      </w:r>
      <w:r w:rsidRPr="008160DA">
        <w:rPr>
          <w:rFonts w:ascii="Book Antiqua" w:hAnsi="Book Antiqua" w:cs="Arial"/>
          <w:vertAlign w:val="superscript"/>
        </w:rPr>
        <w:t>nd</w:t>
      </w:r>
      <w:r>
        <w:rPr>
          <w:rFonts w:ascii="Book Antiqua" w:hAnsi="Book Antiqua" w:cs="Arial"/>
        </w:rPr>
        <w:t xml:space="preserve"> March 2018 after a hearing on 10</w:t>
      </w:r>
      <w:r w:rsidRPr="008160DA">
        <w:rPr>
          <w:rFonts w:ascii="Book Antiqua" w:hAnsi="Book Antiqua" w:cs="Arial"/>
          <w:vertAlign w:val="superscript"/>
        </w:rPr>
        <w:t>th</w:t>
      </w:r>
      <w:r>
        <w:rPr>
          <w:rFonts w:ascii="Book Antiqua" w:hAnsi="Book Antiqua" w:cs="Arial"/>
        </w:rPr>
        <w:t xml:space="preserve"> January 2018 at Taylor House.  </w:t>
      </w:r>
    </w:p>
    <w:p w:rsidR="00D4221D" w:rsidRDefault="008160DA" w:rsidP="009A1ED5">
      <w:pPr>
        <w:numPr>
          <w:ilvl w:val="0"/>
          <w:numId w:val="3"/>
        </w:numPr>
        <w:spacing w:before="240"/>
        <w:jc w:val="both"/>
        <w:rPr>
          <w:rFonts w:ascii="Book Antiqua" w:hAnsi="Book Antiqua" w:cs="Arial"/>
        </w:rPr>
      </w:pPr>
      <w:r>
        <w:rPr>
          <w:rFonts w:ascii="Book Antiqua" w:hAnsi="Book Antiqua" w:cs="Arial"/>
        </w:rPr>
        <w:t>The Appellant is a citizen of Nigeria and she had made an application for a permanent residence card under the EEA Regulations.  She did so because on 15</w:t>
      </w:r>
      <w:r w:rsidRPr="008160DA">
        <w:rPr>
          <w:rFonts w:ascii="Book Antiqua" w:hAnsi="Book Antiqua" w:cs="Arial"/>
          <w:vertAlign w:val="superscript"/>
        </w:rPr>
        <w:t>th</w:t>
      </w:r>
      <w:r>
        <w:rPr>
          <w:rFonts w:ascii="Book Antiqua" w:hAnsi="Book Antiqua" w:cs="Arial"/>
        </w:rPr>
        <w:t xml:space="preserve"> September 2010 she had been issued with an EEA residence card as an extended family member of her brother valid until 15</w:t>
      </w:r>
      <w:r w:rsidRPr="008160DA">
        <w:rPr>
          <w:rFonts w:ascii="Book Antiqua" w:hAnsi="Book Antiqua" w:cs="Arial"/>
          <w:vertAlign w:val="superscript"/>
        </w:rPr>
        <w:t>th</w:t>
      </w:r>
      <w:r>
        <w:rPr>
          <w:rFonts w:ascii="Book Antiqua" w:hAnsi="Book Antiqua" w:cs="Arial"/>
        </w:rPr>
        <w:t xml:space="preserve"> September 2015.  She made her application for a permanent residence card shortly before the expiry of that residence card.  </w:t>
      </w:r>
      <w:r w:rsidR="00BF0573">
        <w:rPr>
          <w:rFonts w:ascii="Book Antiqua" w:hAnsi="Book Antiqua" w:cs="Arial"/>
        </w:rPr>
        <w:t>A</w:t>
      </w:r>
      <w:r>
        <w:rPr>
          <w:rFonts w:ascii="Book Antiqua" w:hAnsi="Book Antiqua" w:cs="Arial"/>
        </w:rPr>
        <w:t>lthough she had originally claimed as an extended family member pursuant to the EEA Regulations</w:t>
      </w:r>
      <w:r w:rsidR="00BF0573">
        <w:rPr>
          <w:rFonts w:ascii="Book Antiqua" w:hAnsi="Book Antiqua" w:cs="Arial"/>
        </w:rPr>
        <w:t>,</w:t>
      </w:r>
      <w:r>
        <w:rPr>
          <w:rFonts w:ascii="Book Antiqua" w:hAnsi="Book Antiqua" w:cs="Arial"/>
        </w:rPr>
        <w:t xml:space="preserve"> </w:t>
      </w:r>
      <w:r w:rsidR="00BF0573">
        <w:rPr>
          <w:rFonts w:ascii="Book Antiqua" w:hAnsi="Book Antiqua" w:cs="Arial"/>
        </w:rPr>
        <w:t>after</w:t>
      </w:r>
      <w:r>
        <w:rPr>
          <w:rFonts w:ascii="Book Antiqua" w:hAnsi="Book Antiqua" w:cs="Arial"/>
        </w:rPr>
        <w:t xml:space="preserve"> she had </w:t>
      </w:r>
      <w:r w:rsidR="00BF0573">
        <w:rPr>
          <w:rFonts w:ascii="Book Antiqua" w:hAnsi="Book Antiqua" w:cs="Arial"/>
        </w:rPr>
        <w:t>been issued with a</w:t>
      </w:r>
      <w:r>
        <w:rPr>
          <w:rFonts w:ascii="Book Antiqua" w:hAnsi="Book Antiqua" w:cs="Arial"/>
        </w:rPr>
        <w:t xml:space="preserve"> residence card she was to be treated as a family member and thus would have been entitled to a permanent residence card if she met the criteria.  </w:t>
      </w:r>
    </w:p>
    <w:p w:rsidR="00D4221D" w:rsidRDefault="008160DA" w:rsidP="009A1ED5">
      <w:pPr>
        <w:numPr>
          <w:ilvl w:val="0"/>
          <w:numId w:val="3"/>
        </w:numPr>
        <w:spacing w:before="240"/>
        <w:jc w:val="both"/>
        <w:rPr>
          <w:rFonts w:ascii="Book Antiqua" w:hAnsi="Book Antiqua" w:cs="Arial"/>
        </w:rPr>
      </w:pPr>
      <w:r>
        <w:rPr>
          <w:rFonts w:ascii="Book Antiqua" w:hAnsi="Book Antiqua" w:cs="Arial"/>
        </w:rPr>
        <w:t xml:space="preserve">The Secretary of State refused her application </w:t>
      </w:r>
      <w:r w:rsidR="007D3424">
        <w:rPr>
          <w:rFonts w:ascii="Book Antiqua" w:hAnsi="Book Antiqua" w:cs="Arial"/>
        </w:rPr>
        <w:t xml:space="preserve">for two reasons.  </w:t>
      </w:r>
      <w:r w:rsidR="00BF0573">
        <w:rPr>
          <w:rFonts w:ascii="Book Antiqua" w:hAnsi="Book Antiqua" w:cs="Arial"/>
        </w:rPr>
        <w:t>Firstly,</w:t>
      </w:r>
      <w:r w:rsidR="007D3424">
        <w:rPr>
          <w:rFonts w:ascii="Book Antiqua" w:hAnsi="Book Antiqua" w:cs="Arial"/>
        </w:rPr>
        <w:t xml:space="preserve"> </w:t>
      </w:r>
      <w:r>
        <w:rPr>
          <w:rFonts w:ascii="Book Antiqua" w:hAnsi="Book Antiqua" w:cs="Arial"/>
        </w:rPr>
        <w:t xml:space="preserve">the Secretary of State was not satisfied that she had been living in accordance with the Regulations, </w:t>
      </w:r>
      <w:r>
        <w:rPr>
          <w:rFonts w:ascii="Book Antiqua" w:hAnsi="Book Antiqua" w:cs="Arial"/>
        </w:rPr>
        <w:lastRenderedPageBreak/>
        <w:t>namely with her brother for five continuous years</w:t>
      </w:r>
      <w:r w:rsidR="00BF0573">
        <w:rPr>
          <w:rFonts w:ascii="Book Antiqua" w:hAnsi="Book Antiqua" w:cs="Arial"/>
        </w:rPr>
        <w:t>.  Secondly,</w:t>
      </w:r>
      <w:r>
        <w:rPr>
          <w:rFonts w:ascii="Book Antiqua" w:hAnsi="Book Antiqua" w:cs="Arial"/>
        </w:rPr>
        <w:t xml:space="preserve"> the Secretary of State </w:t>
      </w:r>
      <w:r w:rsidR="00BF0573">
        <w:rPr>
          <w:rFonts w:ascii="Book Antiqua" w:hAnsi="Book Antiqua" w:cs="Arial"/>
        </w:rPr>
        <w:t xml:space="preserve">was not </w:t>
      </w:r>
      <w:r>
        <w:rPr>
          <w:rFonts w:ascii="Book Antiqua" w:hAnsi="Book Antiqua" w:cs="Arial"/>
        </w:rPr>
        <w:t xml:space="preserve">satisfied that the brother had been exercising </w:t>
      </w:r>
      <w:r w:rsidR="0000725F">
        <w:rPr>
          <w:rFonts w:ascii="Book Antiqua" w:hAnsi="Book Antiqua" w:cs="Arial"/>
        </w:rPr>
        <w:t>T</w:t>
      </w:r>
      <w:r>
        <w:rPr>
          <w:rFonts w:ascii="Book Antiqua" w:hAnsi="Book Antiqua" w:cs="Arial"/>
        </w:rPr>
        <w:t xml:space="preserve">reaty rights </w:t>
      </w:r>
      <w:r w:rsidR="0000725F">
        <w:rPr>
          <w:rFonts w:ascii="Book Antiqua" w:hAnsi="Book Antiqua" w:cs="Arial"/>
        </w:rPr>
        <w:t>throughout that</w:t>
      </w:r>
      <w:r>
        <w:rPr>
          <w:rFonts w:ascii="Book Antiqua" w:hAnsi="Book Antiqua" w:cs="Arial"/>
        </w:rPr>
        <w:t xml:space="preserve"> </w:t>
      </w:r>
      <w:r w:rsidR="0000725F">
        <w:rPr>
          <w:rFonts w:ascii="Book Antiqua" w:hAnsi="Book Antiqua" w:cs="Arial"/>
        </w:rPr>
        <w:t>five-year</w:t>
      </w:r>
      <w:r>
        <w:rPr>
          <w:rFonts w:ascii="Book Antiqua" w:hAnsi="Book Antiqua" w:cs="Arial"/>
        </w:rPr>
        <w:t xml:space="preserve"> period.  The </w:t>
      </w:r>
      <w:r w:rsidR="0000725F">
        <w:rPr>
          <w:rFonts w:ascii="Book Antiqua" w:hAnsi="Book Antiqua" w:cs="Arial"/>
        </w:rPr>
        <w:t>Judge</w:t>
      </w:r>
      <w:r>
        <w:rPr>
          <w:rFonts w:ascii="Book Antiqua" w:hAnsi="Book Antiqua" w:cs="Arial"/>
        </w:rPr>
        <w:t xml:space="preserve"> heard evidence from both the </w:t>
      </w:r>
      <w:r w:rsidR="00D4221D">
        <w:rPr>
          <w:rFonts w:ascii="Book Antiqua" w:hAnsi="Book Antiqua" w:cs="Arial"/>
        </w:rPr>
        <w:t>A</w:t>
      </w:r>
      <w:r>
        <w:rPr>
          <w:rFonts w:ascii="Book Antiqua" w:hAnsi="Book Antiqua" w:cs="Arial"/>
        </w:rPr>
        <w:t>ppellant and her brot</w:t>
      </w:r>
      <w:r w:rsidR="007D3424">
        <w:rPr>
          <w:rFonts w:ascii="Book Antiqua" w:hAnsi="Book Antiqua" w:cs="Arial"/>
        </w:rPr>
        <w:t>her and there was a considerable</w:t>
      </w:r>
      <w:r>
        <w:rPr>
          <w:rFonts w:ascii="Book Antiqua" w:hAnsi="Book Antiqua" w:cs="Arial"/>
        </w:rPr>
        <w:t xml:space="preserve"> amount of documentary evidence.  After hearing the evidence and looking at the documents the </w:t>
      </w:r>
      <w:r w:rsidR="0000725F">
        <w:rPr>
          <w:rFonts w:ascii="Book Antiqua" w:hAnsi="Book Antiqua" w:cs="Arial"/>
        </w:rPr>
        <w:t>Judge</w:t>
      </w:r>
      <w:r>
        <w:rPr>
          <w:rFonts w:ascii="Book Antiqua" w:hAnsi="Book Antiqua" w:cs="Arial"/>
        </w:rPr>
        <w:t xml:space="preserve"> found in the </w:t>
      </w:r>
      <w:r w:rsidR="00D4221D">
        <w:rPr>
          <w:rFonts w:ascii="Book Antiqua" w:hAnsi="Book Antiqua" w:cs="Arial"/>
        </w:rPr>
        <w:t>Appellant</w:t>
      </w:r>
      <w:r>
        <w:rPr>
          <w:rFonts w:ascii="Book Antiqua" w:hAnsi="Book Antiqua" w:cs="Arial"/>
        </w:rPr>
        <w:t>’s favour in relation to her having lived with her brother for five years.  That was not withstanding the fact that she had taken a lease</w:t>
      </w:r>
      <w:r w:rsidR="0000725F">
        <w:rPr>
          <w:rFonts w:ascii="Book Antiqua" w:hAnsi="Book Antiqua" w:cs="Arial"/>
        </w:rPr>
        <w:t xml:space="preserve"> on a property</w:t>
      </w:r>
      <w:r>
        <w:rPr>
          <w:rFonts w:ascii="Book Antiqua" w:hAnsi="Book Antiqua" w:cs="Arial"/>
        </w:rPr>
        <w:t xml:space="preserve"> in her own name and been paying rent before the </w:t>
      </w:r>
      <w:r w:rsidR="0000725F">
        <w:rPr>
          <w:rFonts w:ascii="Book Antiqua" w:hAnsi="Book Antiqua" w:cs="Arial"/>
        </w:rPr>
        <w:t>five-year</w:t>
      </w:r>
      <w:r>
        <w:rPr>
          <w:rFonts w:ascii="Book Antiqua" w:hAnsi="Book Antiqua" w:cs="Arial"/>
        </w:rPr>
        <w:t xml:space="preserve"> period was up.  </w:t>
      </w:r>
    </w:p>
    <w:p w:rsidR="009A1ED5" w:rsidRDefault="008160DA" w:rsidP="009A1ED5">
      <w:pPr>
        <w:numPr>
          <w:ilvl w:val="0"/>
          <w:numId w:val="3"/>
        </w:numPr>
        <w:spacing w:before="240"/>
        <w:jc w:val="both"/>
        <w:rPr>
          <w:rFonts w:ascii="Book Antiqua" w:hAnsi="Book Antiqua" w:cs="Arial"/>
        </w:rPr>
      </w:pPr>
      <w:r>
        <w:rPr>
          <w:rFonts w:ascii="Book Antiqua" w:hAnsi="Book Antiqua" w:cs="Arial"/>
        </w:rPr>
        <w:t xml:space="preserve">The </w:t>
      </w:r>
      <w:r w:rsidR="0000725F">
        <w:rPr>
          <w:rFonts w:ascii="Book Antiqua" w:hAnsi="Book Antiqua" w:cs="Arial"/>
        </w:rPr>
        <w:t>Judge</w:t>
      </w:r>
      <w:r>
        <w:rPr>
          <w:rFonts w:ascii="Book Antiqua" w:hAnsi="Book Antiqua" w:cs="Arial"/>
        </w:rPr>
        <w:t xml:space="preserve"> then went on to consider</w:t>
      </w:r>
      <w:r w:rsidR="0000725F">
        <w:rPr>
          <w:rFonts w:ascii="Book Antiqua" w:hAnsi="Book Antiqua" w:cs="Arial"/>
        </w:rPr>
        <w:t xml:space="preserve"> the second issue,</w:t>
      </w:r>
      <w:r>
        <w:rPr>
          <w:rFonts w:ascii="Book Antiqua" w:hAnsi="Book Antiqua" w:cs="Arial"/>
        </w:rPr>
        <w:t xml:space="preserve"> whether t</w:t>
      </w:r>
      <w:r w:rsidR="0000725F">
        <w:rPr>
          <w:rFonts w:ascii="Book Antiqua" w:hAnsi="Book Antiqua" w:cs="Arial"/>
        </w:rPr>
        <w:t>he brother had been exercising T</w:t>
      </w:r>
      <w:r>
        <w:rPr>
          <w:rFonts w:ascii="Book Antiqua" w:hAnsi="Book Antiqua" w:cs="Arial"/>
        </w:rPr>
        <w:t xml:space="preserve">reaty rights.  The brother had been employed with an accountancy firm </w:t>
      </w:r>
      <w:r w:rsidR="00D4221D">
        <w:rPr>
          <w:rFonts w:ascii="Book Antiqua" w:hAnsi="Book Antiqua" w:cs="Arial"/>
        </w:rPr>
        <w:t>and he had produced P60s.  The difficulty with the P60s was that for one year his total income was only £630 and in evidence</w:t>
      </w:r>
      <w:r w:rsidR="0000725F">
        <w:rPr>
          <w:rFonts w:ascii="Book Antiqua" w:hAnsi="Book Antiqua" w:cs="Arial"/>
        </w:rPr>
        <w:t>,</w:t>
      </w:r>
      <w:r w:rsidR="00D4221D">
        <w:rPr>
          <w:rFonts w:ascii="Book Antiqua" w:hAnsi="Book Antiqua" w:cs="Arial"/>
        </w:rPr>
        <w:t xml:space="preserve"> that only came out on the day of the hearing</w:t>
      </w:r>
      <w:r w:rsidR="0000725F">
        <w:rPr>
          <w:rFonts w:ascii="Book Antiqua" w:hAnsi="Book Antiqua" w:cs="Arial"/>
        </w:rPr>
        <w:t>,</w:t>
      </w:r>
      <w:r w:rsidR="00D4221D">
        <w:rPr>
          <w:rFonts w:ascii="Book Antiqua" w:hAnsi="Book Antiqua" w:cs="Arial"/>
        </w:rPr>
        <w:t xml:space="preserve"> it was explained that there was an </w:t>
      </w:r>
      <w:r w:rsidR="0000725F">
        <w:rPr>
          <w:rFonts w:ascii="Book Antiqua" w:hAnsi="Book Antiqua" w:cs="Arial"/>
        </w:rPr>
        <w:t>eleven-month</w:t>
      </w:r>
      <w:r w:rsidR="00D4221D">
        <w:rPr>
          <w:rFonts w:ascii="Book Antiqua" w:hAnsi="Book Antiqua" w:cs="Arial"/>
        </w:rPr>
        <w:t xml:space="preserve"> gap when the brother had not been working</w:t>
      </w:r>
      <w:r w:rsidR="0000725F">
        <w:rPr>
          <w:rFonts w:ascii="Book Antiqua" w:hAnsi="Book Antiqua" w:cs="Arial"/>
        </w:rPr>
        <w:t>.   T</w:t>
      </w:r>
      <w:r w:rsidR="00D4221D">
        <w:rPr>
          <w:rFonts w:ascii="Book Antiqua" w:hAnsi="Book Antiqua" w:cs="Arial"/>
        </w:rPr>
        <w:t>hat</w:t>
      </w:r>
      <w:r w:rsidR="0000725F">
        <w:rPr>
          <w:rFonts w:ascii="Book Antiqua" w:hAnsi="Book Antiqua" w:cs="Arial"/>
        </w:rPr>
        <w:t>, he said,</w:t>
      </w:r>
      <w:r w:rsidR="00D4221D">
        <w:rPr>
          <w:rFonts w:ascii="Book Antiqua" w:hAnsi="Book Antiqua" w:cs="Arial"/>
        </w:rPr>
        <w:t xml:space="preserve"> was because he had been trying to resolve difficulties with his two sons, who had </w:t>
      </w:r>
      <w:r w:rsidR="0000725F">
        <w:rPr>
          <w:rFonts w:ascii="Book Antiqua" w:hAnsi="Book Antiqua" w:cs="Arial"/>
        </w:rPr>
        <w:t>got</w:t>
      </w:r>
      <w:r w:rsidR="00D4221D">
        <w:rPr>
          <w:rFonts w:ascii="Book Antiqua" w:hAnsi="Book Antiqua" w:cs="Arial"/>
        </w:rPr>
        <w:t xml:space="preserve"> into difficulties committing offences.  The </w:t>
      </w:r>
      <w:r w:rsidR="0000725F">
        <w:rPr>
          <w:rFonts w:ascii="Book Antiqua" w:hAnsi="Book Antiqua" w:cs="Arial"/>
        </w:rPr>
        <w:t>Judge</w:t>
      </w:r>
      <w:r w:rsidR="00D4221D">
        <w:rPr>
          <w:rFonts w:ascii="Book Antiqua" w:hAnsi="Book Antiqua" w:cs="Arial"/>
        </w:rPr>
        <w:t xml:space="preserve"> was prepared to accept that the reason he did not work for those eleven months was so that he could sort his children out and indeed he travelled backwards and forwards to Nigeria during that time.  However, the </w:t>
      </w:r>
      <w:r w:rsidR="0000725F">
        <w:rPr>
          <w:rFonts w:ascii="Book Antiqua" w:hAnsi="Book Antiqua" w:cs="Arial"/>
        </w:rPr>
        <w:t>Judge</w:t>
      </w:r>
      <w:r w:rsidR="00D4221D">
        <w:rPr>
          <w:rFonts w:ascii="Book Antiqua" w:hAnsi="Book Antiqua" w:cs="Arial"/>
        </w:rPr>
        <w:t xml:space="preserve"> noted that although the brother said that he had been given an </w:t>
      </w:r>
      <w:r w:rsidR="0000725F">
        <w:rPr>
          <w:rFonts w:ascii="Book Antiqua" w:hAnsi="Book Antiqua" w:cs="Arial"/>
        </w:rPr>
        <w:t>eleven-month</w:t>
      </w:r>
      <w:r w:rsidR="00D4221D">
        <w:rPr>
          <w:rFonts w:ascii="Book Antiqua" w:hAnsi="Book Antiqua" w:cs="Arial"/>
        </w:rPr>
        <w:t xml:space="preserve"> unpaid period of leave by his employers, there was no</w:t>
      </w:r>
      <w:r w:rsidR="0000725F">
        <w:rPr>
          <w:rFonts w:ascii="Book Antiqua" w:hAnsi="Book Antiqua" w:cs="Arial"/>
        </w:rPr>
        <w:t xml:space="preserve"> evidence whatsoever about that. I</w:t>
      </w:r>
      <w:r w:rsidR="00D4221D">
        <w:rPr>
          <w:rFonts w:ascii="Book Antiqua" w:hAnsi="Book Antiqua" w:cs="Arial"/>
        </w:rPr>
        <w:t>ndeed</w:t>
      </w:r>
      <w:r w:rsidR="0000725F">
        <w:rPr>
          <w:rFonts w:ascii="Book Antiqua" w:hAnsi="Book Antiqua" w:cs="Arial"/>
        </w:rPr>
        <w:t>,</w:t>
      </w:r>
      <w:r w:rsidR="00D4221D">
        <w:rPr>
          <w:rFonts w:ascii="Book Antiqua" w:hAnsi="Book Antiqua" w:cs="Arial"/>
        </w:rPr>
        <w:t xml:space="preserve"> the </w:t>
      </w:r>
      <w:r w:rsidR="0000725F">
        <w:rPr>
          <w:rFonts w:ascii="Book Antiqua" w:hAnsi="Book Antiqua" w:cs="Arial"/>
        </w:rPr>
        <w:t xml:space="preserve">period of </w:t>
      </w:r>
      <w:r w:rsidR="00D4221D">
        <w:rPr>
          <w:rFonts w:ascii="Book Antiqua" w:hAnsi="Book Antiqua" w:cs="Arial"/>
        </w:rPr>
        <w:t>un</w:t>
      </w:r>
      <w:r w:rsidR="001E4DA0">
        <w:rPr>
          <w:rFonts w:ascii="Book Antiqua" w:hAnsi="Book Antiqua" w:cs="Arial"/>
        </w:rPr>
        <w:t>paid leave appears to have been</w:t>
      </w:r>
      <w:r w:rsidR="0000725F">
        <w:rPr>
          <w:rFonts w:ascii="Book Antiqua" w:hAnsi="Book Antiqua" w:cs="Arial"/>
        </w:rPr>
        <w:t>, according to his evidence, completely open ended.</w:t>
      </w:r>
      <w:r w:rsidR="00D4221D">
        <w:rPr>
          <w:rFonts w:ascii="Book Antiqua" w:hAnsi="Book Antiqua" w:cs="Arial"/>
        </w:rPr>
        <w:t xml:space="preserve">  The </w:t>
      </w:r>
      <w:r w:rsidR="0000725F">
        <w:rPr>
          <w:rFonts w:ascii="Book Antiqua" w:hAnsi="Book Antiqua" w:cs="Arial"/>
        </w:rPr>
        <w:t>Judge</w:t>
      </w:r>
      <w:r w:rsidR="00D4221D">
        <w:rPr>
          <w:rFonts w:ascii="Book Antiqua" w:hAnsi="Book Antiqua" w:cs="Arial"/>
        </w:rPr>
        <w:t xml:space="preserve"> was not satisfied in the absence of any evidence whatsoever from the employers that he had indeed been on a period of unpaid leave with their agreement</w:t>
      </w:r>
      <w:r w:rsidR="0000725F">
        <w:rPr>
          <w:rFonts w:ascii="Book Antiqua" w:hAnsi="Book Antiqua" w:cs="Arial"/>
        </w:rPr>
        <w:t>/a</w:t>
      </w:r>
      <w:r w:rsidR="00D4221D">
        <w:rPr>
          <w:rFonts w:ascii="Book Antiqua" w:hAnsi="Book Antiqua" w:cs="Arial"/>
        </w:rPr>
        <w:t xml:space="preserve"> sabbatical</w:t>
      </w:r>
      <w:r w:rsidR="0000725F">
        <w:rPr>
          <w:rFonts w:ascii="Book Antiqua" w:hAnsi="Book Antiqua" w:cs="Arial"/>
        </w:rPr>
        <w:t>.</w:t>
      </w:r>
      <w:r w:rsidR="00D4221D">
        <w:rPr>
          <w:rFonts w:ascii="Book Antiqua" w:hAnsi="Book Antiqua" w:cs="Arial"/>
        </w:rPr>
        <w:t xml:space="preserve"> </w:t>
      </w:r>
      <w:r w:rsidR="0000725F">
        <w:rPr>
          <w:rFonts w:ascii="Book Antiqua" w:hAnsi="Book Antiqua" w:cs="Arial"/>
        </w:rPr>
        <w:t>O</w:t>
      </w:r>
      <w:r w:rsidR="00D4221D">
        <w:rPr>
          <w:rFonts w:ascii="Book Antiqua" w:hAnsi="Book Antiqua" w:cs="Arial"/>
        </w:rPr>
        <w:t xml:space="preserve">n that basis </w:t>
      </w:r>
      <w:r w:rsidR="0000725F">
        <w:rPr>
          <w:rFonts w:ascii="Book Antiqua" w:hAnsi="Book Antiqua" w:cs="Arial"/>
        </w:rPr>
        <w:t xml:space="preserve">the Judge </w:t>
      </w:r>
      <w:r w:rsidR="00D4221D">
        <w:rPr>
          <w:rFonts w:ascii="Book Antiqua" w:hAnsi="Book Antiqua" w:cs="Arial"/>
        </w:rPr>
        <w:t xml:space="preserve">found that he had not been exercising </w:t>
      </w:r>
      <w:r w:rsidR="0000725F">
        <w:rPr>
          <w:rFonts w:ascii="Book Antiqua" w:hAnsi="Book Antiqua" w:cs="Arial"/>
        </w:rPr>
        <w:t>T</w:t>
      </w:r>
      <w:r w:rsidR="00D4221D">
        <w:rPr>
          <w:rFonts w:ascii="Book Antiqua" w:hAnsi="Book Antiqua" w:cs="Arial"/>
        </w:rPr>
        <w:t>rea</w:t>
      </w:r>
      <w:r w:rsidR="001E4DA0">
        <w:rPr>
          <w:rFonts w:ascii="Book Antiqua" w:hAnsi="Book Antiqua" w:cs="Arial"/>
        </w:rPr>
        <w:t xml:space="preserve">ty rights for a continuous </w:t>
      </w:r>
      <w:proofErr w:type="gramStart"/>
      <w:r w:rsidR="001E4DA0">
        <w:rPr>
          <w:rFonts w:ascii="Book Antiqua" w:hAnsi="Book Antiqua" w:cs="Arial"/>
        </w:rPr>
        <w:t xml:space="preserve">five </w:t>
      </w:r>
      <w:r w:rsidR="00D4221D">
        <w:rPr>
          <w:rFonts w:ascii="Book Antiqua" w:hAnsi="Book Antiqua" w:cs="Arial"/>
        </w:rPr>
        <w:t>year</w:t>
      </w:r>
      <w:proofErr w:type="gramEnd"/>
      <w:r w:rsidR="00D4221D">
        <w:rPr>
          <w:rFonts w:ascii="Book Antiqua" w:hAnsi="Book Antiqua" w:cs="Arial"/>
        </w:rPr>
        <w:t xml:space="preserve"> period.  </w:t>
      </w:r>
    </w:p>
    <w:p w:rsidR="00D4221D" w:rsidRPr="00F5664C" w:rsidRDefault="00D4221D" w:rsidP="009A1ED5">
      <w:pPr>
        <w:numPr>
          <w:ilvl w:val="0"/>
          <w:numId w:val="3"/>
        </w:numPr>
        <w:spacing w:before="240"/>
        <w:jc w:val="both"/>
        <w:rPr>
          <w:rFonts w:ascii="Book Antiqua" w:hAnsi="Book Antiqua" w:cs="Arial"/>
        </w:rPr>
      </w:pPr>
      <w:r>
        <w:rPr>
          <w:rFonts w:ascii="Book Antiqua" w:hAnsi="Book Antiqua" w:cs="Arial"/>
        </w:rPr>
        <w:t xml:space="preserve">The Appellant’s representatives in the grounds argue that the </w:t>
      </w:r>
      <w:r w:rsidR="0000725F">
        <w:rPr>
          <w:rFonts w:ascii="Book Antiqua" w:hAnsi="Book Antiqua" w:cs="Arial"/>
        </w:rPr>
        <w:t>Judge</w:t>
      </w:r>
      <w:r>
        <w:rPr>
          <w:rFonts w:ascii="Book Antiqua" w:hAnsi="Book Antiqua" w:cs="Arial"/>
        </w:rPr>
        <w:t xml:space="preserve"> was wrong to say that a period of unpaid leave for the same employer would not mean</w:t>
      </w:r>
      <w:r w:rsidR="0000725F">
        <w:rPr>
          <w:rFonts w:ascii="Book Antiqua" w:hAnsi="Book Antiqua" w:cs="Arial"/>
        </w:rPr>
        <w:t xml:space="preserve"> that</w:t>
      </w:r>
      <w:r>
        <w:rPr>
          <w:rFonts w:ascii="Book Antiqua" w:hAnsi="Book Antiqua" w:cs="Arial"/>
        </w:rPr>
        <w:t xml:space="preserve"> he continued </w:t>
      </w:r>
      <w:r w:rsidR="0000725F">
        <w:rPr>
          <w:rFonts w:ascii="Book Antiqua" w:hAnsi="Book Antiqua" w:cs="Arial"/>
        </w:rPr>
        <w:t xml:space="preserve">to qualify as a </w:t>
      </w:r>
      <w:r>
        <w:rPr>
          <w:rFonts w:ascii="Book Antiqua" w:hAnsi="Book Antiqua" w:cs="Arial"/>
        </w:rPr>
        <w:t>worker.  Ha</w:t>
      </w:r>
      <w:r w:rsidR="007D3424">
        <w:rPr>
          <w:rFonts w:ascii="Book Antiqua" w:hAnsi="Book Antiqua" w:cs="Arial"/>
        </w:rPr>
        <w:t>d</w:t>
      </w:r>
      <w:r>
        <w:rPr>
          <w:rFonts w:ascii="Book Antiqua" w:hAnsi="Book Antiqua" w:cs="Arial"/>
        </w:rPr>
        <w:t xml:space="preserve"> the evidence been satisfactory before the </w:t>
      </w:r>
      <w:r w:rsidR="0000725F">
        <w:rPr>
          <w:rFonts w:ascii="Book Antiqua" w:hAnsi="Book Antiqua" w:cs="Arial"/>
        </w:rPr>
        <w:t>Judge</w:t>
      </w:r>
      <w:r>
        <w:rPr>
          <w:rFonts w:ascii="Book Antiqua" w:hAnsi="Book Antiqua" w:cs="Arial"/>
        </w:rPr>
        <w:t xml:space="preserve"> that that indeed was the case, then I would have been inclined to agree that he would have continued to </w:t>
      </w:r>
      <w:r w:rsidR="0000725F">
        <w:rPr>
          <w:rFonts w:ascii="Book Antiqua" w:hAnsi="Book Antiqua" w:cs="Arial"/>
        </w:rPr>
        <w:t xml:space="preserve">qualify as a </w:t>
      </w:r>
      <w:r>
        <w:rPr>
          <w:rFonts w:ascii="Book Antiqua" w:hAnsi="Book Antiqua" w:cs="Arial"/>
        </w:rPr>
        <w:t xml:space="preserve">worker.  However, there was no evidence from the employer that that was indeed the case.  All the evidence was that </w:t>
      </w:r>
      <w:r w:rsidR="0000725F">
        <w:rPr>
          <w:rFonts w:ascii="Book Antiqua" w:hAnsi="Book Antiqua" w:cs="Arial"/>
        </w:rPr>
        <w:t>there had been</w:t>
      </w:r>
      <w:r>
        <w:rPr>
          <w:rFonts w:ascii="Book Antiqua" w:hAnsi="Book Antiqua" w:cs="Arial"/>
        </w:rPr>
        <w:t xml:space="preserve"> a period of eleven months when he was not working</w:t>
      </w:r>
      <w:r w:rsidR="0000725F">
        <w:rPr>
          <w:rFonts w:ascii="Book Antiqua" w:hAnsi="Book Antiqua" w:cs="Arial"/>
        </w:rPr>
        <w:t>.</w:t>
      </w:r>
      <w:r>
        <w:rPr>
          <w:rFonts w:ascii="Book Antiqua" w:hAnsi="Book Antiqua" w:cs="Arial"/>
        </w:rPr>
        <w:t xml:space="preserve">  I cannot find an error in the </w:t>
      </w:r>
      <w:r w:rsidR="0000725F">
        <w:rPr>
          <w:rFonts w:ascii="Book Antiqua" w:hAnsi="Book Antiqua" w:cs="Arial"/>
        </w:rPr>
        <w:t>Judge</w:t>
      </w:r>
      <w:r>
        <w:rPr>
          <w:rFonts w:ascii="Book Antiqua" w:hAnsi="Book Antiqua" w:cs="Arial"/>
        </w:rPr>
        <w:t xml:space="preserve">’s reasoning in that regard.  He did find the Sponsor’s evidence generally credible and he accepted the reason why he was not working.  </w:t>
      </w:r>
      <w:r w:rsidR="0000725F">
        <w:rPr>
          <w:rFonts w:ascii="Book Antiqua" w:hAnsi="Book Antiqua" w:cs="Arial"/>
        </w:rPr>
        <w:t>T</w:t>
      </w:r>
      <w:r w:rsidR="00016EE3">
        <w:rPr>
          <w:rFonts w:ascii="Book Antiqua" w:hAnsi="Book Antiqua" w:cs="Arial"/>
        </w:rPr>
        <w:t xml:space="preserve">his </w:t>
      </w:r>
      <w:r>
        <w:rPr>
          <w:rFonts w:ascii="Book Antiqua" w:hAnsi="Book Antiqua" w:cs="Arial"/>
        </w:rPr>
        <w:t xml:space="preserve">case had taken two years to come </w:t>
      </w:r>
      <w:r w:rsidR="0000725F">
        <w:rPr>
          <w:rFonts w:ascii="Book Antiqua" w:hAnsi="Book Antiqua" w:cs="Arial"/>
        </w:rPr>
        <w:t>before the</w:t>
      </w:r>
      <w:r>
        <w:rPr>
          <w:rFonts w:ascii="Book Antiqua" w:hAnsi="Book Antiqua" w:cs="Arial"/>
        </w:rPr>
        <w:t xml:space="preserve"> court</w:t>
      </w:r>
      <w:r w:rsidR="0000725F">
        <w:rPr>
          <w:rFonts w:ascii="Book Antiqua" w:hAnsi="Book Antiqua" w:cs="Arial"/>
        </w:rPr>
        <w:t xml:space="preserve"> from the date of the decision.</w:t>
      </w:r>
      <w:r>
        <w:rPr>
          <w:rFonts w:ascii="Book Antiqua" w:hAnsi="Book Antiqua" w:cs="Arial"/>
        </w:rPr>
        <w:t xml:space="preserve"> </w:t>
      </w:r>
      <w:r w:rsidR="0000725F">
        <w:rPr>
          <w:rFonts w:ascii="Book Antiqua" w:hAnsi="Book Antiqua" w:cs="Arial"/>
        </w:rPr>
        <w:t>T</w:t>
      </w:r>
      <w:r>
        <w:rPr>
          <w:rFonts w:ascii="Book Antiqua" w:hAnsi="Book Antiqua" w:cs="Arial"/>
        </w:rPr>
        <w:t xml:space="preserve">he Appellant and Sponsor </w:t>
      </w:r>
      <w:r w:rsidR="0000725F">
        <w:rPr>
          <w:rFonts w:ascii="Book Antiqua" w:hAnsi="Book Antiqua" w:cs="Arial"/>
        </w:rPr>
        <w:t>knew what the difficulties were;</w:t>
      </w:r>
      <w:r>
        <w:rPr>
          <w:rFonts w:ascii="Book Antiqua" w:hAnsi="Book Antiqua" w:cs="Arial"/>
        </w:rPr>
        <w:t xml:space="preserve"> they </w:t>
      </w:r>
      <w:r w:rsidR="0000725F">
        <w:rPr>
          <w:rFonts w:ascii="Book Antiqua" w:hAnsi="Book Antiqua" w:cs="Arial"/>
        </w:rPr>
        <w:t>knew the reason for the refusal;</w:t>
      </w:r>
      <w:r>
        <w:rPr>
          <w:rFonts w:ascii="Book Antiqua" w:hAnsi="Book Antiqua" w:cs="Arial"/>
        </w:rPr>
        <w:t xml:space="preserve"> they knew there was a gap </w:t>
      </w:r>
      <w:r w:rsidR="0000725F">
        <w:rPr>
          <w:rFonts w:ascii="Book Antiqua" w:hAnsi="Book Antiqua" w:cs="Arial"/>
        </w:rPr>
        <w:t>in his working</w:t>
      </w:r>
      <w:r>
        <w:rPr>
          <w:rFonts w:ascii="Book Antiqua" w:hAnsi="Book Antiqua" w:cs="Arial"/>
        </w:rPr>
        <w:t xml:space="preserve"> and had more than ample time to provide the appropriate evidence.  They did not and therefore should not be surprised </w:t>
      </w:r>
      <w:r w:rsidR="0000725F">
        <w:rPr>
          <w:rFonts w:ascii="Book Antiqua" w:hAnsi="Book Antiqua" w:cs="Arial"/>
        </w:rPr>
        <w:t>that</w:t>
      </w:r>
      <w:r>
        <w:rPr>
          <w:rFonts w:ascii="Book Antiqua" w:hAnsi="Book Antiqua" w:cs="Arial"/>
        </w:rPr>
        <w:t xml:space="preserve"> the appeal was dismissed.  For those reasons the appeal to the Upper Tribunal </w:t>
      </w:r>
      <w:r w:rsidR="0000725F">
        <w:rPr>
          <w:rFonts w:ascii="Book Antiqua" w:hAnsi="Book Antiqua" w:cs="Arial"/>
        </w:rPr>
        <w:t>i</w:t>
      </w:r>
      <w:r w:rsidR="00016EE3">
        <w:rPr>
          <w:rFonts w:ascii="Book Antiqua" w:hAnsi="Book Antiqua" w:cs="Arial"/>
        </w:rPr>
        <w:t xml:space="preserve">s </w:t>
      </w:r>
      <w:r>
        <w:rPr>
          <w:rFonts w:ascii="Book Antiqua" w:hAnsi="Book Antiqua" w:cs="Arial"/>
        </w:rPr>
        <w:t>dismissed.</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rsidR="00F13D39" w:rsidRPr="00F13D39" w:rsidRDefault="00F13D39" w:rsidP="00F13D39">
      <w:pPr>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0725F">
        <w:rPr>
          <w:rFonts w:ascii="Book Antiqua" w:hAnsi="Book Antiqua" w:cs="Arial"/>
        </w:rPr>
        <w:t xml:space="preserve"> 16</w:t>
      </w:r>
      <w:r w:rsidR="0000725F" w:rsidRPr="0000725F">
        <w:rPr>
          <w:rFonts w:ascii="Book Antiqua" w:hAnsi="Book Antiqua" w:cs="Arial"/>
          <w:vertAlign w:val="superscript"/>
        </w:rPr>
        <w:t>th</w:t>
      </w:r>
      <w:r w:rsidR="0000725F">
        <w:rPr>
          <w:rFonts w:ascii="Book Antiqua" w:hAnsi="Book Antiqua" w:cs="Arial"/>
        </w:rPr>
        <w:t xml:space="preserve"> August 2018</w:t>
      </w:r>
    </w:p>
    <w:p w:rsidR="00A3206C" w:rsidRDefault="0000725F" w:rsidP="00BD7EB6">
      <w:pPr>
        <w:tabs>
          <w:tab w:val="left" w:pos="2520"/>
        </w:tabs>
        <w:rPr>
          <w:rFonts w:ascii="Book Antiqua" w:hAnsi="Book Antiqua" w:cs="Arial"/>
          <w:noProof/>
        </w:rPr>
      </w:pPr>
      <w:r>
        <w:rPr>
          <w:rFonts w:ascii="Book Antiqua" w:hAnsi="Book Antiqua" w:cs="Arial"/>
        </w:rPr>
        <w:t xml:space="preserve">                   </w:t>
      </w:r>
      <w:r w:rsidR="00A3206C" w:rsidRPr="0000725F">
        <w:rPr>
          <w:rFonts w:ascii="Book Antiqua" w:hAnsi="Book Antiqua" w:cs="Arial"/>
          <w:noProof/>
        </w:rPr>
        <w:drawing>
          <wp:inline distT="0" distB="0" distL="0" distR="0" wp14:anchorId="02175224" wp14:editId="53B6F104">
            <wp:extent cx="1390649" cy="657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8476" cy="660924"/>
                    </a:xfrm>
                    <a:prstGeom prst="rect">
                      <a:avLst/>
                    </a:prstGeom>
                  </pic:spPr>
                </pic:pic>
              </a:graphicData>
            </a:graphic>
          </wp:inline>
        </w:drawing>
      </w:r>
      <w:r>
        <w:rPr>
          <w:rFonts w:ascii="Book Antiqua" w:hAnsi="Book Antiqua" w:cs="Arial"/>
        </w:rPr>
        <w:t xml:space="preserve">  </w:t>
      </w:r>
    </w:p>
    <w:p w:rsidR="005B7789" w:rsidRPr="00F5664C" w:rsidRDefault="00255071" w:rsidP="00BD7EB6">
      <w:pPr>
        <w:tabs>
          <w:tab w:val="left" w:pos="2520"/>
        </w:tabs>
        <w:rPr>
          <w:rFonts w:ascii="Book Antiqua" w:hAnsi="Book Antiqua" w:cs="Arial"/>
        </w:rPr>
      </w:pPr>
      <w:bookmarkStart w:id="1" w:name="_GoBack"/>
      <w:bookmarkEnd w:id="1"/>
      <w:r>
        <w:rPr>
          <w:rFonts w:ascii="Book Antiqua" w:hAnsi="Book Antiqua" w:cs="Arial"/>
        </w:rPr>
        <w:t xml:space="preserve">Upper Tribunal </w:t>
      </w:r>
      <w:r w:rsidR="0000725F">
        <w:rPr>
          <w:rFonts w:ascii="Book Antiqua" w:hAnsi="Book Antiqua" w:cs="Arial"/>
        </w:rPr>
        <w:t>Judge</w:t>
      </w:r>
      <w:r>
        <w:rPr>
          <w:rFonts w:ascii="Book Antiqua" w:hAnsi="Book Antiqua" w:cs="Arial"/>
        </w:rPr>
        <w:t xml:space="preserve"> M</w:t>
      </w:r>
      <w:r w:rsidR="00055F19">
        <w:rPr>
          <w:rFonts w:ascii="Book Antiqua" w:hAnsi="Book Antiqua" w:cs="Arial"/>
        </w:rPr>
        <w:t>artin</w:t>
      </w:r>
    </w:p>
    <w:sectPr w:rsidR="005B7789" w:rsidRPr="00F5664C" w:rsidSect="00BD7EB6">
      <w:headerReference w:type="default" r:id="rId9"/>
      <w:footerReference w:type="default" r:id="rId10"/>
      <w:footerReference w:type="first" r:id="rId11"/>
      <w:pgSz w:w="11906" w:h="16838" w:code="9"/>
      <w:pgMar w:top="709" w:right="1134" w:bottom="42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51D" w:rsidRDefault="006B451D">
      <w:r>
        <w:separator/>
      </w:r>
    </w:p>
  </w:endnote>
  <w:endnote w:type="continuationSeparator" w:id="0">
    <w:p w:rsidR="006B451D" w:rsidRDefault="006B4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466EFB" w:rsidRDefault="00CF253F" w:rsidP="00593795">
    <w:pPr>
      <w:pStyle w:val="Footer"/>
      <w:jc w:val="center"/>
      <w:rPr>
        <w:rFonts w:ascii="Book Antiqua" w:hAnsi="Book Antiqua" w:cs="Arial"/>
      </w:rPr>
    </w:pPr>
    <w:r w:rsidRPr="00466EFB">
      <w:rPr>
        <w:rStyle w:val="PageNumber"/>
        <w:rFonts w:ascii="Book Antiqua" w:hAnsi="Book Antiqua" w:cs="Arial"/>
      </w:rPr>
      <w:fldChar w:fldCharType="begin"/>
    </w:r>
    <w:r w:rsidRPr="00466EFB">
      <w:rPr>
        <w:rStyle w:val="PageNumber"/>
        <w:rFonts w:ascii="Book Antiqua" w:hAnsi="Book Antiqua" w:cs="Arial"/>
      </w:rPr>
      <w:instrText xml:space="preserve"> PAGE </w:instrText>
    </w:r>
    <w:r w:rsidRPr="00466EFB">
      <w:rPr>
        <w:rStyle w:val="PageNumber"/>
        <w:rFonts w:ascii="Book Antiqua" w:hAnsi="Book Antiqua" w:cs="Arial"/>
      </w:rPr>
      <w:fldChar w:fldCharType="separate"/>
    </w:r>
    <w:r w:rsidR="00CA2DF8">
      <w:rPr>
        <w:rStyle w:val="PageNumber"/>
        <w:rFonts w:ascii="Book Antiqua" w:hAnsi="Book Antiqua" w:cs="Arial"/>
        <w:noProof/>
      </w:rPr>
      <w:t>2</w:t>
    </w:r>
    <w:r w:rsidRPr="00466EF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51D" w:rsidRDefault="006B451D">
      <w:r>
        <w:separator/>
      </w:r>
    </w:p>
  </w:footnote>
  <w:footnote w:type="continuationSeparator" w:id="0">
    <w:p w:rsidR="006B451D" w:rsidRDefault="006B4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8160DA">
      <w:rPr>
        <w:rFonts w:ascii="Book Antiqua" w:hAnsi="Book Antiqua" w:cs="Arial"/>
        <w:sz w:val="16"/>
        <w:szCs w:val="16"/>
      </w:rPr>
      <w:t>Appeal Number:</w:t>
    </w:r>
    <w:r w:rsidR="000369F5" w:rsidRPr="008160DA">
      <w:rPr>
        <w:rFonts w:ascii="Book Antiqua" w:hAnsi="Book Antiqua" w:cs="Arial"/>
        <w:sz w:val="16"/>
        <w:szCs w:val="16"/>
      </w:rPr>
      <w:t xml:space="preserve"> </w:t>
    </w:r>
    <w:r w:rsidR="008160DA" w:rsidRPr="008160DA">
      <w:rPr>
        <w:rFonts w:ascii="Book Antiqua" w:hAnsi="Book Antiqua" w:cs="Arial"/>
        <w:caps/>
        <w:sz w:val="16"/>
        <w:szCs w:val="16"/>
      </w:rPr>
      <w:t>EA/00836/2016</w:t>
    </w:r>
  </w:p>
  <w:p w:rsidR="00466EFB" w:rsidRPr="008160DA" w:rsidRDefault="00466EFB"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99A1C02-0612-49F4-B0D6-00F42B9CF664}"/>
    <w:docVar w:name="dgnword-eventsink" w:val="641982624"/>
  </w:docVars>
  <w:rsids>
    <w:rsidRoot w:val="00E66BEB"/>
    <w:rsid w:val="00000621"/>
    <w:rsid w:val="000036C2"/>
    <w:rsid w:val="0000725F"/>
    <w:rsid w:val="00016EE3"/>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5044C"/>
    <w:rsid w:val="00151BB7"/>
    <w:rsid w:val="00167D3A"/>
    <w:rsid w:val="001A1E2C"/>
    <w:rsid w:val="001E2273"/>
    <w:rsid w:val="001E4DA0"/>
    <w:rsid w:val="001F2716"/>
    <w:rsid w:val="0020133A"/>
    <w:rsid w:val="00207617"/>
    <w:rsid w:val="00255071"/>
    <w:rsid w:val="00283659"/>
    <w:rsid w:val="00286D2A"/>
    <w:rsid w:val="002C4E73"/>
    <w:rsid w:val="002D68BF"/>
    <w:rsid w:val="00336CBF"/>
    <w:rsid w:val="003546C8"/>
    <w:rsid w:val="003A7CF2"/>
    <w:rsid w:val="003C5CE5"/>
    <w:rsid w:val="003E267B"/>
    <w:rsid w:val="003E7CD1"/>
    <w:rsid w:val="00402B9E"/>
    <w:rsid w:val="00423932"/>
    <w:rsid w:val="004249CB"/>
    <w:rsid w:val="0044127D"/>
    <w:rsid w:val="004448DB"/>
    <w:rsid w:val="00446C9A"/>
    <w:rsid w:val="00466EFB"/>
    <w:rsid w:val="00477193"/>
    <w:rsid w:val="004A156B"/>
    <w:rsid w:val="004A1848"/>
    <w:rsid w:val="004A295E"/>
    <w:rsid w:val="004E46F3"/>
    <w:rsid w:val="00507FEC"/>
    <w:rsid w:val="00510F0E"/>
    <w:rsid w:val="005479E1"/>
    <w:rsid w:val="005570FD"/>
    <w:rsid w:val="005575EA"/>
    <w:rsid w:val="0057790C"/>
    <w:rsid w:val="00593795"/>
    <w:rsid w:val="005A75FF"/>
    <w:rsid w:val="005B7789"/>
    <w:rsid w:val="005F34DF"/>
    <w:rsid w:val="005F7DB4"/>
    <w:rsid w:val="0065791C"/>
    <w:rsid w:val="00690B8A"/>
    <w:rsid w:val="006B451D"/>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B0824"/>
    <w:rsid w:val="007C0CD9"/>
    <w:rsid w:val="007D3424"/>
    <w:rsid w:val="007D7115"/>
    <w:rsid w:val="008160DA"/>
    <w:rsid w:val="008303B8"/>
    <w:rsid w:val="00833DCE"/>
    <w:rsid w:val="00842418"/>
    <w:rsid w:val="008634DB"/>
    <w:rsid w:val="00871D34"/>
    <w:rsid w:val="00887842"/>
    <w:rsid w:val="008901DD"/>
    <w:rsid w:val="008B270C"/>
    <w:rsid w:val="008C3D3D"/>
    <w:rsid w:val="008D4131"/>
    <w:rsid w:val="008F1932"/>
    <w:rsid w:val="008F294D"/>
    <w:rsid w:val="009062A3"/>
    <w:rsid w:val="00921062"/>
    <w:rsid w:val="0092618D"/>
    <w:rsid w:val="0093083E"/>
    <w:rsid w:val="009325BA"/>
    <w:rsid w:val="009453B3"/>
    <w:rsid w:val="00966ECF"/>
    <w:rsid w:val="009727A3"/>
    <w:rsid w:val="00987774"/>
    <w:rsid w:val="009A11E8"/>
    <w:rsid w:val="009A1ED5"/>
    <w:rsid w:val="009E4E62"/>
    <w:rsid w:val="009F5220"/>
    <w:rsid w:val="009F7C4D"/>
    <w:rsid w:val="00A15234"/>
    <w:rsid w:val="00A201AB"/>
    <w:rsid w:val="00A31C8B"/>
    <w:rsid w:val="00A3206C"/>
    <w:rsid w:val="00A73B50"/>
    <w:rsid w:val="00A75965"/>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D7EB6"/>
    <w:rsid w:val="00BE31CE"/>
    <w:rsid w:val="00BF0573"/>
    <w:rsid w:val="00BF22CA"/>
    <w:rsid w:val="00C26032"/>
    <w:rsid w:val="00C265B0"/>
    <w:rsid w:val="00C321B5"/>
    <w:rsid w:val="00C345E1"/>
    <w:rsid w:val="00C34960"/>
    <w:rsid w:val="00C63AEA"/>
    <w:rsid w:val="00C977BA"/>
    <w:rsid w:val="00CA2DF8"/>
    <w:rsid w:val="00CB6E35"/>
    <w:rsid w:val="00CE1A46"/>
    <w:rsid w:val="00CE26B2"/>
    <w:rsid w:val="00CF253F"/>
    <w:rsid w:val="00CF56B4"/>
    <w:rsid w:val="00D20F09"/>
    <w:rsid w:val="00D22636"/>
    <w:rsid w:val="00D40FD9"/>
    <w:rsid w:val="00D4221D"/>
    <w:rsid w:val="00D45764"/>
    <w:rsid w:val="00D53769"/>
    <w:rsid w:val="00D65912"/>
    <w:rsid w:val="00D85C13"/>
    <w:rsid w:val="00D91BE3"/>
    <w:rsid w:val="00D94AFC"/>
    <w:rsid w:val="00DB70AE"/>
    <w:rsid w:val="00DB7231"/>
    <w:rsid w:val="00DD5071"/>
    <w:rsid w:val="00DD5C39"/>
    <w:rsid w:val="00DE26AF"/>
    <w:rsid w:val="00DE7DB7"/>
    <w:rsid w:val="00DF4446"/>
    <w:rsid w:val="00E00A0A"/>
    <w:rsid w:val="00E07F57"/>
    <w:rsid w:val="00E1040E"/>
    <w:rsid w:val="00E46AEB"/>
    <w:rsid w:val="00E50BCE"/>
    <w:rsid w:val="00E61292"/>
    <w:rsid w:val="00E66BEB"/>
    <w:rsid w:val="00E76309"/>
    <w:rsid w:val="00E77C4D"/>
    <w:rsid w:val="00E77F65"/>
    <w:rsid w:val="00E81D01"/>
    <w:rsid w:val="00EE45D8"/>
    <w:rsid w:val="00F004CD"/>
    <w:rsid w:val="00F13D39"/>
    <w:rsid w:val="00F22A22"/>
    <w:rsid w:val="00F22EDA"/>
    <w:rsid w:val="00F3224D"/>
    <w:rsid w:val="00F33E0E"/>
    <w:rsid w:val="00F509D7"/>
    <w:rsid w:val="00F5664C"/>
    <w:rsid w:val="00FB7E80"/>
    <w:rsid w:val="00FE1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E86E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4116</Characters>
  <Application>Microsoft Office Word</Application>
  <DocSecurity>0</DocSecurity>
  <Lines>34</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2018-09-07T12:33:00Z</dcterms:created>
  <dcterms:modified xsi:type="dcterms:W3CDTF">2018-09-07T12:33:00Z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