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84A" w:rsidRPr="00ED47AD" w:rsidRDefault="00FE1CE8" w:rsidP="0020384A">
      <w:pPr>
        <w:jc w:val="center"/>
        <w:rPr>
          <w:rFonts w:ascii="Book Antiqua" w:hAnsi="Book Antiqua" w:cs="Arial"/>
          <w:color w:val="000000"/>
          <w:sz w:val="16"/>
          <w:szCs w:val="16"/>
        </w:rPr>
      </w:pPr>
      <w:r w:rsidRPr="00ED47AD">
        <w:rPr>
          <w:rFonts w:ascii="Book Antiqua" w:hAnsi="Book Antiqua"/>
          <w:noProof/>
          <w:sz w:val="16"/>
          <w:szCs w:val="16"/>
        </w:rPr>
        <w:drawing>
          <wp:inline distT="0" distB="0" distL="0" distR="0" wp14:anchorId="00AB26CF" wp14:editId="40FC7957">
            <wp:extent cx="1501140" cy="112903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501140" cy="1129030"/>
                    </a:xfrm>
                    <a:prstGeom prst="rect">
                      <a:avLst/>
                    </a:prstGeom>
                    <a:noFill/>
                    <a:ln>
                      <a:noFill/>
                    </a:ln>
                  </pic:spPr>
                </pic:pic>
              </a:graphicData>
            </a:graphic>
          </wp:inline>
        </w:drawing>
      </w:r>
    </w:p>
    <w:p w:rsidR="00ED47AD" w:rsidRPr="00ED47AD" w:rsidRDefault="00ED47AD" w:rsidP="00ED47AD">
      <w:pPr>
        <w:rPr>
          <w:rFonts w:ascii="Book Antiqua" w:hAnsi="Book Antiqua" w:cs="Arial"/>
          <w:color w:val="000000"/>
          <w:sz w:val="16"/>
          <w:szCs w:val="16"/>
        </w:rPr>
      </w:pPr>
    </w:p>
    <w:p w:rsidR="0020384A" w:rsidRPr="00B67284" w:rsidRDefault="0020384A" w:rsidP="0020384A">
      <w:pPr>
        <w:tabs>
          <w:tab w:val="right" w:pos="9720"/>
        </w:tabs>
        <w:ind w:right="-82"/>
        <w:outlineLvl w:val="0"/>
        <w:rPr>
          <w:rFonts w:ascii="Book Antiqua" w:hAnsi="Book Antiqua" w:cs="Arial"/>
          <w:b/>
          <w:color w:val="000000"/>
        </w:rPr>
      </w:pPr>
      <w:r>
        <w:rPr>
          <w:rFonts w:ascii="Book Antiqua" w:hAnsi="Book Antiqua" w:cs="Arial"/>
          <w:b/>
          <w:color w:val="000000"/>
        </w:rPr>
        <w:t xml:space="preserve">Upper </w:t>
      </w:r>
      <w:r w:rsidRPr="00B67284">
        <w:rPr>
          <w:rFonts w:ascii="Book Antiqua" w:hAnsi="Book Antiqua" w:cs="Arial"/>
          <w:b/>
          <w:color w:val="000000"/>
        </w:rPr>
        <w:t xml:space="preserve">Tribunal </w:t>
      </w:r>
    </w:p>
    <w:p w:rsidR="0020384A" w:rsidRPr="00084E08" w:rsidRDefault="0020384A" w:rsidP="0020384A">
      <w:pPr>
        <w:tabs>
          <w:tab w:val="right" w:pos="9720"/>
        </w:tabs>
        <w:ind w:right="-82"/>
        <w:rPr>
          <w:rFonts w:ascii="Book Antiqua" w:hAnsi="Book Antiqua" w:cs="Arial"/>
          <w:b/>
          <w:color w:val="000000"/>
        </w:rPr>
      </w:pPr>
      <w:r w:rsidRPr="00B67284">
        <w:rPr>
          <w:rFonts w:ascii="Book Antiqua" w:hAnsi="Book Antiqua" w:cs="Arial"/>
          <w:b/>
          <w:color w:val="000000"/>
        </w:rPr>
        <w:t>(Immigration and Asylum Chamber)</w:t>
      </w:r>
      <w:r w:rsidRPr="00B67284">
        <w:rPr>
          <w:rFonts w:ascii="Book Antiqua" w:hAnsi="Book Antiqua" w:cs="Arial"/>
          <w:b/>
          <w:color w:val="000000"/>
        </w:rPr>
        <w:tab/>
      </w:r>
      <w:r w:rsidRPr="00031C92">
        <w:rPr>
          <w:rFonts w:ascii="Book Antiqua" w:hAnsi="Book Antiqua" w:cs="Arial"/>
          <w:b/>
          <w:color w:val="000000"/>
        </w:rPr>
        <w:t xml:space="preserve">Appeal Number: </w:t>
      </w:r>
      <w:bookmarkStart w:id="0" w:name="_GoBack"/>
      <w:r w:rsidR="00496FA0">
        <w:rPr>
          <w:rFonts w:ascii="Book Antiqua" w:hAnsi="Book Antiqua" w:cs="Arial"/>
          <w:b/>
          <w:caps/>
          <w:color w:val="000000"/>
        </w:rPr>
        <w:t>E</w:t>
      </w:r>
      <w:r w:rsidR="00104F9E">
        <w:rPr>
          <w:rFonts w:ascii="Book Antiqua" w:hAnsi="Book Antiqua" w:cs="Arial"/>
          <w:b/>
          <w:caps/>
          <w:color w:val="000000"/>
        </w:rPr>
        <w:t>A</w:t>
      </w:r>
      <w:r w:rsidR="00365D4D">
        <w:rPr>
          <w:rFonts w:ascii="Book Antiqua" w:hAnsi="Book Antiqua" w:cs="Arial"/>
          <w:b/>
          <w:caps/>
          <w:color w:val="000000"/>
        </w:rPr>
        <w:t>/</w:t>
      </w:r>
      <w:r w:rsidR="00496FA0">
        <w:rPr>
          <w:rFonts w:ascii="Book Antiqua" w:hAnsi="Book Antiqua" w:cs="Arial"/>
          <w:b/>
          <w:caps/>
          <w:color w:val="000000"/>
        </w:rPr>
        <w:t>01305</w:t>
      </w:r>
      <w:r w:rsidR="00953D03">
        <w:rPr>
          <w:rFonts w:ascii="Book Antiqua" w:hAnsi="Book Antiqua" w:cs="Arial"/>
          <w:b/>
          <w:caps/>
          <w:color w:val="000000"/>
        </w:rPr>
        <w:t>/201</w:t>
      </w:r>
      <w:r w:rsidR="003D416D">
        <w:rPr>
          <w:rFonts w:ascii="Book Antiqua" w:hAnsi="Book Antiqua" w:cs="Arial"/>
          <w:b/>
          <w:caps/>
          <w:color w:val="000000"/>
        </w:rPr>
        <w:t>7</w:t>
      </w:r>
      <w:bookmarkEnd w:id="0"/>
    </w:p>
    <w:p w:rsidR="0020384A" w:rsidRPr="00B67284" w:rsidRDefault="0020384A" w:rsidP="007863DA">
      <w:pPr>
        <w:tabs>
          <w:tab w:val="right" w:pos="9720"/>
        </w:tabs>
        <w:ind w:right="-82"/>
        <w:rPr>
          <w:rFonts w:ascii="Book Antiqua" w:hAnsi="Book Antiqua" w:cs="Arial"/>
          <w:color w:val="000000"/>
        </w:rPr>
      </w:pPr>
      <w:r>
        <w:rPr>
          <w:rFonts w:ascii="Book Antiqua" w:hAnsi="Book Antiqua" w:cs="Arial"/>
          <w:caps/>
          <w:color w:val="000000"/>
        </w:rPr>
        <w:tab/>
      </w:r>
    </w:p>
    <w:p w:rsidR="00ED47AD" w:rsidRDefault="00ED47AD" w:rsidP="0020384A">
      <w:pPr>
        <w:jc w:val="center"/>
        <w:outlineLvl w:val="0"/>
        <w:rPr>
          <w:rFonts w:ascii="Book Antiqua" w:hAnsi="Book Antiqua" w:cs="Arial"/>
          <w:b/>
          <w:color w:val="000000"/>
          <w:u w:val="single"/>
        </w:rPr>
      </w:pPr>
    </w:p>
    <w:p w:rsidR="0020384A" w:rsidRDefault="0020384A" w:rsidP="0020384A">
      <w:pPr>
        <w:jc w:val="center"/>
        <w:outlineLvl w:val="0"/>
        <w:rPr>
          <w:rFonts w:ascii="Book Antiqua" w:hAnsi="Book Antiqua" w:cs="Arial"/>
          <w:b/>
          <w:color w:val="000000"/>
          <w:u w:val="single"/>
        </w:rPr>
      </w:pPr>
      <w:r w:rsidRPr="00B67284">
        <w:rPr>
          <w:rFonts w:ascii="Book Antiqua" w:hAnsi="Book Antiqua" w:cs="Arial"/>
          <w:b/>
          <w:color w:val="000000"/>
          <w:u w:val="single"/>
        </w:rPr>
        <w:t>THE IMMIGRATION ACTS</w:t>
      </w:r>
    </w:p>
    <w:p w:rsidR="00ED47AD" w:rsidRPr="00B67284" w:rsidRDefault="00ED47AD" w:rsidP="0020384A">
      <w:pPr>
        <w:jc w:val="center"/>
        <w:outlineLvl w:val="0"/>
        <w:rPr>
          <w:rFonts w:ascii="Book Antiqua" w:hAnsi="Book Antiqua" w:cs="Arial"/>
          <w:b/>
          <w:color w:val="000000"/>
          <w:u w:val="single"/>
        </w:rPr>
      </w:pPr>
    </w:p>
    <w:p w:rsidR="0020384A" w:rsidRPr="00B67284" w:rsidRDefault="0020384A" w:rsidP="007863DA">
      <w:pPr>
        <w:rPr>
          <w:rFonts w:ascii="Book Antiqua" w:hAnsi="Book Antiqua" w:cs="Arial"/>
          <w:b/>
          <w:u w:val="single"/>
        </w:rPr>
      </w:pPr>
    </w:p>
    <w:tbl>
      <w:tblPr>
        <w:tblW w:w="0" w:type="auto"/>
        <w:tblLook w:val="01E0" w:firstRow="1" w:lastRow="1" w:firstColumn="1" w:lastColumn="1" w:noHBand="0" w:noVBand="0"/>
      </w:tblPr>
      <w:tblGrid>
        <w:gridCol w:w="5916"/>
        <w:gridCol w:w="3722"/>
      </w:tblGrid>
      <w:tr w:rsidR="0020384A" w:rsidRPr="00431C7D">
        <w:tc>
          <w:tcPr>
            <w:tcW w:w="6048" w:type="dxa"/>
          </w:tcPr>
          <w:p w:rsidR="0020384A" w:rsidRPr="00431C7D" w:rsidRDefault="0020384A" w:rsidP="00A9231C">
            <w:pPr>
              <w:jc w:val="both"/>
              <w:rPr>
                <w:rFonts w:ascii="Book Antiqua" w:hAnsi="Book Antiqua" w:cs="Arial"/>
                <w:b/>
              </w:rPr>
            </w:pPr>
            <w:r w:rsidRPr="00431C7D">
              <w:rPr>
                <w:rFonts w:ascii="Book Antiqua" w:hAnsi="Book Antiqua" w:cs="Arial"/>
                <w:b/>
              </w:rPr>
              <w:t xml:space="preserve">Heard </w:t>
            </w:r>
            <w:r w:rsidR="00EF03CE">
              <w:rPr>
                <w:rFonts w:ascii="Book Antiqua" w:hAnsi="Book Antiqua" w:cs="Arial"/>
                <w:b/>
              </w:rPr>
              <w:t xml:space="preserve">at </w:t>
            </w:r>
            <w:r w:rsidR="00496FA0">
              <w:rPr>
                <w:rFonts w:ascii="Book Antiqua" w:hAnsi="Book Antiqua" w:cs="Arial"/>
                <w:b/>
              </w:rPr>
              <w:t>Bradford</w:t>
            </w:r>
          </w:p>
        </w:tc>
        <w:tc>
          <w:tcPr>
            <w:tcW w:w="3780" w:type="dxa"/>
          </w:tcPr>
          <w:p w:rsidR="0020384A" w:rsidRPr="00431C7D" w:rsidRDefault="006453F7" w:rsidP="0020384A">
            <w:pPr>
              <w:jc w:val="both"/>
              <w:rPr>
                <w:rFonts w:ascii="Book Antiqua" w:hAnsi="Book Antiqua" w:cs="Arial"/>
                <w:b/>
                <w:color w:val="000000"/>
              </w:rPr>
            </w:pPr>
            <w:r>
              <w:rPr>
                <w:rFonts w:ascii="Book Antiqua" w:hAnsi="Book Antiqua" w:cs="Arial"/>
                <w:b/>
                <w:color w:val="000000"/>
              </w:rPr>
              <w:t>Decision</w:t>
            </w:r>
            <w:r w:rsidR="0020384A" w:rsidRPr="00431C7D">
              <w:rPr>
                <w:rFonts w:ascii="Book Antiqua" w:hAnsi="Book Antiqua" w:cs="Arial"/>
                <w:b/>
                <w:color w:val="000000"/>
              </w:rPr>
              <w:t xml:space="preserve"> Promulgated</w:t>
            </w:r>
          </w:p>
        </w:tc>
      </w:tr>
      <w:tr w:rsidR="0020384A" w:rsidRPr="00431C7D">
        <w:tc>
          <w:tcPr>
            <w:tcW w:w="6048" w:type="dxa"/>
          </w:tcPr>
          <w:p w:rsidR="0020384A" w:rsidRPr="00431C7D" w:rsidRDefault="002F3E8B" w:rsidP="0020384A">
            <w:pPr>
              <w:jc w:val="both"/>
              <w:rPr>
                <w:rFonts w:ascii="Book Antiqua" w:hAnsi="Book Antiqua" w:cs="Arial"/>
                <w:b/>
              </w:rPr>
            </w:pPr>
            <w:r>
              <w:rPr>
                <w:rFonts w:ascii="Book Antiqua" w:hAnsi="Book Antiqua" w:cs="Arial"/>
                <w:b/>
              </w:rPr>
              <w:t>On 14 August</w:t>
            </w:r>
            <w:r w:rsidR="003D416D">
              <w:rPr>
                <w:rFonts w:ascii="Book Antiqua" w:hAnsi="Book Antiqua" w:cs="Arial"/>
                <w:b/>
              </w:rPr>
              <w:t xml:space="preserve"> 2018</w:t>
            </w:r>
          </w:p>
        </w:tc>
        <w:tc>
          <w:tcPr>
            <w:tcW w:w="3780" w:type="dxa"/>
          </w:tcPr>
          <w:p w:rsidR="0020384A" w:rsidRPr="00431C7D" w:rsidRDefault="003A6C5B" w:rsidP="0020384A">
            <w:pPr>
              <w:jc w:val="both"/>
              <w:rPr>
                <w:rFonts w:ascii="Book Antiqua" w:hAnsi="Book Antiqua" w:cs="Arial"/>
                <w:b/>
              </w:rPr>
            </w:pPr>
            <w:r>
              <w:rPr>
                <w:rFonts w:ascii="Book Antiqua" w:hAnsi="Book Antiqua" w:cs="Arial"/>
                <w:b/>
              </w:rPr>
              <w:t>On 23 August 2018</w:t>
            </w:r>
          </w:p>
        </w:tc>
      </w:tr>
      <w:tr w:rsidR="0020384A" w:rsidRPr="00431C7D">
        <w:tc>
          <w:tcPr>
            <w:tcW w:w="6048" w:type="dxa"/>
          </w:tcPr>
          <w:p w:rsidR="0020384A" w:rsidRPr="00431C7D" w:rsidRDefault="0020384A" w:rsidP="0020384A">
            <w:pPr>
              <w:jc w:val="both"/>
              <w:rPr>
                <w:rFonts w:ascii="Book Antiqua" w:hAnsi="Book Antiqua" w:cs="Arial"/>
                <w:b/>
              </w:rPr>
            </w:pPr>
          </w:p>
        </w:tc>
        <w:tc>
          <w:tcPr>
            <w:tcW w:w="3780" w:type="dxa"/>
          </w:tcPr>
          <w:p w:rsidR="0020384A" w:rsidRPr="00431C7D" w:rsidRDefault="0020384A" w:rsidP="0020384A">
            <w:pPr>
              <w:jc w:val="both"/>
              <w:rPr>
                <w:rFonts w:ascii="Book Antiqua" w:hAnsi="Book Antiqua" w:cs="Arial"/>
                <w:b/>
              </w:rPr>
            </w:pPr>
          </w:p>
        </w:tc>
      </w:tr>
    </w:tbl>
    <w:p w:rsidR="0020384A" w:rsidRPr="00B67284" w:rsidRDefault="0020384A" w:rsidP="0020384A">
      <w:pPr>
        <w:jc w:val="center"/>
        <w:rPr>
          <w:rFonts w:ascii="Book Antiqua" w:hAnsi="Book Antiqua" w:cs="Arial"/>
        </w:rPr>
      </w:pPr>
    </w:p>
    <w:p w:rsidR="0020384A" w:rsidRPr="00B67284" w:rsidRDefault="0020384A" w:rsidP="0020384A">
      <w:pPr>
        <w:jc w:val="center"/>
        <w:outlineLvl w:val="0"/>
        <w:rPr>
          <w:rFonts w:ascii="Book Antiqua" w:hAnsi="Book Antiqua" w:cs="Arial"/>
          <w:b/>
        </w:rPr>
      </w:pPr>
      <w:r w:rsidRPr="00B67284">
        <w:rPr>
          <w:rFonts w:ascii="Book Antiqua" w:hAnsi="Book Antiqua" w:cs="Arial"/>
          <w:b/>
        </w:rPr>
        <w:t>Before</w:t>
      </w:r>
    </w:p>
    <w:p w:rsidR="0020384A" w:rsidRPr="00B67284" w:rsidRDefault="0020384A" w:rsidP="0020384A">
      <w:pPr>
        <w:jc w:val="center"/>
        <w:rPr>
          <w:rFonts w:ascii="Book Antiqua" w:hAnsi="Book Antiqua" w:cs="Arial"/>
          <w:b/>
        </w:rPr>
      </w:pPr>
    </w:p>
    <w:p w:rsidR="0020384A" w:rsidRPr="00B67284" w:rsidRDefault="0020384A" w:rsidP="0020384A">
      <w:pPr>
        <w:jc w:val="center"/>
        <w:outlineLvl w:val="0"/>
        <w:rPr>
          <w:rFonts w:ascii="Book Antiqua" w:hAnsi="Book Antiqua" w:cs="Arial"/>
          <w:b/>
          <w:color w:val="000000"/>
        </w:rPr>
      </w:pPr>
      <w:r w:rsidRPr="00B67284">
        <w:rPr>
          <w:rFonts w:ascii="Book Antiqua" w:hAnsi="Book Antiqua" w:cs="Arial"/>
          <w:b/>
          <w:color w:val="000000"/>
        </w:rPr>
        <w:t xml:space="preserve"> </w:t>
      </w:r>
      <w:r>
        <w:rPr>
          <w:rFonts w:ascii="Book Antiqua" w:hAnsi="Book Antiqua" w:cs="Arial"/>
          <w:b/>
          <w:color w:val="000000"/>
        </w:rPr>
        <w:t xml:space="preserve">UPPER TRIBUNAL </w:t>
      </w:r>
      <w:r w:rsidRPr="00B67284">
        <w:rPr>
          <w:rFonts w:ascii="Book Antiqua" w:hAnsi="Book Antiqua" w:cs="Arial"/>
          <w:b/>
          <w:color w:val="000000"/>
        </w:rPr>
        <w:t xml:space="preserve">JUDGE </w:t>
      </w:r>
      <w:r>
        <w:rPr>
          <w:rFonts w:ascii="Book Antiqua" w:hAnsi="Book Antiqua" w:cs="Arial"/>
          <w:b/>
          <w:color w:val="000000"/>
        </w:rPr>
        <w:t>PLIMMER</w:t>
      </w:r>
    </w:p>
    <w:p w:rsidR="0020384A" w:rsidRDefault="0020384A" w:rsidP="0020384A">
      <w:pPr>
        <w:jc w:val="center"/>
        <w:rPr>
          <w:rFonts w:ascii="Book Antiqua" w:hAnsi="Book Antiqua" w:cs="Arial"/>
          <w:b/>
        </w:rPr>
      </w:pPr>
    </w:p>
    <w:p w:rsidR="00ED47AD" w:rsidRPr="00B67284" w:rsidRDefault="00ED47AD" w:rsidP="0020384A">
      <w:pPr>
        <w:jc w:val="center"/>
        <w:rPr>
          <w:rFonts w:ascii="Book Antiqua" w:hAnsi="Book Antiqua" w:cs="Arial"/>
          <w:b/>
        </w:rPr>
      </w:pPr>
    </w:p>
    <w:p w:rsidR="0020384A" w:rsidRDefault="0020384A" w:rsidP="0020384A">
      <w:pPr>
        <w:jc w:val="center"/>
        <w:outlineLvl w:val="0"/>
        <w:rPr>
          <w:rFonts w:ascii="Book Antiqua" w:hAnsi="Book Antiqua" w:cs="Arial"/>
          <w:b/>
        </w:rPr>
      </w:pPr>
      <w:r w:rsidRPr="00B67284">
        <w:rPr>
          <w:rFonts w:ascii="Book Antiqua" w:hAnsi="Book Antiqua" w:cs="Arial"/>
          <w:b/>
        </w:rPr>
        <w:t>Between</w:t>
      </w:r>
    </w:p>
    <w:p w:rsidR="0038437A" w:rsidRDefault="0038437A" w:rsidP="0020384A">
      <w:pPr>
        <w:jc w:val="center"/>
        <w:outlineLvl w:val="0"/>
        <w:rPr>
          <w:rFonts w:ascii="Book Antiqua" w:hAnsi="Book Antiqua" w:cs="Arial"/>
          <w:b/>
        </w:rPr>
      </w:pPr>
    </w:p>
    <w:p w:rsidR="0020384A" w:rsidRPr="00B67284" w:rsidRDefault="002F3E8B" w:rsidP="0020384A">
      <w:pPr>
        <w:jc w:val="center"/>
        <w:outlineLvl w:val="0"/>
        <w:rPr>
          <w:rFonts w:ascii="Book Antiqua" w:hAnsi="Book Antiqua" w:cs="Arial"/>
          <w:b/>
        </w:rPr>
      </w:pPr>
      <w:r>
        <w:rPr>
          <w:rFonts w:ascii="Book Antiqua" w:hAnsi="Book Antiqua" w:cs="Arial"/>
          <w:b/>
        </w:rPr>
        <w:t>TAULENT KAMOLLI</w:t>
      </w:r>
    </w:p>
    <w:p w:rsidR="0020384A" w:rsidRPr="00B67284" w:rsidRDefault="0020384A" w:rsidP="0020384A">
      <w:pPr>
        <w:jc w:val="right"/>
        <w:outlineLvl w:val="0"/>
        <w:rPr>
          <w:rFonts w:ascii="Book Antiqua" w:hAnsi="Book Antiqua" w:cs="Arial"/>
          <w:u w:val="single"/>
        </w:rPr>
      </w:pPr>
      <w:r w:rsidRPr="00B67284">
        <w:rPr>
          <w:rFonts w:ascii="Book Antiqua" w:hAnsi="Book Antiqua" w:cs="Arial"/>
          <w:u w:val="single"/>
        </w:rPr>
        <w:t>Appellant</w:t>
      </w:r>
    </w:p>
    <w:p w:rsidR="0020384A" w:rsidRDefault="00EE30D7" w:rsidP="0020384A">
      <w:pPr>
        <w:jc w:val="center"/>
        <w:rPr>
          <w:rFonts w:ascii="Book Antiqua" w:hAnsi="Book Antiqua" w:cs="Arial"/>
          <w:b/>
        </w:rPr>
      </w:pPr>
      <w:r>
        <w:rPr>
          <w:rFonts w:ascii="Book Antiqua" w:hAnsi="Book Antiqua" w:cs="Arial"/>
          <w:b/>
        </w:rPr>
        <w:t>a</w:t>
      </w:r>
      <w:r w:rsidR="0020384A" w:rsidRPr="00B67284">
        <w:rPr>
          <w:rFonts w:ascii="Book Antiqua" w:hAnsi="Book Antiqua" w:cs="Arial"/>
          <w:b/>
        </w:rPr>
        <w:t>nd</w:t>
      </w:r>
    </w:p>
    <w:p w:rsidR="00EE30D7" w:rsidRDefault="00EE30D7" w:rsidP="0020384A">
      <w:pPr>
        <w:jc w:val="center"/>
        <w:rPr>
          <w:rFonts w:ascii="Book Antiqua" w:hAnsi="Book Antiqua" w:cs="Arial"/>
          <w:b/>
        </w:rPr>
      </w:pPr>
    </w:p>
    <w:p w:rsidR="005B3D3E" w:rsidRPr="005B3D3E" w:rsidRDefault="002F3E8B" w:rsidP="00104F9E">
      <w:pPr>
        <w:jc w:val="center"/>
        <w:rPr>
          <w:rFonts w:ascii="Book Antiqua" w:hAnsi="Book Antiqua" w:cs="Arial"/>
          <w:b/>
          <w:u w:val="single"/>
        </w:rPr>
      </w:pPr>
      <w:r>
        <w:rPr>
          <w:rFonts w:ascii="Book Antiqua" w:hAnsi="Book Antiqua" w:cs="Arial"/>
          <w:b/>
        </w:rPr>
        <w:t>SECRETARY OF STATE FOR THE HOME DEPARTMENT</w:t>
      </w:r>
    </w:p>
    <w:p w:rsidR="0020384A" w:rsidRPr="00B67284" w:rsidRDefault="0020384A" w:rsidP="0020384A">
      <w:pPr>
        <w:jc w:val="right"/>
        <w:outlineLvl w:val="0"/>
        <w:rPr>
          <w:rFonts w:ascii="Book Antiqua" w:hAnsi="Book Antiqua" w:cs="Arial"/>
          <w:u w:val="single"/>
        </w:rPr>
      </w:pPr>
      <w:r w:rsidRPr="00B67284">
        <w:rPr>
          <w:rFonts w:ascii="Book Antiqua" w:hAnsi="Book Antiqua" w:cs="Arial"/>
          <w:u w:val="single"/>
        </w:rPr>
        <w:t>Respondent</w:t>
      </w:r>
    </w:p>
    <w:p w:rsidR="0020384A" w:rsidRDefault="0020384A" w:rsidP="0020384A">
      <w:pPr>
        <w:rPr>
          <w:rFonts w:ascii="Book Antiqua" w:hAnsi="Book Antiqua" w:cs="Arial"/>
          <w:u w:val="single"/>
        </w:rPr>
      </w:pPr>
    </w:p>
    <w:p w:rsidR="00ED47AD" w:rsidRPr="00B67284" w:rsidRDefault="00ED47AD" w:rsidP="0020384A">
      <w:pPr>
        <w:rPr>
          <w:rFonts w:ascii="Book Antiqua" w:hAnsi="Book Antiqua" w:cs="Arial"/>
          <w:u w:val="single"/>
        </w:rPr>
      </w:pPr>
    </w:p>
    <w:p w:rsidR="0020384A" w:rsidRPr="00B67284" w:rsidRDefault="0020384A" w:rsidP="0020384A">
      <w:pPr>
        <w:outlineLvl w:val="0"/>
        <w:rPr>
          <w:rFonts w:ascii="Book Antiqua" w:hAnsi="Book Antiqua" w:cs="Arial"/>
        </w:rPr>
      </w:pPr>
      <w:r w:rsidRPr="00B67284">
        <w:rPr>
          <w:rFonts w:ascii="Book Antiqua" w:hAnsi="Book Antiqua" w:cs="Arial"/>
          <w:b/>
          <w:u w:val="single"/>
        </w:rPr>
        <w:t>Representation</w:t>
      </w:r>
      <w:r w:rsidRPr="00B67284">
        <w:rPr>
          <w:rFonts w:ascii="Book Antiqua" w:hAnsi="Book Antiqua" w:cs="Arial"/>
          <w:b/>
        </w:rPr>
        <w:t>:</w:t>
      </w:r>
    </w:p>
    <w:p w:rsidR="00CD6FD3" w:rsidRDefault="005B3D3E" w:rsidP="0020384A">
      <w:pPr>
        <w:tabs>
          <w:tab w:val="left" w:pos="2520"/>
        </w:tabs>
        <w:outlineLvl w:val="0"/>
        <w:rPr>
          <w:rFonts w:ascii="Book Antiqua" w:hAnsi="Book Antiqua" w:cs="Arial"/>
        </w:rPr>
      </w:pPr>
      <w:r>
        <w:rPr>
          <w:rFonts w:ascii="Book Antiqua" w:hAnsi="Book Antiqua" w:cs="Arial"/>
        </w:rPr>
        <w:t>For the a</w:t>
      </w:r>
      <w:r w:rsidR="0020384A" w:rsidRPr="00B67284">
        <w:rPr>
          <w:rFonts w:ascii="Book Antiqua" w:hAnsi="Book Antiqua" w:cs="Arial"/>
        </w:rPr>
        <w:t>ppellant:</w:t>
      </w:r>
      <w:r w:rsidR="0020384A" w:rsidRPr="00B67284">
        <w:rPr>
          <w:rFonts w:ascii="Book Antiqua" w:hAnsi="Book Antiqua" w:cs="Arial"/>
        </w:rPr>
        <w:tab/>
      </w:r>
      <w:r w:rsidR="0033168C">
        <w:rPr>
          <w:rFonts w:ascii="Book Antiqua" w:hAnsi="Book Antiqua" w:cs="Arial"/>
        </w:rPr>
        <w:t>M</w:t>
      </w:r>
      <w:r w:rsidR="00074737">
        <w:rPr>
          <w:rFonts w:ascii="Book Antiqua" w:hAnsi="Book Antiqua" w:cs="Arial"/>
        </w:rPr>
        <w:t>r Hussain</w:t>
      </w:r>
      <w:r>
        <w:rPr>
          <w:rFonts w:ascii="Book Antiqua" w:hAnsi="Book Antiqua" w:cs="Arial"/>
        </w:rPr>
        <w:t>,</w:t>
      </w:r>
      <w:r w:rsidR="00074737">
        <w:rPr>
          <w:rFonts w:ascii="Book Antiqua" w:hAnsi="Book Antiqua" w:cs="Arial"/>
        </w:rPr>
        <w:t xml:space="preserve"> Counsel</w:t>
      </w:r>
      <w:r>
        <w:rPr>
          <w:rFonts w:ascii="Book Antiqua" w:hAnsi="Book Antiqua" w:cs="Arial"/>
        </w:rPr>
        <w:t xml:space="preserve"> </w:t>
      </w:r>
    </w:p>
    <w:p w:rsidR="0020384A" w:rsidRPr="00B67284" w:rsidRDefault="005B3D3E" w:rsidP="0038437A">
      <w:pPr>
        <w:tabs>
          <w:tab w:val="left" w:pos="2520"/>
        </w:tabs>
        <w:rPr>
          <w:rFonts w:ascii="Book Antiqua" w:hAnsi="Book Antiqua" w:cs="Arial"/>
        </w:rPr>
      </w:pPr>
      <w:r>
        <w:rPr>
          <w:rFonts w:ascii="Book Antiqua" w:hAnsi="Book Antiqua" w:cs="Arial"/>
        </w:rPr>
        <w:t>For the r</w:t>
      </w:r>
      <w:r w:rsidR="0020384A" w:rsidRPr="00B67284">
        <w:rPr>
          <w:rFonts w:ascii="Book Antiqua" w:hAnsi="Book Antiqua" w:cs="Arial"/>
        </w:rPr>
        <w:t>espondent:</w:t>
      </w:r>
      <w:r w:rsidR="0020384A" w:rsidRPr="00B67284">
        <w:rPr>
          <w:rFonts w:ascii="Book Antiqua" w:hAnsi="Book Antiqua" w:cs="Arial"/>
        </w:rPr>
        <w:tab/>
      </w:r>
      <w:r w:rsidR="002F3E8B">
        <w:rPr>
          <w:rFonts w:ascii="Book Antiqua" w:hAnsi="Book Antiqua" w:cs="Arial"/>
        </w:rPr>
        <w:t>M</w:t>
      </w:r>
      <w:r w:rsidR="00074737">
        <w:rPr>
          <w:rFonts w:ascii="Book Antiqua" w:hAnsi="Book Antiqua" w:cs="Arial"/>
        </w:rPr>
        <w:t>rs Peterson</w:t>
      </w:r>
      <w:r w:rsidR="002F3E8B">
        <w:rPr>
          <w:rFonts w:ascii="Book Antiqua" w:hAnsi="Book Antiqua" w:cs="Arial"/>
        </w:rPr>
        <w:t>, Senior Home Office Presenting Officer</w:t>
      </w:r>
    </w:p>
    <w:p w:rsidR="001734DE" w:rsidRDefault="001734DE" w:rsidP="002F3E8B">
      <w:pPr>
        <w:tabs>
          <w:tab w:val="left" w:pos="2520"/>
        </w:tabs>
        <w:rPr>
          <w:rFonts w:ascii="Book Antiqua" w:hAnsi="Book Antiqua" w:cs="Arial"/>
        </w:rPr>
      </w:pPr>
    </w:p>
    <w:p w:rsidR="00ED47AD" w:rsidRPr="00B67284" w:rsidRDefault="00ED47AD" w:rsidP="002F3E8B">
      <w:pPr>
        <w:tabs>
          <w:tab w:val="left" w:pos="2520"/>
        </w:tabs>
        <w:rPr>
          <w:rFonts w:ascii="Book Antiqua" w:hAnsi="Book Antiqua" w:cs="Arial"/>
        </w:rPr>
      </w:pPr>
    </w:p>
    <w:p w:rsidR="0038437A" w:rsidRDefault="0020384A" w:rsidP="00104F9E">
      <w:pPr>
        <w:tabs>
          <w:tab w:val="left" w:pos="2520"/>
        </w:tabs>
        <w:jc w:val="center"/>
        <w:outlineLvl w:val="0"/>
        <w:rPr>
          <w:rFonts w:ascii="Book Antiqua" w:hAnsi="Book Antiqua" w:cs="Arial"/>
        </w:rPr>
      </w:pPr>
      <w:r w:rsidRPr="00B67284">
        <w:rPr>
          <w:rFonts w:ascii="Book Antiqua" w:hAnsi="Book Antiqua" w:cs="Arial"/>
          <w:b/>
          <w:u w:val="single"/>
        </w:rPr>
        <w:t>DE</w:t>
      </w:r>
      <w:r w:rsidR="00B120DE">
        <w:rPr>
          <w:rFonts w:ascii="Book Antiqua" w:hAnsi="Book Antiqua" w:cs="Arial"/>
          <w:b/>
          <w:u w:val="single"/>
        </w:rPr>
        <w:t>CISION</w:t>
      </w:r>
      <w:r>
        <w:rPr>
          <w:rFonts w:ascii="Book Antiqua" w:hAnsi="Book Antiqua" w:cs="Arial"/>
          <w:b/>
          <w:u w:val="single"/>
        </w:rPr>
        <w:t xml:space="preserve"> AND </w:t>
      </w:r>
      <w:r w:rsidR="006453F7">
        <w:rPr>
          <w:rFonts w:ascii="Book Antiqua" w:hAnsi="Book Antiqua" w:cs="Arial"/>
          <w:b/>
          <w:u w:val="single"/>
        </w:rPr>
        <w:t>REASONS</w:t>
      </w:r>
    </w:p>
    <w:p w:rsidR="001734DE" w:rsidRDefault="001734DE" w:rsidP="00074737">
      <w:pPr>
        <w:pStyle w:val="ColorfulList-Accent11"/>
        <w:ind w:left="0"/>
        <w:jc w:val="both"/>
        <w:rPr>
          <w:rFonts w:ascii="Book Antiqua" w:hAnsi="Book Antiqua" w:cs="Arial"/>
        </w:rPr>
      </w:pPr>
    </w:p>
    <w:p w:rsidR="002F3E8B" w:rsidRDefault="00E659B0" w:rsidP="002F3E8B">
      <w:pPr>
        <w:pStyle w:val="ColorfulList-Accent11"/>
        <w:numPr>
          <w:ilvl w:val="0"/>
          <w:numId w:val="1"/>
        </w:numPr>
        <w:jc w:val="both"/>
        <w:rPr>
          <w:rFonts w:ascii="Book Antiqua" w:hAnsi="Book Antiqua" w:cs="Arial"/>
        </w:rPr>
      </w:pPr>
      <w:r>
        <w:rPr>
          <w:rFonts w:ascii="Book Antiqua" w:hAnsi="Book Antiqua" w:cs="Arial"/>
        </w:rPr>
        <w:t>Th</w:t>
      </w:r>
      <w:r w:rsidR="006453F7">
        <w:rPr>
          <w:rFonts w:ascii="Book Antiqua" w:hAnsi="Book Antiqua" w:cs="Arial"/>
        </w:rPr>
        <w:t xml:space="preserve">is is an appeal </w:t>
      </w:r>
      <w:r w:rsidR="00724508">
        <w:rPr>
          <w:rFonts w:ascii="Book Antiqua" w:hAnsi="Book Antiqua" w:cs="Arial"/>
        </w:rPr>
        <w:t>against</w:t>
      </w:r>
      <w:r w:rsidR="006453F7">
        <w:rPr>
          <w:rFonts w:ascii="Book Antiqua" w:hAnsi="Book Antiqua" w:cs="Arial"/>
        </w:rPr>
        <w:t xml:space="preserve"> a decision of </w:t>
      </w:r>
      <w:r w:rsidR="0038437A">
        <w:rPr>
          <w:rFonts w:ascii="Book Antiqua" w:hAnsi="Book Antiqua" w:cs="Arial"/>
        </w:rPr>
        <w:t>the First-tier Tribunal</w:t>
      </w:r>
      <w:r w:rsidR="00BB2214">
        <w:rPr>
          <w:rFonts w:ascii="Book Antiqua" w:hAnsi="Book Antiqua" w:cs="Arial"/>
        </w:rPr>
        <w:t xml:space="preserve"> </w:t>
      </w:r>
      <w:r w:rsidR="002D5F9B">
        <w:rPr>
          <w:rFonts w:ascii="Book Antiqua" w:hAnsi="Book Antiqua" w:cs="Arial"/>
        </w:rPr>
        <w:t xml:space="preserve">(‘FTT’) </w:t>
      </w:r>
      <w:r w:rsidR="002F3E8B">
        <w:rPr>
          <w:rFonts w:ascii="Book Antiqua" w:hAnsi="Book Antiqua" w:cs="Arial"/>
        </w:rPr>
        <w:t>dated 30 October</w:t>
      </w:r>
      <w:r w:rsidR="00E54AE0">
        <w:rPr>
          <w:rFonts w:ascii="Book Antiqua" w:hAnsi="Book Antiqua" w:cs="Arial"/>
        </w:rPr>
        <w:t xml:space="preserve"> </w:t>
      </w:r>
      <w:r w:rsidR="00104F9E">
        <w:rPr>
          <w:rFonts w:ascii="Book Antiqua" w:hAnsi="Book Antiqua" w:cs="Arial"/>
        </w:rPr>
        <w:t>2017</w:t>
      </w:r>
      <w:r w:rsidR="005D018F">
        <w:rPr>
          <w:rFonts w:ascii="Book Antiqua" w:hAnsi="Book Antiqua" w:cs="Arial"/>
        </w:rPr>
        <w:t>,</w:t>
      </w:r>
      <w:r w:rsidR="006453F7">
        <w:rPr>
          <w:rFonts w:ascii="Book Antiqua" w:hAnsi="Book Antiqua" w:cs="Arial"/>
        </w:rPr>
        <w:t xml:space="preserve"> </w:t>
      </w:r>
      <w:r w:rsidR="002F3E8B">
        <w:rPr>
          <w:rFonts w:ascii="Book Antiqua" w:hAnsi="Book Antiqua" w:cs="Arial"/>
        </w:rPr>
        <w:t>in which it dismiss</w:t>
      </w:r>
      <w:r w:rsidR="005D018F">
        <w:rPr>
          <w:rFonts w:ascii="Book Antiqua" w:hAnsi="Book Antiqua" w:cs="Arial"/>
        </w:rPr>
        <w:t>ed the</w:t>
      </w:r>
      <w:r w:rsidR="006453F7">
        <w:rPr>
          <w:rFonts w:ascii="Book Antiqua" w:hAnsi="Book Antiqua" w:cs="Arial"/>
        </w:rPr>
        <w:t xml:space="preserve"> </w:t>
      </w:r>
      <w:r w:rsidR="002F3E8B">
        <w:rPr>
          <w:rFonts w:ascii="Book Antiqua" w:hAnsi="Book Antiqua" w:cs="Arial"/>
        </w:rPr>
        <w:t xml:space="preserve">appellant’s </w:t>
      </w:r>
      <w:r w:rsidR="006453F7">
        <w:rPr>
          <w:rFonts w:ascii="Book Antiqua" w:hAnsi="Book Antiqua" w:cs="Arial"/>
        </w:rPr>
        <w:t>appeal</w:t>
      </w:r>
      <w:r w:rsidR="002F3E8B">
        <w:rPr>
          <w:rFonts w:ascii="Book Antiqua" w:hAnsi="Book Antiqua" w:cs="Arial"/>
        </w:rPr>
        <w:t>, having found that the respondent was entitled to deport him pursuant to the Immigration (European Economic Area) Regulations 2016 (‘the 2016 Regs’).</w:t>
      </w:r>
    </w:p>
    <w:p w:rsidR="00104F9E" w:rsidRPr="00D83308" w:rsidRDefault="00104F9E" w:rsidP="00D83308">
      <w:pPr>
        <w:pStyle w:val="ColorfulList-Accent11"/>
        <w:ind w:left="0"/>
        <w:jc w:val="both"/>
        <w:rPr>
          <w:rFonts w:ascii="Book Antiqua" w:hAnsi="Book Antiqua" w:cs="Arial"/>
          <w:b/>
        </w:rPr>
      </w:pPr>
    </w:p>
    <w:p w:rsidR="006021AA" w:rsidRDefault="006021AA" w:rsidP="00D83308">
      <w:pPr>
        <w:pStyle w:val="ColorfulList-Accent11"/>
        <w:ind w:left="0"/>
        <w:jc w:val="both"/>
        <w:rPr>
          <w:rFonts w:ascii="Book Antiqua" w:hAnsi="Book Antiqua" w:cs="Arial"/>
          <w:b/>
        </w:rPr>
      </w:pPr>
    </w:p>
    <w:p w:rsidR="006021AA" w:rsidRDefault="006021AA" w:rsidP="00D83308">
      <w:pPr>
        <w:pStyle w:val="ColorfulList-Accent11"/>
        <w:ind w:left="0"/>
        <w:jc w:val="both"/>
        <w:rPr>
          <w:rFonts w:ascii="Book Antiqua" w:hAnsi="Book Antiqua" w:cs="Arial"/>
          <w:b/>
        </w:rPr>
      </w:pPr>
    </w:p>
    <w:p w:rsidR="00D83308" w:rsidRPr="00D83308" w:rsidRDefault="00D83308" w:rsidP="00D83308">
      <w:pPr>
        <w:pStyle w:val="ColorfulList-Accent11"/>
        <w:ind w:left="0"/>
        <w:jc w:val="both"/>
        <w:rPr>
          <w:rFonts w:ascii="Book Antiqua" w:hAnsi="Book Antiqua" w:cs="Arial"/>
          <w:b/>
        </w:rPr>
      </w:pPr>
      <w:r w:rsidRPr="00D83308">
        <w:rPr>
          <w:rFonts w:ascii="Book Antiqua" w:hAnsi="Book Antiqua" w:cs="Arial"/>
          <w:b/>
        </w:rPr>
        <w:lastRenderedPageBreak/>
        <w:t>Background</w:t>
      </w:r>
    </w:p>
    <w:p w:rsidR="00D83308" w:rsidRDefault="00D83308" w:rsidP="00D83308">
      <w:pPr>
        <w:pStyle w:val="ColorfulList-Accent11"/>
        <w:ind w:left="0"/>
        <w:jc w:val="both"/>
        <w:rPr>
          <w:rFonts w:ascii="Book Antiqua" w:hAnsi="Book Antiqua" w:cs="Arial"/>
        </w:rPr>
      </w:pPr>
    </w:p>
    <w:p w:rsidR="002F3E8B" w:rsidRDefault="00104F9E" w:rsidP="00D83308">
      <w:pPr>
        <w:pStyle w:val="ColorfulList-Accent11"/>
        <w:numPr>
          <w:ilvl w:val="0"/>
          <w:numId w:val="1"/>
        </w:numPr>
        <w:jc w:val="both"/>
        <w:rPr>
          <w:rFonts w:ascii="Book Antiqua" w:hAnsi="Book Antiqua" w:cs="Arial"/>
        </w:rPr>
      </w:pPr>
      <w:r>
        <w:rPr>
          <w:rFonts w:ascii="Book Antiqua" w:hAnsi="Book Antiqua" w:cs="Arial"/>
        </w:rPr>
        <w:t xml:space="preserve">The </w:t>
      </w:r>
      <w:r w:rsidR="002F3E8B">
        <w:rPr>
          <w:rFonts w:ascii="Book Antiqua" w:hAnsi="Book Antiqua" w:cs="Arial"/>
        </w:rPr>
        <w:t xml:space="preserve">appellant </w:t>
      </w:r>
      <w:r>
        <w:rPr>
          <w:rFonts w:ascii="Book Antiqua" w:hAnsi="Book Antiqua" w:cs="Arial"/>
        </w:rPr>
        <w:t>is</w:t>
      </w:r>
      <w:r w:rsidR="005B3D3E">
        <w:rPr>
          <w:rFonts w:ascii="Book Antiqua" w:hAnsi="Book Antiqua" w:cs="Arial"/>
        </w:rPr>
        <w:t xml:space="preserve"> a citizen of </w:t>
      </w:r>
      <w:r w:rsidR="002F3E8B">
        <w:rPr>
          <w:rFonts w:ascii="Book Antiqua" w:hAnsi="Book Antiqua" w:cs="Arial"/>
        </w:rPr>
        <w:t xml:space="preserve">Albania.  He married a citizen of </w:t>
      </w:r>
      <w:r w:rsidR="00E54AE0">
        <w:rPr>
          <w:rFonts w:ascii="Book Antiqua" w:hAnsi="Book Antiqua" w:cs="Arial"/>
        </w:rPr>
        <w:t>Poland</w:t>
      </w:r>
      <w:r w:rsidR="002F3E8B">
        <w:rPr>
          <w:rFonts w:ascii="Book Antiqua" w:hAnsi="Book Antiqua" w:cs="Arial"/>
        </w:rPr>
        <w:t xml:space="preserve"> in 2006 and they have two children I shall refer to as A (born in 2007) and B (born in February 2013).  He has another child with a different mother, who I shall refer to as C (born in November 2013</w:t>
      </w:r>
      <w:r w:rsidR="00D911E5">
        <w:rPr>
          <w:rFonts w:ascii="Book Antiqua" w:hAnsi="Book Antiqua" w:cs="Arial"/>
        </w:rPr>
        <w:t>)</w:t>
      </w:r>
      <w:r w:rsidR="002F3E8B">
        <w:rPr>
          <w:rFonts w:ascii="Book Antiqua" w:hAnsi="Book Antiqua" w:cs="Arial"/>
        </w:rPr>
        <w:t>.</w:t>
      </w:r>
    </w:p>
    <w:p w:rsidR="00E138BA" w:rsidRDefault="00E138BA" w:rsidP="00E138BA">
      <w:pPr>
        <w:pStyle w:val="ColorfulList-Accent11"/>
        <w:ind w:left="1280"/>
        <w:jc w:val="both"/>
        <w:rPr>
          <w:rFonts w:ascii="Book Antiqua" w:hAnsi="Book Antiqua" w:cs="Arial"/>
        </w:rPr>
      </w:pPr>
    </w:p>
    <w:p w:rsidR="006B1941" w:rsidRDefault="002F3E8B" w:rsidP="00D83308">
      <w:pPr>
        <w:pStyle w:val="ColorfulList-Accent11"/>
        <w:numPr>
          <w:ilvl w:val="0"/>
          <w:numId w:val="1"/>
        </w:numPr>
        <w:jc w:val="both"/>
        <w:rPr>
          <w:rFonts w:ascii="Book Antiqua" w:hAnsi="Book Antiqua" w:cs="Arial"/>
        </w:rPr>
      </w:pPr>
      <w:r>
        <w:rPr>
          <w:rFonts w:ascii="Book Antiqua" w:hAnsi="Book Antiqua" w:cs="Arial"/>
        </w:rPr>
        <w:t xml:space="preserve">The appellant was issued with an EEA family permit on the </w:t>
      </w:r>
      <w:r w:rsidR="00A55426">
        <w:rPr>
          <w:rFonts w:ascii="Book Antiqua" w:hAnsi="Book Antiqua" w:cs="Arial"/>
        </w:rPr>
        <w:t xml:space="preserve">basis of his marriage on </w:t>
      </w:r>
      <w:r w:rsidR="00F144E5">
        <w:rPr>
          <w:rFonts w:ascii="Book Antiqua" w:hAnsi="Book Antiqua" w:cs="Arial"/>
        </w:rPr>
        <w:t>15 May 2006 and</w:t>
      </w:r>
      <w:r w:rsidR="006B1941">
        <w:rPr>
          <w:rFonts w:ascii="Book Antiqua" w:hAnsi="Book Antiqua" w:cs="Arial"/>
        </w:rPr>
        <w:t xml:space="preserve"> entered the UK on 19 M</w:t>
      </w:r>
      <w:r w:rsidR="00A55426">
        <w:rPr>
          <w:rFonts w:ascii="Book Antiqua" w:hAnsi="Book Antiqua" w:cs="Arial"/>
        </w:rPr>
        <w:t>ay 2006</w:t>
      </w:r>
      <w:r w:rsidR="006B1941">
        <w:rPr>
          <w:rFonts w:ascii="Book Antiqua" w:hAnsi="Book Antiqua" w:cs="Arial"/>
        </w:rPr>
        <w:t>.  On 23 November 2013 he was issued with an EEA permanent residence card.</w:t>
      </w:r>
    </w:p>
    <w:p w:rsidR="006B1941" w:rsidRDefault="006B1941" w:rsidP="006B1941">
      <w:pPr>
        <w:pStyle w:val="ColorfulList-Accent11"/>
        <w:ind w:left="1280"/>
        <w:jc w:val="both"/>
        <w:rPr>
          <w:rFonts w:ascii="Book Antiqua" w:hAnsi="Book Antiqua" w:cs="Arial"/>
        </w:rPr>
      </w:pPr>
    </w:p>
    <w:p w:rsidR="00E54AE0" w:rsidRDefault="006B1941" w:rsidP="00D83308">
      <w:pPr>
        <w:pStyle w:val="ColorfulList-Accent11"/>
        <w:numPr>
          <w:ilvl w:val="0"/>
          <w:numId w:val="1"/>
        </w:numPr>
        <w:jc w:val="both"/>
        <w:rPr>
          <w:rFonts w:ascii="Book Antiqua" w:hAnsi="Book Antiqua" w:cs="Arial"/>
        </w:rPr>
      </w:pPr>
      <w:r>
        <w:rPr>
          <w:rFonts w:ascii="Book Antiqua" w:hAnsi="Book Antiqua" w:cs="Arial"/>
        </w:rPr>
        <w:t>The appellant has three convictions: driving over the limit for which he was fined in 2007; possessing a dangerous dog out of control for which he was also fined in 2015, and; production of cannabis and possession of cocaine for which he was sentenced to 18 months imprisonment from 12 July 2016.</w:t>
      </w:r>
      <w:r w:rsidR="00104F9E">
        <w:rPr>
          <w:rFonts w:ascii="Book Antiqua" w:hAnsi="Book Antiqua" w:cs="Arial"/>
        </w:rPr>
        <w:t xml:space="preserve">  </w:t>
      </w:r>
      <w:r>
        <w:rPr>
          <w:rFonts w:ascii="Book Antiqua" w:hAnsi="Book Antiqua" w:cs="Arial"/>
        </w:rPr>
        <w:t>When released from prison on 20 April 2017 he returned to the matrimonial home with his wife, A and B.  However, his wife left the address with A and B in July 2017 having discovered that whilst in prison the appellant was visited by C and her mother.</w:t>
      </w:r>
    </w:p>
    <w:p w:rsidR="00E54AE0" w:rsidRDefault="00E54AE0" w:rsidP="00E54AE0">
      <w:pPr>
        <w:pStyle w:val="ColorfulList-Accent11"/>
        <w:ind w:left="1280"/>
        <w:jc w:val="both"/>
        <w:rPr>
          <w:rFonts w:ascii="Book Antiqua" w:hAnsi="Book Antiqua" w:cs="Arial"/>
        </w:rPr>
      </w:pPr>
    </w:p>
    <w:p w:rsidR="00E54AE0" w:rsidRDefault="006B1941" w:rsidP="00D83308">
      <w:pPr>
        <w:pStyle w:val="ColorfulList-Accent11"/>
        <w:numPr>
          <w:ilvl w:val="0"/>
          <w:numId w:val="1"/>
        </w:numPr>
        <w:jc w:val="both"/>
        <w:rPr>
          <w:rFonts w:ascii="Book Antiqua" w:hAnsi="Book Antiqua" w:cs="Arial"/>
        </w:rPr>
      </w:pPr>
      <w:r>
        <w:rPr>
          <w:rFonts w:ascii="Book Antiqua" w:hAnsi="Book Antiqua" w:cs="Arial"/>
        </w:rPr>
        <w:t xml:space="preserve">In light of the 2016 offence, on 11 July 2016, </w:t>
      </w:r>
      <w:r w:rsidR="00D911E5">
        <w:rPr>
          <w:rFonts w:ascii="Book Antiqua" w:hAnsi="Book Antiqua" w:cs="Arial"/>
        </w:rPr>
        <w:t xml:space="preserve">a </w:t>
      </w:r>
      <w:r>
        <w:rPr>
          <w:rFonts w:ascii="Book Antiqua" w:hAnsi="Book Antiqua" w:cs="Arial"/>
        </w:rPr>
        <w:t xml:space="preserve">notice of liability to deportation was served upon the appellant.  His permanent residence card was revoked on 20 December 2016.  </w:t>
      </w:r>
      <w:r w:rsidR="006A46BB">
        <w:rPr>
          <w:rFonts w:ascii="Book Antiqua" w:hAnsi="Book Antiqua" w:cs="Arial"/>
        </w:rPr>
        <w:t xml:space="preserve">In a </w:t>
      </w:r>
      <w:r>
        <w:rPr>
          <w:rFonts w:ascii="Book Antiqua" w:hAnsi="Book Antiqua" w:cs="Arial"/>
        </w:rPr>
        <w:t xml:space="preserve">decision dated </w:t>
      </w:r>
      <w:r w:rsidR="006A46BB">
        <w:rPr>
          <w:rFonts w:ascii="Book Antiqua" w:hAnsi="Book Antiqua" w:cs="Arial"/>
        </w:rPr>
        <w:t>1 March 2017 the respondent made a</w:t>
      </w:r>
      <w:r w:rsidR="00E54AE0">
        <w:rPr>
          <w:rFonts w:ascii="Book Antiqua" w:hAnsi="Book Antiqua" w:cs="Arial"/>
        </w:rPr>
        <w:t xml:space="preserve"> deportation order against the </w:t>
      </w:r>
      <w:r w:rsidR="006A46BB">
        <w:rPr>
          <w:rFonts w:ascii="Book Antiqua" w:hAnsi="Book Antiqua" w:cs="Arial"/>
        </w:rPr>
        <w:t>appellant.</w:t>
      </w:r>
      <w:r w:rsidR="00D911E5">
        <w:rPr>
          <w:rFonts w:ascii="Book Antiqua" w:hAnsi="Book Antiqua" w:cs="Arial"/>
        </w:rPr>
        <w:t xml:space="preserve">  The respondent</w:t>
      </w:r>
      <w:r w:rsidR="00E54AE0">
        <w:rPr>
          <w:rFonts w:ascii="Book Antiqua" w:hAnsi="Book Antiqua" w:cs="Arial"/>
        </w:rPr>
        <w:t xml:space="preserve"> accept</w:t>
      </w:r>
      <w:r w:rsidR="00D911E5">
        <w:rPr>
          <w:rFonts w:ascii="Book Antiqua" w:hAnsi="Book Antiqua" w:cs="Arial"/>
        </w:rPr>
        <w:t>ed</w:t>
      </w:r>
      <w:r w:rsidR="00E54AE0">
        <w:rPr>
          <w:rFonts w:ascii="Book Antiqua" w:hAnsi="Book Antiqua" w:cs="Arial"/>
        </w:rPr>
        <w:t xml:space="preserve"> that the claimant </w:t>
      </w:r>
      <w:r w:rsidR="00D911E5">
        <w:rPr>
          <w:rFonts w:ascii="Book Antiqua" w:hAnsi="Book Antiqua" w:cs="Arial"/>
        </w:rPr>
        <w:t xml:space="preserve">had </w:t>
      </w:r>
      <w:r w:rsidR="00E54AE0">
        <w:rPr>
          <w:rFonts w:ascii="Book Antiqua" w:hAnsi="Book Antiqua" w:cs="Arial"/>
        </w:rPr>
        <w:t xml:space="preserve">acquired a </w:t>
      </w:r>
      <w:r w:rsidR="00D911E5">
        <w:rPr>
          <w:rFonts w:ascii="Book Antiqua" w:hAnsi="Book Antiqua" w:cs="Arial"/>
        </w:rPr>
        <w:t xml:space="preserve">permanent right of residence but </w:t>
      </w:r>
      <w:r w:rsidR="00E54AE0">
        <w:rPr>
          <w:rFonts w:ascii="Book Antiqua" w:hAnsi="Book Antiqua" w:cs="Arial"/>
        </w:rPr>
        <w:t xml:space="preserve">had </w:t>
      </w:r>
      <w:r w:rsidR="00A43D92">
        <w:rPr>
          <w:rFonts w:ascii="Book Antiqua" w:hAnsi="Book Antiqua" w:cs="Arial"/>
        </w:rPr>
        <w:t xml:space="preserve">not </w:t>
      </w:r>
      <w:r w:rsidR="00E54AE0">
        <w:rPr>
          <w:rFonts w:ascii="Book Antiqua" w:hAnsi="Book Antiqua" w:cs="Arial"/>
        </w:rPr>
        <w:t xml:space="preserve">resided in the UK for a continuous period of 10 years and therefore assessed whether his deportation was justified on </w:t>
      </w:r>
      <w:r w:rsidR="00D911E5">
        <w:rPr>
          <w:rFonts w:ascii="Book Antiqua" w:hAnsi="Book Antiqua" w:cs="Arial"/>
        </w:rPr>
        <w:t xml:space="preserve">serious </w:t>
      </w:r>
      <w:r w:rsidR="00E54AE0">
        <w:rPr>
          <w:rFonts w:ascii="Book Antiqua" w:hAnsi="Book Antiqua" w:cs="Arial"/>
        </w:rPr>
        <w:t>grounds of public policy or public security</w:t>
      </w:r>
      <w:r w:rsidR="00D911E5">
        <w:rPr>
          <w:rFonts w:ascii="Book Antiqua" w:hAnsi="Book Antiqua" w:cs="Arial"/>
        </w:rPr>
        <w:t xml:space="preserve"> (‘serious grounds’)</w:t>
      </w:r>
      <w:r w:rsidR="00E54AE0">
        <w:rPr>
          <w:rFonts w:ascii="Book Antiqua" w:hAnsi="Book Antiqua" w:cs="Arial"/>
        </w:rPr>
        <w:t>.</w:t>
      </w:r>
      <w:r w:rsidR="006A46BB">
        <w:rPr>
          <w:rFonts w:ascii="Book Antiqua" w:hAnsi="Book Antiqua" w:cs="Arial"/>
        </w:rPr>
        <w:t xml:space="preserve">  </w:t>
      </w:r>
    </w:p>
    <w:p w:rsidR="0092472C" w:rsidRDefault="0092472C" w:rsidP="00C54492">
      <w:pPr>
        <w:pStyle w:val="ColorfulList-Accent11"/>
        <w:ind w:left="0"/>
        <w:jc w:val="both"/>
        <w:rPr>
          <w:rFonts w:ascii="Book Antiqua" w:hAnsi="Book Antiqua" w:cs="Arial"/>
        </w:rPr>
      </w:pPr>
    </w:p>
    <w:p w:rsidR="00A43D92" w:rsidRPr="00A43D92" w:rsidRDefault="00A43D92" w:rsidP="00C54492">
      <w:pPr>
        <w:pStyle w:val="ColorfulList-Accent11"/>
        <w:ind w:left="0"/>
        <w:jc w:val="both"/>
        <w:rPr>
          <w:rFonts w:ascii="Book Antiqua" w:hAnsi="Book Antiqua" w:cs="Arial"/>
          <w:b/>
        </w:rPr>
      </w:pPr>
      <w:r w:rsidRPr="00A43D92">
        <w:rPr>
          <w:rFonts w:ascii="Book Antiqua" w:hAnsi="Book Antiqua" w:cs="Arial"/>
          <w:b/>
        </w:rPr>
        <w:t>FTT</w:t>
      </w:r>
    </w:p>
    <w:p w:rsidR="00A43D92" w:rsidRDefault="00A43D92" w:rsidP="00C54492">
      <w:pPr>
        <w:pStyle w:val="ColorfulList-Accent11"/>
        <w:ind w:left="0"/>
        <w:jc w:val="both"/>
        <w:rPr>
          <w:rFonts w:ascii="Book Antiqua" w:hAnsi="Book Antiqua" w:cs="Arial"/>
        </w:rPr>
      </w:pPr>
    </w:p>
    <w:p w:rsidR="00D83308" w:rsidRPr="006A46BB" w:rsidRDefault="006A46BB" w:rsidP="006A46BB">
      <w:pPr>
        <w:pStyle w:val="ColorfulList-Accent11"/>
        <w:numPr>
          <w:ilvl w:val="0"/>
          <w:numId w:val="1"/>
        </w:numPr>
        <w:jc w:val="both"/>
        <w:rPr>
          <w:rFonts w:ascii="Book Antiqua" w:hAnsi="Book Antiqua" w:cs="Arial"/>
        </w:rPr>
      </w:pPr>
      <w:r>
        <w:rPr>
          <w:rFonts w:ascii="Book Antiqua" w:hAnsi="Book Antiqua" w:cs="Arial"/>
        </w:rPr>
        <w:t>At [30</w:t>
      </w:r>
      <w:r w:rsidR="001E383F">
        <w:rPr>
          <w:rFonts w:ascii="Book Antiqua" w:hAnsi="Book Antiqua" w:cs="Arial"/>
        </w:rPr>
        <w:t>]</w:t>
      </w:r>
      <w:r>
        <w:rPr>
          <w:rFonts w:ascii="Book Antiqua" w:hAnsi="Book Antiqua" w:cs="Arial"/>
        </w:rPr>
        <w:t xml:space="preserve"> t</w:t>
      </w:r>
      <w:r w:rsidR="0094725E">
        <w:rPr>
          <w:rFonts w:ascii="Book Antiqua" w:hAnsi="Book Antiqua" w:cs="Arial"/>
        </w:rPr>
        <w:t xml:space="preserve">he </w:t>
      </w:r>
      <w:r w:rsidR="00F126C7">
        <w:rPr>
          <w:rFonts w:ascii="Book Antiqua" w:hAnsi="Book Antiqua" w:cs="Arial"/>
        </w:rPr>
        <w:t>FTT</w:t>
      </w:r>
      <w:r>
        <w:rPr>
          <w:rFonts w:ascii="Book Antiqua" w:hAnsi="Book Antiqua" w:cs="Arial"/>
        </w:rPr>
        <w:t xml:space="preserve"> concluded that the </w:t>
      </w:r>
      <w:r w:rsidRPr="00D911E5">
        <w:rPr>
          <w:rFonts w:ascii="Book Antiqua" w:hAnsi="Book Antiqua" w:cs="Arial"/>
        </w:rPr>
        <w:t>serious</w:t>
      </w:r>
      <w:r>
        <w:rPr>
          <w:rFonts w:ascii="Book Antiqua" w:hAnsi="Book Antiqua" w:cs="Arial"/>
        </w:rPr>
        <w:t xml:space="preserve"> grounds threshold had been met</w:t>
      </w:r>
      <w:r w:rsidR="00A43D92">
        <w:rPr>
          <w:rFonts w:ascii="Book Antiqua" w:hAnsi="Book Antiqua" w:cs="Arial"/>
        </w:rPr>
        <w:t xml:space="preserve"> and dismissed the appeal</w:t>
      </w:r>
      <w:r>
        <w:rPr>
          <w:rFonts w:ascii="Book Antiqua" w:hAnsi="Book Antiqua" w:cs="Arial"/>
        </w:rPr>
        <w:t xml:space="preserve">.  The FTT did not consider whether the appellant </w:t>
      </w:r>
      <w:r w:rsidR="00CA5C42" w:rsidRPr="006A46BB">
        <w:rPr>
          <w:rFonts w:ascii="Book Antiqua" w:hAnsi="Book Antiqua" w:cs="Arial"/>
        </w:rPr>
        <w:t xml:space="preserve">was </w:t>
      </w:r>
      <w:r w:rsidR="00D83308" w:rsidRPr="006A46BB">
        <w:rPr>
          <w:rFonts w:ascii="Book Antiqua" w:hAnsi="Book Antiqua" w:cs="Arial"/>
        </w:rPr>
        <w:t xml:space="preserve">entitled to benefit from the </w:t>
      </w:r>
      <w:r w:rsidR="00D83308" w:rsidRPr="00D911E5">
        <w:rPr>
          <w:rFonts w:ascii="Book Antiqua" w:hAnsi="Book Antiqua" w:cs="Arial"/>
        </w:rPr>
        <w:t>enhanced</w:t>
      </w:r>
      <w:r w:rsidR="00D83308" w:rsidRPr="006A46BB">
        <w:rPr>
          <w:rFonts w:ascii="Book Antiqua" w:hAnsi="Book Antiqua" w:cs="Arial"/>
        </w:rPr>
        <w:t xml:space="preserve"> level of protection i.e. that his removal must be justified on </w:t>
      </w:r>
      <w:r w:rsidR="00D83308" w:rsidRPr="00D911E5">
        <w:rPr>
          <w:rFonts w:ascii="Book Antiqua" w:hAnsi="Book Antiqua" w:cs="Arial"/>
        </w:rPr>
        <w:t>imperative</w:t>
      </w:r>
      <w:r w:rsidR="00D83308" w:rsidRPr="006A46BB">
        <w:rPr>
          <w:rFonts w:ascii="Book Antiqua" w:hAnsi="Book Antiqua" w:cs="Arial"/>
        </w:rPr>
        <w:t xml:space="preserve"> grounds of public security</w:t>
      </w:r>
      <w:r w:rsidR="00D911E5">
        <w:rPr>
          <w:rFonts w:ascii="Book Antiqua" w:hAnsi="Book Antiqua" w:cs="Arial"/>
        </w:rPr>
        <w:t xml:space="preserve"> (‘imperative grounds’)</w:t>
      </w:r>
      <w:r w:rsidR="00D83308" w:rsidRPr="006A46BB">
        <w:rPr>
          <w:rFonts w:ascii="Book Antiqua" w:hAnsi="Book Antiqua" w:cs="Arial"/>
        </w:rPr>
        <w:t>.</w:t>
      </w:r>
    </w:p>
    <w:p w:rsidR="00D83308" w:rsidRDefault="00D83308" w:rsidP="00C54492">
      <w:pPr>
        <w:jc w:val="both"/>
        <w:rPr>
          <w:rFonts w:ascii="Book Antiqua" w:hAnsi="Book Antiqua" w:cs="Arial"/>
        </w:rPr>
      </w:pPr>
    </w:p>
    <w:p w:rsidR="00D83308" w:rsidRPr="00C2094E" w:rsidRDefault="00D83308" w:rsidP="00C54492">
      <w:pPr>
        <w:jc w:val="both"/>
        <w:rPr>
          <w:rFonts w:ascii="Book Antiqua" w:hAnsi="Book Antiqua" w:cs="Arial"/>
          <w:b/>
        </w:rPr>
      </w:pPr>
      <w:r w:rsidRPr="00C2094E">
        <w:rPr>
          <w:rFonts w:ascii="Book Antiqua" w:hAnsi="Book Antiqua" w:cs="Arial"/>
          <w:b/>
        </w:rPr>
        <w:t>Grounds of appeal</w:t>
      </w:r>
      <w:r w:rsidR="00AD4C72">
        <w:rPr>
          <w:rFonts w:ascii="Book Antiqua" w:hAnsi="Book Antiqua" w:cs="Arial"/>
          <w:b/>
        </w:rPr>
        <w:t xml:space="preserve"> </w:t>
      </w:r>
      <w:r w:rsidR="006A46BB">
        <w:rPr>
          <w:rFonts w:ascii="Book Antiqua" w:hAnsi="Book Antiqua" w:cs="Arial"/>
          <w:b/>
        </w:rPr>
        <w:t xml:space="preserve"> </w:t>
      </w:r>
      <w:r w:rsidR="00A43D92">
        <w:rPr>
          <w:rFonts w:ascii="Book Antiqua" w:hAnsi="Book Antiqua" w:cs="Arial"/>
          <w:b/>
        </w:rPr>
        <w:t>/ Hearing</w:t>
      </w:r>
    </w:p>
    <w:p w:rsidR="00D83308" w:rsidRPr="00D83308" w:rsidRDefault="00D83308" w:rsidP="00C54492">
      <w:pPr>
        <w:jc w:val="both"/>
        <w:rPr>
          <w:rFonts w:ascii="Book Antiqua" w:hAnsi="Book Antiqua" w:cs="Arial"/>
        </w:rPr>
      </w:pPr>
    </w:p>
    <w:p w:rsidR="00AA03EC" w:rsidRPr="00AA03EC" w:rsidRDefault="001E383F" w:rsidP="00F126C7">
      <w:pPr>
        <w:pStyle w:val="ColorfulList-Accent11"/>
        <w:numPr>
          <w:ilvl w:val="0"/>
          <w:numId w:val="1"/>
        </w:numPr>
        <w:jc w:val="both"/>
        <w:rPr>
          <w:rFonts w:ascii="Book Antiqua" w:hAnsi="Book Antiqua"/>
        </w:rPr>
      </w:pPr>
      <w:r>
        <w:rPr>
          <w:rFonts w:ascii="Book Antiqua" w:hAnsi="Book Antiqua" w:cs="Arial"/>
        </w:rPr>
        <w:t xml:space="preserve">Mr Hussain sought to </w:t>
      </w:r>
      <w:r w:rsidR="00A43D92">
        <w:rPr>
          <w:rFonts w:ascii="Book Antiqua" w:hAnsi="Book Antiqua" w:cs="Arial"/>
        </w:rPr>
        <w:t xml:space="preserve">initially </w:t>
      </w:r>
      <w:r>
        <w:rPr>
          <w:rFonts w:ascii="Book Antiqua" w:hAnsi="Book Antiqua" w:cs="Arial"/>
        </w:rPr>
        <w:t>place reliance upon three grounds of appeal</w:t>
      </w:r>
      <w:r w:rsidR="00A43D92">
        <w:rPr>
          <w:rFonts w:ascii="Book Antiqua" w:hAnsi="Book Antiqua" w:cs="Arial"/>
        </w:rPr>
        <w:t xml:space="preserve"> but focussed his attention on ground 3</w:t>
      </w:r>
      <w:r>
        <w:rPr>
          <w:rFonts w:ascii="Book Antiqua" w:hAnsi="Book Antiqua" w:cs="Arial"/>
        </w:rPr>
        <w:t xml:space="preserve">.  </w:t>
      </w:r>
      <w:r w:rsidR="00A43D92">
        <w:rPr>
          <w:rFonts w:ascii="Book Antiqua" w:hAnsi="Book Antiqua" w:cs="Arial"/>
        </w:rPr>
        <w:t xml:space="preserve">The three grounds are as follows.  </w:t>
      </w:r>
      <w:r>
        <w:rPr>
          <w:rFonts w:ascii="Book Antiqua" w:hAnsi="Book Antiqua" w:cs="Arial"/>
        </w:rPr>
        <w:t>First, there was a failure to address the best interests of the children.  Secondly, the FTT made an irrational risk of reoffending assessment unsupported by the</w:t>
      </w:r>
      <w:r w:rsidR="00D911E5">
        <w:rPr>
          <w:rFonts w:ascii="Book Antiqua" w:hAnsi="Book Antiqua" w:cs="Arial"/>
        </w:rPr>
        <w:t xml:space="preserve"> evidence.  Thirdly, the FTT erred </w:t>
      </w:r>
      <w:r w:rsidR="00AA03EC">
        <w:rPr>
          <w:rFonts w:ascii="Book Antiqua" w:hAnsi="Book Antiqua" w:cs="Arial"/>
        </w:rPr>
        <w:t>in law in applying the serious grounds test</w:t>
      </w:r>
      <w:r w:rsidR="00D911E5">
        <w:rPr>
          <w:rFonts w:ascii="Book Antiqua" w:hAnsi="Book Antiqua" w:cs="Arial"/>
        </w:rPr>
        <w:t xml:space="preserve"> instead of the imperative grounds test</w:t>
      </w:r>
      <w:r w:rsidR="00AA03EC">
        <w:rPr>
          <w:rFonts w:ascii="Book Antiqua" w:hAnsi="Book Antiqua" w:cs="Arial"/>
        </w:rPr>
        <w:t xml:space="preserve">.  </w:t>
      </w:r>
    </w:p>
    <w:p w:rsidR="00AA03EC" w:rsidRPr="00AA03EC" w:rsidRDefault="00AA03EC" w:rsidP="00AA03EC">
      <w:pPr>
        <w:pStyle w:val="ColorfulList-Accent11"/>
        <w:ind w:left="1280"/>
        <w:jc w:val="both"/>
        <w:rPr>
          <w:rFonts w:ascii="Book Antiqua" w:hAnsi="Book Antiqua"/>
        </w:rPr>
      </w:pPr>
    </w:p>
    <w:p w:rsidR="00D911E5" w:rsidRDefault="00AA03EC" w:rsidP="00D911E5">
      <w:pPr>
        <w:pStyle w:val="ColorfulList-Accent11"/>
        <w:numPr>
          <w:ilvl w:val="0"/>
          <w:numId w:val="1"/>
        </w:numPr>
        <w:jc w:val="both"/>
        <w:rPr>
          <w:rFonts w:ascii="Book Antiqua" w:hAnsi="Book Antiqua" w:cs="Arial"/>
        </w:rPr>
      </w:pPr>
      <w:r>
        <w:rPr>
          <w:rFonts w:ascii="Book Antiqua" w:hAnsi="Book Antiqua" w:cs="Arial"/>
        </w:rPr>
        <w:lastRenderedPageBreak/>
        <w:t>Permission to appeal was refused on ground 3 and only granted on grounds 1 and 2.</w:t>
      </w:r>
    </w:p>
    <w:p w:rsidR="00D911E5" w:rsidRDefault="00D911E5" w:rsidP="00D911E5">
      <w:pPr>
        <w:pStyle w:val="ListParagraph"/>
        <w:rPr>
          <w:rFonts w:ascii="Book Antiqua" w:hAnsi="Book Antiqua" w:cs="Arial"/>
        </w:rPr>
      </w:pPr>
    </w:p>
    <w:p w:rsidR="00A55426" w:rsidRDefault="00AA03EC" w:rsidP="00A55426">
      <w:pPr>
        <w:pStyle w:val="ColorfulList-Accent11"/>
        <w:numPr>
          <w:ilvl w:val="0"/>
          <w:numId w:val="1"/>
        </w:numPr>
        <w:jc w:val="both"/>
        <w:rPr>
          <w:rFonts w:ascii="Book Antiqua" w:hAnsi="Book Antiqua" w:cs="Arial"/>
        </w:rPr>
      </w:pPr>
      <w:r w:rsidRPr="00D911E5">
        <w:rPr>
          <w:rFonts w:ascii="Book Antiqua" w:hAnsi="Book Antiqua" w:cs="Arial"/>
        </w:rPr>
        <w:t xml:space="preserve">At the beginning of the hearing Mr Hussain applied to renew </w:t>
      </w:r>
      <w:r w:rsidR="00D911E5">
        <w:rPr>
          <w:rFonts w:ascii="Book Antiqua" w:hAnsi="Book Antiqua" w:cs="Arial"/>
        </w:rPr>
        <w:t xml:space="preserve">the application for permission to appeal on </w:t>
      </w:r>
      <w:r w:rsidRPr="00D911E5">
        <w:rPr>
          <w:rFonts w:ascii="Book Antiqua" w:hAnsi="Book Antiqua" w:cs="Arial"/>
        </w:rPr>
        <w:t xml:space="preserve">ground 3.  </w:t>
      </w:r>
      <w:r w:rsidR="00D911E5">
        <w:rPr>
          <w:rFonts w:ascii="Book Antiqua" w:hAnsi="Book Antiqua" w:cs="Arial"/>
        </w:rPr>
        <w:t xml:space="preserve">As </w:t>
      </w:r>
      <w:r w:rsidR="00A43D92">
        <w:rPr>
          <w:rFonts w:ascii="Book Antiqua" w:hAnsi="Book Antiqua" w:cs="Arial"/>
        </w:rPr>
        <w:t xml:space="preserve">I pointed out, </w:t>
      </w:r>
      <w:r w:rsidR="00D911E5">
        <w:rPr>
          <w:rFonts w:ascii="Book Antiqua" w:hAnsi="Book Antiqua" w:cs="Arial"/>
        </w:rPr>
        <w:t xml:space="preserve">this has not been done in accordance with the relevant rules and the application was made very late.  I nevertheless heard from Mr Hussain.  Unfortunately, he struggled to explain the relevant legal framework relevant to determining who is able to benefit from imperative grounds.  He initially said that he no longer wished to renew the application to renew under ground 3.  When I enquired whether he had fully considered </w:t>
      </w:r>
      <w:r w:rsidR="00D911E5" w:rsidRPr="00E30D34">
        <w:rPr>
          <w:rFonts w:ascii="Book Antiqua" w:hAnsi="Book Antiqua"/>
          <w:u w:val="single"/>
        </w:rPr>
        <w:t>B v Land Badem-Wurttemberg and SSHD v Vomero</w:t>
      </w:r>
      <w:r w:rsidR="00D911E5" w:rsidRPr="00E30D34">
        <w:rPr>
          <w:rFonts w:ascii="Book Antiqua" w:hAnsi="Book Antiqua"/>
        </w:rPr>
        <w:t xml:space="preserve"> (Directive 2004/38/EC)</w:t>
      </w:r>
      <w:r w:rsidR="00D911E5">
        <w:rPr>
          <w:rFonts w:ascii="Book Antiqua" w:hAnsi="Book Antiqua"/>
        </w:rPr>
        <w:t>,</w:t>
      </w:r>
      <w:r w:rsidR="00D911E5" w:rsidRPr="00E30D34">
        <w:rPr>
          <w:rFonts w:ascii="Book Antiqua" w:hAnsi="Book Antiqua"/>
        </w:rPr>
        <w:t xml:space="preserve"> Joined Cases C-316/16 and C-424/16</w:t>
      </w:r>
      <w:r w:rsidR="00A55426">
        <w:rPr>
          <w:rFonts w:ascii="Book Antiqua" w:hAnsi="Book Antiqua"/>
        </w:rPr>
        <w:t xml:space="preserve"> (which was referred to in </w:t>
      </w:r>
      <w:r w:rsidR="00A43D92">
        <w:rPr>
          <w:rFonts w:ascii="Book Antiqua" w:hAnsi="Book Antiqua"/>
        </w:rPr>
        <w:t xml:space="preserve">the </w:t>
      </w:r>
      <w:r w:rsidR="00A55426">
        <w:rPr>
          <w:rFonts w:ascii="Book Antiqua" w:hAnsi="Book Antiqua"/>
        </w:rPr>
        <w:t xml:space="preserve">grounds of appeal he had drafted) </w:t>
      </w:r>
      <w:r w:rsidR="00A55426">
        <w:rPr>
          <w:rFonts w:ascii="Book Antiqua" w:hAnsi="Book Antiqua" w:cs="Arial"/>
        </w:rPr>
        <w:t>h</w:t>
      </w:r>
      <w:r w:rsidR="00D911E5">
        <w:rPr>
          <w:rFonts w:ascii="Book Antiqua" w:hAnsi="Book Antiqua" w:cs="Arial"/>
        </w:rPr>
        <w:t>e asked for further time, which I provided</w:t>
      </w:r>
      <w:r w:rsidR="00A55426">
        <w:rPr>
          <w:rFonts w:ascii="Book Antiqua" w:hAnsi="Book Antiqua" w:cs="Arial"/>
        </w:rPr>
        <w:t>.  After reflection, Mr Hussain renewed the application to rely upon ground 3.</w:t>
      </w:r>
    </w:p>
    <w:p w:rsidR="00A55426" w:rsidRDefault="00A55426" w:rsidP="00A55426">
      <w:pPr>
        <w:pStyle w:val="ListParagraph"/>
        <w:rPr>
          <w:rFonts w:ascii="Book Antiqua" w:hAnsi="Book Antiqua" w:cs="Arial"/>
        </w:rPr>
      </w:pPr>
    </w:p>
    <w:p w:rsidR="00A55426" w:rsidRDefault="00AA03EC" w:rsidP="00A55426">
      <w:pPr>
        <w:pStyle w:val="ColorfulList-Accent11"/>
        <w:numPr>
          <w:ilvl w:val="0"/>
          <w:numId w:val="1"/>
        </w:numPr>
        <w:jc w:val="both"/>
        <w:rPr>
          <w:rFonts w:ascii="Book Antiqua" w:hAnsi="Book Antiqua" w:cs="Arial"/>
        </w:rPr>
      </w:pPr>
      <w:r w:rsidRPr="00A55426">
        <w:rPr>
          <w:rFonts w:ascii="Book Antiqua" w:hAnsi="Book Antiqua" w:cs="Arial"/>
        </w:rPr>
        <w:t>Mrs Peterson</w:t>
      </w:r>
      <w:r w:rsidR="00A55426">
        <w:rPr>
          <w:rFonts w:ascii="Book Antiqua" w:hAnsi="Book Antiqua" w:cs="Arial"/>
        </w:rPr>
        <w:t xml:space="preserve"> realistically and practically accepted that whilst the application to renew ground 3 was not made properly or clearly, she was not prejudiced by it and</w:t>
      </w:r>
      <w:r w:rsidRPr="00A55426">
        <w:rPr>
          <w:rFonts w:ascii="Book Antiqua" w:hAnsi="Book Antiqua" w:cs="Arial"/>
        </w:rPr>
        <w:t xml:space="preserve"> agreed</w:t>
      </w:r>
      <w:r w:rsidR="00A55426">
        <w:rPr>
          <w:rFonts w:ascii="Book Antiqua" w:hAnsi="Book Antiqua" w:cs="Arial"/>
        </w:rPr>
        <w:t xml:space="preserve"> with my summary of the proper approach in light of the AG’s opinion in </w:t>
      </w:r>
      <w:r w:rsidR="00A55426" w:rsidRPr="00A55426">
        <w:rPr>
          <w:rFonts w:ascii="Book Antiqua" w:hAnsi="Book Antiqua" w:cs="Arial"/>
          <w:u w:val="single"/>
        </w:rPr>
        <w:t>Vomero</w:t>
      </w:r>
      <w:r w:rsidR="00A55426">
        <w:rPr>
          <w:rFonts w:ascii="Book Antiqua" w:hAnsi="Book Antiqua" w:cs="Arial"/>
        </w:rPr>
        <w:t>.  This can be summarised as follows:</w:t>
      </w:r>
    </w:p>
    <w:p w:rsidR="00A55426" w:rsidRPr="00F126C7" w:rsidRDefault="00A55426" w:rsidP="009D06EE">
      <w:pPr>
        <w:pStyle w:val="ColorfulList-Accent11"/>
        <w:numPr>
          <w:ilvl w:val="0"/>
          <w:numId w:val="30"/>
        </w:numPr>
        <w:spacing w:before="120" w:after="120"/>
        <w:contextualSpacing w:val="0"/>
        <w:jc w:val="both"/>
        <w:rPr>
          <w:rFonts w:ascii="Book Antiqua" w:hAnsi="Book Antiqua"/>
        </w:rPr>
      </w:pPr>
      <w:r w:rsidRPr="00E30D34">
        <w:rPr>
          <w:rFonts w:ascii="Book Antiqua" w:hAnsi="Book Antiqua"/>
        </w:rPr>
        <w:t xml:space="preserve">The acquisition of permanent residence is a pre-requisite </w:t>
      </w:r>
      <w:r>
        <w:rPr>
          <w:rFonts w:ascii="Book Antiqua" w:hAnsi="Book Antiqua"/>
        </w:rPr>
        <w:t>to qualify for</w:t>
      </w:r>
      <w:r w:rsidRPr="00E30D34">
        <w:rPr>
          <w:rFonts w:ascii="Book Antiqua" w:hAnsi="Book Antiqua"/>
        </w:rPr>
        <w:t xml:space="preserve"> enhanced protection.</w:t>
      </w:r>
    </w:p>
    <w:p w:rsidR="00A55426" w:rsidRPr="00E30D34" w:rsidRDefault="00A55426" w:rsidP="009D06EE">
      <w:pPr>
        <w:pStyle w:val="ColorfulList-Accent11"/>
        <w:numPr>
          <w:ilvl w:val="0"/>
          <w:numId w:val="30"/>
        </w:numPr>
        <w:spacing w:before="120" w:after="120"/>
        <w:contextualSpacing w:val="0"/>
        <w:jc w:val="both"/>
        <w:rPr>
          <w:rFonts w:ascii="Book Antiqua" w:hAnsi="Book Antiqua"/>
        </w:rPr>
      </w:pPr>
      <w:r>
        <w:rPr>
          <w:rFonts w:ascii="Book Antiqua" w:hAnsi="Book Antiqua"/>
        </w:rPr>
        <w:t>T</w:t>
      </w:r>
      <w:r w:rsidRPr="00E30D34">
        <w:rPr>
          <w:rFonts w:ascii="Book Antiqua" w:hAnsi="Book Antiqua"/>
        </w:rPr>
        <w:t>he ‘previous ten years’</w:t>
      </w:r>
      <w:r>
        <w:rPr>
          <w:rFonts w:ascii="Book Antiqua" w:hAnsi="Book Antiqua"/>
        </w:rPr>
        <w:t xml:space="preserve"> residence required for enhanced protection must be</w:t>
      </w:r>
      <w:r w:rsidRPr="00E30D34">
        <w:rPr>
          <w:rFonts w:ascii="Book Antiqua" w:hAnsi="Book Antiqua"/>
        </w:rPr>
        <w:t xml:space="preserve"> continuous, </w:t>
      </w:r>
      <w:r>
        <w:rPr>
          <w:rFonts w:ascii="Book Antiqua" w:hAnsi="Book Antiqua"/>
        </w:rPr>
        <w:t>subject to reasonable absences.</w:t>
      </w:r>
    </w:p>
    <w:p w:rsidR="00A55426" w:rsidRPr="00E30D34" w:rsidRDefault="00A55426" w:rsidP="009D06EE">
      <w:pPr>
        <w:pStyle w:val="ColorfulList-Accent11"/>
        <w:numPr>
          <w:ilvl w:val="0"/>
          <w:numId w:val="30"/>
        </w:numPr>
        <w:spacing w:before="120" w:after="120"/>
        <w:contextualSpacing w:val="0"/>
        <w:jc w:val="both"/>
        <w:rPr>
          <w:rFonts w:ascii="Book Antiqua" w:hAnsi="Book Antiqua"/>
        </w:rPr>
      </w:pPr>
      <w:r>
        <w:rPr>
          <w:rFonts w:ascii="Book Antiqua" w:hAnsi="Book Antiqua"/>
        </w:rPr>
        <w:t>Imp</w:t>
      </w:r>
      <w:r w:rsidRPr="00E30D34">
        <w:rPr>
          <w:rFonts w:ascii="Book Antiqua" w:hAnsi="Book Antiqua"/>
        </w:rPr>
        <w:t xml:space="preserve">risonment </w:t>
      </w:r>
      <w:r>
        <w:rPr>
          <w:rFonts w:ascii="Book Antiqua" w:hAnsi="Book Antiqua"/>
        </w:rPr>
        <w:t xml:space="preserve">allows doubt to be cast on </w:t>
      </w:r>
      <w:r w:rsidRPr="00E30D34">
        <w:rPr>
          <w:rFonts w:ascii="Book Antiqua" w:hAnsi="Book Antiqua"/>
        </w:rPr>
        <w:t>integrati</w:t>
      </w:r>
      <w:r>
        <w:rPr>
          <w:rFonts w:ascii="Book Antiqua" w:hAnsi="Book Antiqua"/>
        </w:rPr>
        <w:t>ve links but should not be excluded from the calculation of the 10-year period.</w:t>
      </w:r>
      <w:r w:rsidRPr="00E30D34">
        <w:rPr>
          <w:rFonts w:ascii="Book Antiqua" w:hAnsi="Book Antiqua"/>
        </w:rPr>
        <w:t xml:space="preserve"> </w:t>
      </w:r>
    </w:p>
    <w:p w:rsidR="00A55426" w:rsidRPr="00E30D34" w:rsidRDefault="00A55426" w:rsidP="009D06EE">
      <w:pPr>
        <w:pStyle w:val="ColorfulList-Accent11"/>
        <w:numPr>
          <w:ilvl w:val="0"/>
          <w:numId w:val="30"/>
        </w:numPr>
        <w:spacing w:before="120" w:after="120"/>
        <w:contextualSpacing w:val="0"/>
        <w:jc w:val="both"/>
        <w:rPr>
          <w:rFonts w:ascii="Book Antiqua" w:hAnsi="Book Antiqua"/>
        </w:rPr>
      </w:pPr>
      <w:r>
        <w:rPr>
          <w:rFonts w:ascii="Book Antiqua" w:hAnsi="Book Antiqua"/>
        </w:rPr>
        <w:t>T</w:t>
      </w:r>
      <w:r w:rsidRPr="00E30D34">
        <w:rPr>
          <w:rFonts w:ascii="Book Antiqua" w:hAnsi="Book Antiqua"/>
        </w:rPr>
        <w:t xml:space="preserve">he expression ‘the previous ten years’ must be interpreted as referring to a continuous period, calculated by looking back from the precise time when the question of expulsion arises, that includes any periods of absence or imprisonment, provided that none of those periods of absence or imprisonment has had the effect of breaking the integrative links with the host Member State. </w:t>
      </w:r>
    </w:p>
    <w:p w:rsidR="00A55426" w:rsidRPr="00E30D34" w:rsidRDefault="00A55426" w:rsidP="009D06EE">
      <w:pPr>
        <w:pStyle w:val="ColorfulList-Accent11"/>
        <w:numPr>
          <w:ilvl w:val="0"/>
          <w:numId w:val="30"/>
        </w:numPr>
        <w:spacing w:before="120" w:after="120"/>
        <w:contextualSpacing w:val="0"/>
        <w:jc w:val="both"/>
        <w:rPr>
          <w:rFonts w:ascii="Book Antiqua" w:hAnsi="Book Antiqua"/>
        </w:rPr>
      </w:pPr>
      <w:r>
        <w:rPr>
          <w:rFonts w:ascii="Book Antiqua" w:hAnsi="Book Antiqua"/>
        </w:rPr>
        <w:t>T</w:t>
      </w:r>
      <w:r w:rsidRPr="00E30D34">
        <w:rPr>
          <w:rFonts w:ascii="Book Antiqua" w:hAnsi="Book Antiqua"/>
        </w:rPr>
        <w:t xml:space="preserve">he overall assessment of integrative links cannot be confined solely to the criteria of long-lasting settlement in the host Member State and the absence of any link with the Member State of origin. That assessment must instead take account of all the relevant factors of the individual case and must take place at the time when the authorities are ruling on the expulsion decision. </w:t>
      </w:r>
    </w:p>
    <w:p w:rsidR="00A55426" w:rsidRPr="00A55426" w:rsidRDefault="00A55426" w:rsidP="00A55426">
      <w:pPr>
        <w:pStyle w:val="ColorfulList-Accent11"/>
        <w:numPr>
          <w:ilvl w:val="0"/>
          <w:numId w:val="1"/>
        </w:numPr>
        <w:jc w:val="both"/>
        <w:rPr>
          <w:rFonts w:ascii="Book Antiqua" w:hAnsi="Book Antiqua" w:cs="Arial"/>
          <w:lang w:val="en-US"/>
        </w:rPr>
      </w:pPr>
      <w:proofErr w:type="spellStart"/>
      <w:r>
        <w:rPr>
          <w:rFonts w:ascii="Book Antiqua" w:hAnsi="Book Antiqua" w:cs="Arial"/>
          <w:lang w:val="en-US"/>
        </w:rPr>
        <w:t>Mrs</w:t>
      </w:r>
      <w:proofErr w:type="spellEnd"/>
      <w:r>
        <w:rPr>
          <w:rFonts w:ascii="Book Antiqua" w:hAnsi="Book Antiqua" w:cs="Arial"/>
          <w:lang w:val="en-US"/>
        </w:rPr>
        <w:t xml:space="preserve"> Peterson accepted that the relevant legal framework has undoubtedly been complex but it is now sufficiently clear </w:t>
      </w:r>
      <w:r w:rsidRPr="007B12FE">
        <w:rPr>
          <w:rFonts w:ascii="Book Antiqua" w:hAnsi="Book Antiqua"/>
        </w:rPr>
        <w:t>that the 10-year residency necessary for the grant of enhanced protection in Article 28(3)(a) must be calculated by counting back from the date of the decision ordering that person’s expulsion</w:t>
      </w:r>
      <w:r>
        <w:rPr>
          <w:rFonts w:ascii="Book Antiqua" w:hAnsi="Book Antiqua"/>
        </w:rPr>
        <w:t xml:space="preserve"> and imprisonment does not break continuity provided that integrative links are not broken – see regulation 3 of the 2016 Regs, </w:t>
      </w:r>
      <w:r w:rsidRPr="003320DF">
        <w:rPr>
          <w:rFonts w:ascii="Book Antiqua" w:hAnsi="Book Antiqua" w:cs="Arial"/>
          <w:u w:val="single"/>
          <w:lang w:val="en-US"/>
        </w:rPr>
        <w:t>MG v SSHD</w:t>
      </w:r>
      <w:r w:rsidRPr="003320DF">
        <w:rPr>
          <w:rFonts w:ascii="Book Antiqua" w:hAnsi="Book Antiqua" w:cs="Arial"/>
          <w:lang w:val="en-US"/>
        </w:rPr>
        <w:t xml:space="preserve"> (Case C-400/12), </w:t>
      </w:r>
      <w:r w:rsidRPr="003320DF">
        <w:rPr>
          <w:rFonts w:ascii="Book Antiqua" w:hAnsi="Book Antiqua" w:cs="Arial"/>
          <w:lang w:val="en-US"/>
        </w:rPr>
        <w:lastRenderedPageBreak/>
        <w:t>[2014] 2 CMLR 40,</w:t>
      </w:r>
      <w:r>
        <w:rPr>
          <w:rFonts w:ascii="Book Antiqua" w:hAnsi="Book Antiqua" w:cs="Arial"/>
          <w:lang w:val="en-US"/>
        </w:rPr>
        <w:t xml:space="preserve"> </w:t>
      </w:r>
      <w:r w:rsidRPr="00F52EDB">
        <w:rPr>
          <w:rFonts w:ascii="Book Antiqua" w:hAnsi="Book Antiqua"/>
          <w:u w:val="single"/>
        </w:rPr>
        <w:t>Warsame v SSHD</w:t>
      </w:r>
      <w:r>
        <w:rPr>
          <w:rFonts w:ascii="Book Antiqua" w:hAnsi="Book Antiqua"/>
        </w:rPr>
        <w:t xml:space="preserve"> [2016] EWCA Civ 16</w:t>
      </w:r>
      <w:r>
        <w:rPr>
          <w:rFonts w:ascii="Book Antiqua" w:hAnsi="Book Antiqua" w:cs="Arial"/>
          <w:lang w:val="en-US"/>
        </w:rPr>
        <w:t xml:space="preserve">, </w:t>
      </w:r>
      <w:r w:rsidRPr="00416666">
        <w:rPr>
          <w:rFonts w:ascii="Book Antiqua" w:hAnsi="Book Antiqua" w:cs="Arial"/>
          <w:u w:val="single"/>
          <w:lang w:val="en-US"/>
        </w:rPr>
        <w:t>SSHD v Vomero</w:t>
      </w:r>
      <w:r>
        <w:rPr>
          <w:rFonts w:ascii="Book Antiqua" w:hAnsi="Book Antiqua" w:cs="Arial"/>
          <w:lang w:val="en-US"/>
        </w:rPr>
        <w:t xml:space="preserve"> [2016] UKSC 49, and the AG’s recent opinion in </w:t>
      </w:r>
      <w:r w:rsidRPr="00416666">
        <w:rPr>
          <w:rFonts w:ascii="Book Antiqua" w:hAnsi="Book Antiqua" w:cs="Arial"/>
          <w:u w:val="single"/>
          <w:lang w:val="en-US"/>
        </w:rPr>
        <w:t>Vomero</w:t>
      </w:r>
      <w:r>
        <w:rPr>
          <w:rFonts w:ascii="Book Antiqua" w:hAnsi="Book Antiqua" w:cs="Arial"/>
          <w:lang w:val="en-US"/>
        </w:rPr>
        <w:t xml:space="preserve"> (supra)</w:t>
      </w:r>
      <w:r w:rsidRPr="007B12FE">
        <w:rPr>
          <w:rFonts w:ascii="Book Antiqua" w:hAnsi="Book Antiqua"/>
        </w:rPr>
        <w:t xml:space="preserve">. </w:t>
      </w:r>
    </w:p>
    <w:p w:rsidR="00A55426" w:rsidRDefault="00A55426" w:rsidP="00A55426">
      <w:pPr>
        <w:pStyle w:val="ColorfulList-Accent11"/>
        <w:ind w:left="1280"/>
        <w:jc w:val="both"/>
        <w:rPr>
          <w:rFonts w:ascii="Book Antiqua" w:hAnsi="Book Antiqua" w:cs="Arial"/>
          <w:lang w:val="en-US"/>
        </w:rPr>
      </w:pPr>
    </w:p>
    <w:p w:rsidR="00A43D92" w:rsidRDefault="00A55426" w:rsidP="00574838">
      <w:pPr>
        <w:pStyle w:val="ColorfulList-Accent11"/>
        <w:numPr>
          <w:ilvl w:val="0"/>
          <w:numId w:val="1"/>
        </w:numPr>
        <w:jc w:val="both"/>
        <w:rPr>
          <w:rFonts w:ascii="Book Antiqua" w:hAnsi="Book Antiqua" w:cs="Arial"/>
        </w:rPr>
      </w:pPr>
      <w:r>
        <w:rPr>
          <w:rFonts w:ascii="Book Antiqua" w:hAnsi="Book Antiqua"/>
        </w:rPr>
        <w:t>Mrs Peterson accepted that i</w:t>
      </w:r>
      <w:r w:rsidRPr="00A55426">
        <w:rPr>
          <w:rFonts w:ascii="Book Antiqua" w:hAnsi="Book Antiqua"/>
        </w:rPr>
        <w:t xml:space="preserve">n this case that would mean counting back from the deportation order dated </w:t>
      </w:r>
      <w:r>
        <w:rPr>
          <w:rFonts w:ascii="Book Antiqua" w:hAnsi="Book Antiqua"/>
        </w:rPr>
        <w:t xml:space="preserve">1 March </w:t>
      </w:r>
      <w:r w:rsidR="00A43D92">
        <w:rPr>
          <w:rFonts w:ascii="Book Antiqua" w:hAnsi="Book Antiqua"/>
        </w:rPr>
        <w:t>2017 and that p</w:t>
      </w:r>
      <w:r>
        <w:rPr>
          <w:rFonts w:ascii="Book Antiqua" w:hAnsi="Book Antiqua" w:cs="Arial"/>
          <w:lang w:val="en-US"/>
        </w:rPr>
        <w:t>rima facie this appellant had the requisite 10 years because he arrived in the UK in May 2006</w:t>
      </w:r>
      <w:r w:rsidRPr="00A55426">
        <w:rPr>
          <w:rFonts w:ascii="Book Antiqua" w:hAnsi="Book Antiqua"/>
        </w:rPr>
        <w:t xml:space="preserve">.  </w:t>
      </w:r>
      <w:r>
        <w:rPr>
          <w:rFonts w:ascii="Book Antiqua" w:hAnsi="Book Antiqua"/>
        </w:rPr>
        <w:t xml:space="preserve">In these circumstances, </w:t>
      </w:r>
      <w:r w:rsidR="00A43D92">
        <w:rPr>
          <w:rFonts w:ascii="Book Antiqua" w:hAnsi="Book Antiqua"/>
        </w:rPr>
        <w:t xml:space="preserve">she accepted that </w:t>
      </w:r>
      <w:r>
        <w:rPr>
          <w:rFonts w:ascii="Book Antiqua" w:hAnsi="Book Antiqua"/>
        </w:rPr>
        <w:t>t</w:t>
      </w:r>
      <w:r w:rsidRPr="00A55426">
        <w:rPr>
          <w:rFonts w:ascii="Book Antiqua" w:hAnsi="Book Antiqua"/>
        </w:rPr>
        <w:t>he F</w:t>
      </w:r>
      <w:r>
        <w:rPr>
          <w:rFonts w:ascii="Book Antiqua" w:hAnsi="Book Antiqua"/>
        </w:rPr>
        <w:t>TT</w:t>
      </w:r>
      <w:r w:rsidRPr="00A55426">
        <w:rPr>
          <w:rFonts w:ascii="Book Antiqua" w:hAnsi="Book Antiqua"/>
        </w:rPr>
        <w:t xml:space="preserve"> </w:t>
      </w:r>
      <w:r>
        <w:rPr>
          <w:rFonts w:ascii="Book Antiqua" w:hAnsi="Book Antiqua"/>
        </w:rPr>
        <w:t>erred in law in not addressing imperative grounds and in particular whether</w:t>
      </w:r>
      <w:r w:rsidR="00574838">
        <w:rPr>
          <w:rFonts w:ascii="Book Antiqua" w:hAnsi="Book Antiqua"/>
        </w:rPr>
        <w:t xml:space="preserve"> in light of all</w:t>
      </w:r>
      <w:r w:rsidRPr="00A55426">
        <w:rPr>
          <w:rFonts w:ascii="Book Antiqua" w:hAnsi="Book Antiqua"/>
        </w:rPr>
        <w:t xml:space="preserve"> consider all the relevant </w:t>
      </w:r>
      <w:r w:rsidR="00574838">
        <w:rPr>
          <w:rFonts w:ascii="Book Antiqua" w:hAnsi="Book Antiqua"/>
        </w:rPr>
        <w:t>circumstances, integrative links could be said to be broken by the imprisonment in 2016 and 2017.</w:t>
      </w:r>
      <w:r w:rsidR="00574838">
        <w:rPr>
          <w:rFonts w:ascii="Book Antiqua" w:hAnsi="Book Antiqua" w:cs="Arial"/>
        </w:rPr>
        <w:t xml:space="preserve"> </w:t>
      </w:r>
      <w:r w:rsidR="00A43D92">
        <w:rPr>
          <w:rFonts w:ascii="Book Antiqua" w:hAnsi="Book Antiqua" w:cs="Arial"/>
        </w:rPr>
        <w:t xml:space="preserve"> </w:t>
      </w:r>
    </w:p>
    <w:p w:rsidR="00A43D92" w:rsidRDefault="00A43D92" w:rsidP="00A43D92">
      <w:pPr>
        <w:pStyle w:val="ListParagraph"/>
        <w:rPr>
          <w:rFonts w:ascii="Book Antiqua" w:hAnsi="Book Antiqua" w:cs="Arial"/>
        </w:rPr>
      </w:pPr>
    </w:p>
    <w:p w:rsidR="00574838" w:rsidRDefault="00AA03EC" w:rsidP="00574838">
      <w:pPr>
        <w:pStyle w:val="ColorfulList-Accent11"/>
        <w:numPr>
          <w:ilvl w:val="0"/>
          <w:numId w:val="1"/>
        </w:numPr>
        <w:jc w:val="both"/>
        <w:rPr>
          <w:rFonts w:ascii="Book Antiqua" w:hAnsi="Book Antiqua" w:cs="Arial"/>
        </w:rPr>
      </w:pPr>
      <w:r w:rsidRPr="00574838">
        <w:rPr>
          <w:rFonts w:ascii="Book Antiqua" w:hAnsi="Book Antiqua" w:cs="Arial"/>
        </w:rPr>
        <w:t>Both representatives agreed that given the need to make up to date findings o</w:t>
      </w:r>
      <w:r w:rsidR="00574838">
        <w:rPr>
          <w:rFonts w:ascii="Book Antiqua" w:hAnsi="Book Antiqua" w:cs="Arial"/>
        </w:rPr>
        <w:t xml:space="preserve">n the imperative grounds </w:t>
      </w:r>
      <w:r w:rsidRPr="00574838">
        <w:rPr>
          <w:rFonts w:ascii="Book Antiqua" w:hAnsi="Book Antiqua" w:cs="Arial"/>
        </w:rPr>
        <w:t>issue</w:t>
      </w:r>
      <w:r w:rsidR="00574838">
        <w:rPr>
          <w:rFonts w:ascii="Book Antiqua" w:hAnsi="Book Antiqua" w:cs="Arial"/>
        </w:rPr>
        <w:t xml:space="preserve"> the matter should be remitted</w:t>
      </w:r>
      <w:r w:rsidR="00574838" w:rsidRPr="00574838">
        <w:rPr>
          <w:rFonts w:ascii="Book Antiqua" w:hAnsi="Book Antiqua" w:cs="Arial"/>
        </w:rPr>
        <w:t>.</w:t>
      </w:r>
      <w:r w:rsidR="00574838">
        <w:rPr>
          <w:rFonts w:ascii="Book Antiqua" w:hAnsi="Book Antiqua" w:cs="Arial"/>
        </w:rPr>
        <w:t xml:space="preserve">  Both representatives </w:t>
      </w:r>
      <w:r w:rsidR="00A43D92">
        <w:rPr>
          <w:rFonts w:ascii="Book Antiqua" w:hAnsi="Book Antiqua" w:cs="Arial"/>
        </w:rPr>
        <w:t xml:space="preserve">also </w:t>
      </w:r>
      <w:r w:rsidR="00574838">
        <w:rPr>
          <w:rFonts w:ascii="Book Antiqua" w:hAnsi="Book Antiqua" w:cs="Arial"/>
        </w:rPr>
        <w:t>agreed that there was no error of law in the FTT’s findings of fact, given the limitations of the evidence available: the appellant’s wife did not provide any updating evidence and the risk assessment report pre</w:t>
      </w:r>
      <w:r w:rsidR="00A43D92">
        <w:rPr>
          <w:rFonts w:ascii="Book Antiqua" w:hAnsi="Book Antiqua" w:cs="Arial"/>
        </w:rPr>
        <w:t>-</w:t>
      </w:r>
      <w:r w:rsidR="00574838">
        <w:rPr>
          <w:rFonts w:ascii="Book Antiqua" w:hAnsi="Book Antiqua" w:cs="Arial"/>
        </w:rPr>
        <w:t>dated the break-up of the family.  Those findings of fact are therefore preserved in so far as they relate to the evidence available to the FTT at the time.  Mr Hussain informed me that there is substantial updating evidence now available.</w:t>
      </w:r>
    </w:p>
    <w:p w:rsidR="00574838" w:rsidRDefault="00574838" w:rsidP="00A43D92">
      <w:pPr>
        <w:rPr>
          <w:rFonts w:ascii="Book Antiqua" w:hAnsi="Book Antiqua"/>
        </w:rPr>
      </w:pPr>
    </w:p>
    <w:p w:rsidR="00A43D92" w:rsidRPr="00A43D92" w:rsidRDefault="00A43D92" w:rsidP="00A43D92">
      <w:pPr>
        <w:rPr>
          <w:rFonts w:ascii="Book Antiqua" w:hAnsi="Book Antiqua"/>
          <w:b/>
        </w:rPr>
      </w:pPr>
      <w:r w:rsidRPr="00A43D92">
        <w:rPr>
          <w:rFonts w:ascii="Book Antiqua" w:hAnsi="Book Antiqua"/>
          <w:b/>
        </w:rPr>
        <w:t>Remedy</w:t>
      </w:r>
    </w:p>
    <w:p w:rsidR="00A43D92" w:rsidRPr="00A43D92" w:rsidRDefault="00A43D92" w:rsidP="00A43D92">
      <w:pPr>
        <w:rPr>
          <w:rFonts w:ascii="Book Antiqua" w:hAnsi="Book Antiqua"/>
        </w:rPr>
      </w:pPr>
    </w:p>
    <w:p w:rsidR="00A43D92" w:rsidRPr="00A43D92" w:rsidRDefault="00A43D92" w:rsidP="00574838">
      <w:pPr>
        <w:pStyle w:val="ColorfulList-Accent11"/>
        <w:numPr>
          <w:ilvl w:val="0"/>
          <w:numId w:val="1"/>
        </w:numPr>
        <w:jc w:val="both"/>
        <w:rPr>
          <w:rFonts w:ascii="Book Antiqua" w:hAnsi="Book Antiqua" w:cs="Arial"/>
        </w:rPr>
      </w:pPr>
      <w:r>
        <w:rPr>
          <w:rFonts w:ascii="Book Antiqua" w:hAnsi="Book Antiqua"/>
        </w:rPr>
        <w:t>For the avoidance of doubt I grant permission to rely upon ground 3 and allow the appeal on this basis.</w:t>
      </w:r>
      <w:r w:rsidR="00F144E5">
        <w:rPr>
          <w:rFonts w:ascii="Book Antiqua" w:hAnsi="Book Antiqua"/>
        </w:rPr>
        <w:t xml:space="preserve">  Both representatives agreed with that course.</w:t>
      </w:r>
    </w:p>
    <w:p w:rsidR="00A43D92" w:rsidRPr="00A43D92" w:rsidRDefault="00A43D92" w:rsidP="00A43D92">
      <w:pPr>
        <w:pStyle w:val="ColorfulList-Accent11"/>
        <w:ind w:left="1280"/>
        <w:jc w:val="both"/>
        <w:rPr>
          <w:rFonts w:ascii="Book Antiqua" w:hAnsi="Book Antiqua" w:cs="Arial"/>
        </w:rPr>
      </w:pPr>
    </w:p>
    <w:p w:rsidR="00574838" w:rsidRDefault="00574838" w:rsidP="00574838">
      <w:pPr>
        <w:pStyle w:val="ColorfulList-Accent11"/>
        <w:numPr>
          <w:ilvl w:val="0"/>
          <w:numId w:val="1"/>
        </w:numPr>
        <w:jc w:val="both"/>
        <w:rPr>
          <w:rFonts w:ascii="Book Antiqua" w:hAnsi="Book Antiqua" w:cs="Arial"/>
        </w:rPr>
      </w:pPr>
      <w:r w:rsidRPr="00574838">
        <w:rPr>
          <w:rFonts w:ascii="Book Antiqua" w:hAnsi="Book Antiqua"/>
        </w:rPr>
        <w:t xml:space="preserve">I have had regard to para 7.2 of the relevant </w:t>
      </w:r>
      <w:r w:rsidRPr="00574838">
        <w:rPr>
          <w:rFonts w:ascii="Book Antiqua" w:hAnsi="Book Antiqua"/>
          <w:i/>
        </w:rPr>
        <w:t>Senior President’s Practice Statement</w:t>
      </w:r>
      <w:r w:rsidRPr="00574838">
        <w:rPr>
          <w:rFonts w:ascii="Book Antiqua" w:hAnsi="Book Antiqua"/>
        </w:rPr>
        <w:t xml:space="preserve"> and the nature and extent of the factual findings required in remaking the decision, and I have decided that this is an appropriate case to remit to the FTT but that it should be heard by FTT Judge Kelly</w:t>
      </w:r>
      <w:r w:rsidR="00F144E5">
        <w:rPr>
          <w:rFonts w:ascii="Book Antiqua" w:hAnsi="Book Antiqua"/>
        </w:rPr>
        <w:t>, who made the initial decision</w:t>
      </w:r>
      <w:r w:rsidRPr="00574838">
        <w:rPr>
          <w:rFonts w:ascii="Book Antiqua" w:hAnsi="Book Antiqua"/>
        </w:rPr>
        <w:t>.  This is because completely fresh findings of fact in relation to the appellant</w:t>
      </w:r>
      <w:r w:rsidR="00F144E5">
        <w:rPr>
          <w:rFonts w:ascii="Book Antiqua" w:hAnsi="Book Antiqua"/>
        </w:rPr>
        <w:t xml:space="preserve">’s integrative links are </w:t>
      </w:r>
      <w:r w:rsidRPr="00574838">
        <w:rPr>
          <w:rFonts w:ascii="Book Antiqua" w:hAnsi="Book Antiqua"/>
        </w:rPr>
        <w:t xml:space="preserve">necessary </w:t>
      </w:r>
      <w:r w:rsidR="00F144E5">
        <w:rPr>
          <w:rFonts w:ascii="Book Antiqua" w:hAnsi="Book Antiqua"/>
        </w:rPr>
        <w:t xml:space="preserve">but </w:t>
      </w:r>
      <w:r w:rsidRPr="00574838">
        <w:rPr>
          <w:rFonts w:ascii="Book Antiqua" w:hAnsi="Book Antiqua"/>
        </w:rPr>
        <w:t xml:space="preserve">the findings that have already been made require updating in light of further evidence.   </w:t>
      </w:r>
    </w:p>
    <w:p w:rsidR="00574838" w:rsidRDefault="00574838" w:rsidP="00574838">
      <w:pPr>
        <w:pStyle w:val="ListParagraph"/>
        <w:rPr>
          <w:rFonts w:ascii="Book Antiqua" w:hAnsi="Book Antiqua"/>
        </w:rPr>
      </w:pPr>
    </w:p>
    <w:p w:rsidR="001960EB" w:rsidRPr="00574838" w:rsidRDefault="00A43D92" w:rsidP="00574838">
      <w:pPr>
        <w:pStyle w:val="ColorfulList-Accent11"/>
        <w:numPr>
          <w:ilvl w:val="0"/>
          <w:numId w:val="1"/>
        </w:numPr>
        <w:jc w:val="both"/>
        <w:rPr>
          <w:rFonts w:ascii="Book Antiqua" w:hAnsi="Book Antiqua" w:cs="Arial"/>
        </w:rPr>
      </w:pPr>
      <w:r>
        <w:rPr>
          <w:rFonts w:ascii="Book Antiqua" w:hAnsi="Book Antiqua"/>
        </w:rPr>
        <w:t>Judge Kelly</w:t>
      </w:r>
      <w:r w:rsidR="00B125D7" w:rsidRPr="00574838">
        <w:rPr>
          <w:rFonts w:ascii="Book Antiqua" w:hAnsi="Book Antiqua"/>
        </w:rPr>
        <w:t xml:space="preserve"> has already made factual </w:t>
      </w:r>
      <w:r w:rsidR="00BC3BAB" w:rsidRPr="00574838">
        <w:rPr>
          <w:rFonts w:ascii="Book Antiqua" w:hAnsi="Book Antiqua"/>
        </w:rPr>
        <w:t>findi</w:t>
      </w:r>
      <w:r>
        <w:rPr>
          <w:rFonts w:ascii="Book Antiqua" w:hAnsi="Book Antiqua"/>
        </w:rPr>
        <w:t>ngs accepted by Mr Hussain to be uninfected by</w:t>
      </w:r>
      <w:r w:rsidR="00B125D7" w:rsidRPr="00574838">
        <w:rPr>
          <w:rFonts w:ascii="Book Antiqua" w:hAnsi="Book Antiqua"/>
        </w:rPr>
        <w:t xml:space="preserve"> any error of law</w:t>
      </w:r>
      <w:r>
        <w:rPr>
          <w:rFonts w:ascii="Book Antiqua" w:hAnsi="Book Antiqua"/>
        </w:rPr>
        <w:t xml:space="preserve"> (given the limited materials available)</w:t>
      </w:r>
      <w:r w:rsidR="00B125D7" w:rsidRPr="00574838">
        <w:rPr>
          <w:rFonts w:ascii="Book Antiqua" w:hAnsi="Book Antiqua"/>
        </w:rPr>
        <w:t xml:space="preserve">.  The FTT has </w:t>
      </w:r>
      <w:r>
        <w:rPr>
          <w:rFonts w:ascii="Book Antiqua" w:hAnsi="Book Antiqua"/>
        </w:rPr>
        <w:t xml:space="preserve">however </w:t>
      </w:r>
      <w:r w:rsidR="00B125D7" w:rsidRPr="00574838">
        <w:rPr>
          <w:rFonts w:ascii="Book Antiqua" w:hAnsi="Book Antiqua"/>
        </w:rPr>
        <w:t>omitte</w:t>
      </w:r>
      <w:r>
        <w:rPr>
          <w:rFonts w:ascii="Book Antiqua" w:hAnsi="Book Antiqua"/>
        </w:rPr>
        <w:t>d to count back from 1 March 201</w:t>
      </w:r>
      <w:r w:rsidR="00B125D7" w:rsidRPr="00574838">
        <w:rPr>
          <w:rFonts w:ascii="Book Antiqua" w:hAnsi="Book Antiqua"/>
        </w:rPr>
        <w:t>7 and omitted to assess integrative links</w:t>
      </w:r>
      <w:r w:rsidR="00C71C17" w:rsidRPr="00574838">
        <w:rPr>
          <w:rFonts w:ascii="Book Antiqua" w:hAnsi="Book Antiqua"/>
        </w:rPr>
        <w:t>,</w:t>
      </w:r>
      <w:r w:rsidR="00B125D7" w:rsidRPr="00574838">
        <w:rPr>
          <w:rFonts w:ascii="Book Antiqua" w:hAnsi="Book Antiqua"/>
        </w:rPr>
        <w:t xml:space="preserve"> in light of the period of </w:t>
      </w:r>
      <w:r>
        <w:rPr>
          <w:rFonts w:ascii="Book Antiqua" w:hAnsi="Book Antiqua"/>
        </w:rPr>
        <w:t>imprisonment</w:t>
      </w:r>
      <w:r w:rsidR="00B125D7" w:rsidRPr="00574838">
        <w:rPr>
          <w:rFonts w:ascii="Book Antiqua" w:hAnsi="Book Antiqua"/>
        </w:rPr>
        <w:t xml:space="preserve">.  It would be proportionate for the same FTT to consider these issues and make any further findings of fact </w:t>
      </w:r>
      <w:r w:rsidR="00F144E5">
        <w:rPr>
          <w:rFonts w:ascii="Book Antiqua" w:hAnsi="Book Antiqua"/>
        </w:rPr>
        <w:t xml:space="preserve">in light of the updated </w:t>
      </w:r>
      <w:r w:rsidR="00B125D7" w:rsidRPr="00574838">
        <w:rPr>
          <w:rFonts w:ascii="Book Antiqua" w:hAnsi="Book Antiqua"/>
        </w:rPr>
        <w:t>rele</w:t>
      </w:r>
      <w:r w:rsidR="00603C83" w:rsidRPr="00574838">
        <w:rPr>
          <w:rFonts w:ascii="Book Antiqua" w:hAnsi="Book Antiqua"/>
        </w:rPr>
        <w:t>vant</w:t>
      </w:r>
      <w:r w:rsidR="00F144E5">
        <w:rPr>
          <w:rFonts w:ascii="Book Antiqua" w:hAnsi="Book Antiqua"/>
        </w:rPr>
        <w:t xml:space="preserve"> evidence</w:t>
      </w:r>
      <w:r w:rsidR="00B125D7" w:rsidRPr="00574838">
        <w:rPr>
          <w:rFonts w:ascii="Book Antiqua" w:hAnsi="Book Antiqua"/>
        </w:rPr>
        <w:t>.</w:t>
      </w:r>
    </w:p>
    <w:p w:rsidR="00C2094E" w:rsidRPr="005E063B" w:rsidRDefault="00C2094E" w:rsidP="000D733F">
      <w:pPr>
        <w:pStyle w:val="ColorfulList-Accent11"/>
        <w:ind w:left="0"/>
        <w:jc w:val="both"/>
        <w:rPr>
          <w:rFonts w:ascii="Book Antiqua" w:hAnsi="Book Antiqua"/>
          <w:u w:val="single"/>
        </w:rPr>
      </w:pPr>
    </w:p>
    <w:p w:rsidR="0020384A" w:rsidRPr="002F1BE4" w:rsidRDefault="0020384A" w:rsidP="000D733F">
      <w:pPr>
        <w:pStyle w:val="ColorfulList-Accent11"/>
        <w:ind w:left="0"/>
        <w:jc w:val="both"/>
        <w:rPr>
          <w:rFonts w:ascii="Book Antiqua" w:hAnsi="Book Antiqua" w:cs="Arial"/>
          <w:b/>
        </w:rPr>
      </w:pPr>
      <w:r w:rsidRPr="002F1BE4">
        <w:rPr>
          <w:rFonts w:ascii="Book Antiqua" w:hAnsi="Book Antiqua" w:cs="Arial"/>
          <w:b/>
        </w:rPr>
        <w:t>Decision</w:t>
      </w:r>
    </w:p>
    <w:p w:rsidR="0020384A" w:rsidRPr="00EF7442" w:rsidRDefault="0020384A" w:rsidP="000D733F">
      <w:pPr>
        <w:pStyle w:val="ColorfulList-Accent11"/>
        <w:ind w:left="0"/>
        <w:jc w:val="both"/>
        <w:rPr>
          <w:rFonts w:ascii="Book Antiqua" w:hAnsi="Book Antiqua" w:cs="Arial"/>
          <w:b/>
          <w:u w:val="single"/>
        </w:rPr>
      </w:pPr>
    </w:p>
    <w:p w:rsidR="00A401A8" w:rsidRDefault="007D206D" w:rsidP="00AA03EC">
      <w:pPr>
        <w:pStyle w:val="ColorfulList-Accent11"/>
        <w:numPr>
          <w:ilvl w:val="0"/>
          <w:numId w:val="31"/>
        </w:numPr>
        <w:jc w:val="both"/>
        <w:rPr>
          <w:rFonts w:ascii="Book Antiqua" w:hAnsi="Book Antiqua" w:cs="Arial"/>
        </w:rPr>
      </w:pPr>
      <w:r>
        <w:rPr>
          <w:rFonts w:ascii="Book Antiqua" w:hAnsi="Book Antiqua" w:cs="Arial"/>
        </w:rPr>
        <w:t>The</w:t>
      </w:r>
      <w:r w:rsidR="005D018F">
        <w:rPr>
          <w:rFonts w:ascii="Book Antiqua" w:hAnsi="Book Antiqua" w:cs="Arial"/>
        </w:rPr>
        <w:t xml:space="preserve"> FTT</w:t>
      </w:r>
      <w:r>
        <w:rPr>
          <w:rFonts w:ascii="Book Antiqua" w:hAnsi="Book Antiqua" w:cs="Arial"/>
        </w:rPr>
        <w:t xml:space="preserve"> </w:t>
      </w:r>
      <w:r w:rsidR="002A4D52">
        <w:rPr>
          <w:rFonts w:ascii="Book Antiqua" w:hAnsi="Book Antiqua" w:cs="Arial"/>
        </w:rPr>
        <w:t xml:space="preserve">decision </w:t>
      </w:r>
      <w:r>
        <w:rPr>
          <w:rFonts w:ascii="Book Antiqua" w:hAnsi="Book Antiqua" w:cs="Arial"/>
        </w:rPr>
        <w:t>contain</w:t>
      </w:r>
      <w:r w:rsidR="00882CD3">
        <w:rPr>
          <w:rFonts w:ascii="Book Antiqua" w:hAnsi="Book Antiqua" w:cs="Arial"/>
        </w:rPr>
        <w:t>s</w:t>
      </w:r>
      <w:r w:rsidR="00750F9A">
        <w:rPr>
          <w:rFonts w:ascii="Book Antiqua" w:hAnsi="Book Antiqua" w:cs="Arial"/>
        </w:rPr>
        <w:t xml:space="preserve"> a material</w:t>
      </w:r>
      <w:r w:rsidR="004D1C82">
        <w:rPr>
          <w:rFonts w:ascii="Book Antiqua" w:hAnsi="Book Antiqua" w:cs="Arial"/>
        </w:rPr>
        <w:t xml:space="preserve"> error of law </w:t>
      </w:r>
      <w:r w:rsidR="0081666F">
        <w:rPr>
          <w:rFonts w:ascii="Book Antiqua" w:hAnsi="Book Antiqua" w:cs="Arial"/>
        </w:rPr>
        <w:t xml:space="preserve">and is </w:t>
      </w:r>
      <w:r w:rsidR="00514018">
        <w:rPr>
          <w:rFonts w:ascii="Book Antiqua" w:hAnsi="Book Antiqua" w:cs="Arial"/>
        </w:rPr>
        <w:t>set asid</w:t>
      </w:r>
      <w:r w:rsidR="0081666F">
        <w:rPr>
          <w:rFonts w:ascii="Book Antiqua" w:hAnsi="Book Antiqua" w:cs="Arial"/>
        </w:rPr>
        <w:t>e</w:t>
      </w:r>
      <w:r w:rsidR="00514018">
        <w:rPr>
          <w:rFonts w:ascii="Book Antiqua" w:hAnsi="Book Antiqua" w:cs="Arial"/>
        </w:rPr>
        <w:t>.</w:t>
      </w:r>
    </w:p>
    <w:p w:rsidR="00B125D7" w:rsidRDefault="00B125D7" w:rsidP="00B125D7">
      <w:pPr>
        <w:pStyle w:val="ColorfulList-Accent11"/>
        <w:ind w:left="1280"/>
        <w:jc w:val="both"/>
        <w:rPr>
          <w:rFonts w:ascii="Book Antiqua" w:hAnsi="Book Antiqua" w:cs="Arial"/>
        </w:rPr>
      </w:pPr>
    </w:p>
    <w:p w:rsidR="0096287C" w:rsidRDefault="00444EAF" w:rsidP="00A43D92">
      <w:pPr>
        <w:pStyle w:val="ColorfulList-Accent11"/>
        <w:numPr>
          <w:ilvl w:val="0"/>
          <w:numId w:val="31"/>
        </w:numPr>
        <w:jc w:val="both"/>
        <w:rPr>
          <w:rFonts w:ascii="Book Antiqua" w:hAnsi="Book Antiqua" w:cs="Arial"/>
        </w:rPr>
      </w:pPr>
      <w:r>
        <w:rPr>
          <w:rFonts w:ascii="Book Antiqua" w:hAnsi="Book Antiqua" w:cs="Arial"/>
        </w:rPr>
        <w:t xml:space="preserve">The appeal is remitted to the </w:t>
      </w:r>
      <w:r w:rsidR="00B125D7">
        <w:rPr>
          <w:rFonts w:ascii="Book Antiqua" w:hAnsi="Book Antiqua" w:cs="Arial"/>
        </w:rPr>
        <w:t xml:space="preserve">same </w:t>
      </w:r>
      <w:r w:rsidR="00603C83">
        <w:rPr>
          <w:rFonts w:ascii="Book Antiqua" w:hAnsi="Book Antiqua" w:cs="Arial"/>
        </w:rPr>
        <w:t>FTT</w:t>
      </w:r>
      <w:r w:rsidR="00A43D92">
        <w:rPr>
          <w:rFonts w:ascii="Book Antiqua" w:hAnsi="Book Antiqua" w:cs="Arial"/>
        </w:rPr>
        <w:t xml:space="preserve"> (Judge Kelly). </w:t>
      </w:r>
    </w:p>
    <w:p w:rsidR="00A43D92" w:rsidRDefault="00A43D92" w:rsidP="0096287C">
      <w:pPr>
        <w:pStyle w:val="ColorfulList-Accent11"/>
        <w:ind w:left="0"/>
        <w:jc w:val="both"/>
        <w:rPr>
          <w:rFonts w:ascii="Book Antiqua" w:hAnsi="Book Antiqua" w:cs="Arial"/>
        </w:rPr>
      </w:pPr>
    </w:p>
    <w:p w:rsidR="006021AA" w:rsidRDefault="006021AA" w:rsidP="0096287C">
      <w:pPr>
        <w:pStyle w:val="ColorfulList-Accent11"/>
        <w:ind w:left="0"/>
        <w:jc w:val="both"/>
        <w:rPr>
          <w:rFonts w:ascii="Book Antiqua" w:hAnsi="Book Antiqua" w:cs="Arial"/>
        </w:rPr>
      </w:pPr>
    </w:p>
    <w:p w:rsidR="006021AA" w:rsidRDefault="006021AA" w:rsidP="0096287C">
      <w:pPr>
        <w:pStyle w:val="ColorfulList-Accent11"/>
        <w:ind w:left="0"/>
        <w:jc w:val="both"/>
        <w:rPr>
          <w:rFonts w:ascii="Book Antiqua" w:hAnsi="Book Antiqua" w:cs="Arial"/>
        </w:rPr>
      </w:pPr>
    </w:p>
    <w:p w:rsidR="0096287C" w:rsidRPr="00A43D92" w:rsidRDefault="0096287C" w:rsidP="0096287C">
      <w:pPr>
        <w:pStyle w:val="ColorfulList-Accent11"/>
        <w:ind w:left="0"/>
        <w:jc w:val="both"/>
        <w:rPr>
          <w:rFonts w:ascii="Book Antiqua" w:hAnsi="Book Antiqua" w:cs="Arial"/>
          <w:b/>
        </w:rPr>
      </w:pPr>
      <w:r w:rsidRPr="00A43D92">
        <w:rPr>
          <w:rFonts w:ascii="Book Antiqua" w:hAnsi="Book Antiqua" w:cs="Arial"/>
          <w:b/>
        </w:rPr>
        <w:t>Directions</w:t>
      </w:r>
    </w:p>
    <w:p w:rsidR="0096287C" w:rsidRDefault="0096287C" w:rsidP="0096287C">
      <w:pPr>
        <w:pStyle w:val="ColorfulList-Accent11"/>
        <w:ind w:left="0"/>
        <w:jc w:val="both"/>
        <w:rPr>
          <w:rFonts w:ascii="Book Antiqua" w:hAnsi="Book Antiqua" w:cs="Arial"/>
        </w:rPr>
      </w:pPr>
    </w:p>
    <w:p w:rsidR="00A43D92" w:rsidRDefault="00A43D92" w:rsidP="00A43D92">
      <w:pPr>
        <w:pStyle w:val="ColorfulList-Accent11"/>
        <w:numPr>
          <w:ilvl w:val="0"/>
          <w:numId w:val="33"/>
        </w:numPr>
        <w:jc w:val="both"/>
        <w:rPr>
          <w:rFonts w:ascii="Book Antiqua" w:hAnsi="Book Antiqua" w:cs="Arial"/>
        </w:rPr>
      </w:pPr>
      <w:r>
        <w:rPr>
          <w:rFonts w:ascii="Book Antiqua" w:hAnsi="Book Antiqua" w:cs="Arial"/>
        </w:rPr>
        <w:t xml:space="preserve">The appellant shall file and serve one </w:t>
      </w:r>
      <w:r w:rsidR="0096287C">
        <w:rPr>
          <w:rFonts w:ascii="Book Antiqua" w:hAnsi="Book Antiqua" w:cs="Arial"/>
        </w:rPr>
        <w:t xml:space="preserve">comprehensive </w:t>
      </w:r>
      <w:r>
        <w:rPr>
          <w:rFonts w:ascii="Book Antiqua" w:hAnsi="Book Antiqua" w:cs="Arial"/>
        </w:rPr>
        <w:t xml:space="preserve">indexed and paginated </w:t>
      </w:r>
      <w:r w:rsidR="0096287C">
        <w:rPr>
          <w:rFonts w:ascii="Book Antiqua" w:hAnsi="Book Antiqua" w:cs="Arial"/>
        </w:rPr>
        <w:t>bundle</w:t>
      </w:r>
      <w:r>
        <w:rPr>
          <w:rFonts w:ascii="Book Antiqua" w:hAnsi="Book Antiqua" w:cs="Arial"/>
        </w:rPr>
        <w:t>,</w:t>
      </w:r>
      <w:r w:rsidR="0096287C">
        <w:rPr>
          <w:rFonts w:ascii="Book Antiqua" w:hAnsi="Book Antiqua" w:cs="Arial"/>
        </w:rPr>
        <w:t xml:space="preserve"> 28 days before hearing.</w:t>
      </w:r>
    </w:p>
    <w:p w:rsidR="00A43D92" w:rsidRDefault="00A43D92" w:rsidP="00A43D92">
      <w:pPr>
        <w:pStyle w:val="ColorfulList-Accent11"/>
        <w:jc w:val="both"/>
        <w:rPr>
          <w:rFonts w:ascii="Book Antiqua" w:hAnsi="Book Antiqua" w:cs="Arial"/>
        </w:rPr>
      </w:pPr>
    </w:p>
    <w:p w:rsidR="0096287C" w:rsidRDefault="00A43D92" w:rsidP="00A43D92">
      <w:pPr>
        <w:pStyle w:val="ColorfulList-Accent11"/>
        <w:numPr>
          <w:ilvl w:val="0"/>
          <w:numId w:val="33"/>
        </w:numPr>
        <w:jc w:val="both"/>
        <w:rPr>
          <w:rFonts w:ascii="Book Antiqua" w:hAnsi="Book Antiqua" w:cs="Arial"/>
        </w:rPr>
      </w:pPr>
      <w:r>
        <w:rPr>
          <w:rFonts w:ascii="Book Antiqua" w:hAnsi="Book Antiqua" w:cs="Arial"/>
        </w:rPr>
        <w:t>The appellant shall file and serve a s</w:t>
      </w:r>
      <w:r w:rsidR="0096287C" w:rsidRPr="00A43D92">
        <w:rPr>
          <w:rFonts w:ascii="Book Antiqua" w:hAnsi="Book Antiqua" w:cs="Arial"/>
        </w:rPr>
        <w:t>keleton argument</w:t>
      </w:r>
      <w:r>
        <w:rPr>
          <w:rFonts w:ascii="Book Antiqua" w:hAnsi="Book Antiqua" w:cs="Arial"/>
        </w:rPr>
        <w:t>, cross-referencing to the bundle, 21</w:t>
      </w:r>
      <w:r w:rsidR="0096287C" w:rsidRPr="00A43D92">
        <w:rPr>
          <w:rFonts w:ascii="Book Antiqua" w:hAnsi="Book Antiqua" w:cs="Arial"/>
        </w:rPr>
        <w:t xml:space="preserve"> days before hearing</w:t>
      </w:r>
      <w:r>
        <w:rPr>
          <w:rFonts w:ascii="Book Antiqua" w:hAnsi="Book Antiqua" w:cs="Arial"/>
        </w:rPr>
        <w:t>.</w:t>
      </w:r>
    </w:p>
    <w:p w:rsidR="00A43D92" w:rsidRDefault="00A43D92" w:rsidP="00A43D92">
      <w:pPr>
        <w:pStyle w:val="ColorfulList-Accent11"/>
        <w:ind w:left="0"/>
        <w:jc w:val="both"/>
        <w:rPr>
          <w:rFonts w:ascii="Book Antiqua" w:hAnsi="Book Antiqua" w:cs="Arial"/>
        </w:rPr>
      </w:pPr>
    </w:p>
    <w:p w:rsidR="00A43D92" w:rsidRPr="00A43D92" w:rsidRDefault="00A43D92" w:rsidP="00A43D92">
      <w:pPr>
        <w:pStyle w:val="ColorfulList-Accent11"/>
        <w:numPr>
          <w:ilvl w:val="0"/>
          <w:numId w:val="33"/>
        </w:numPr>
        <w:jc w:val="both"/>
        <w:rPr>
          <w:rFonts w:ascii="Book Antiqua" w:hAnsi="Book Antiqua" w:cs="Arial"/>
        </w:rPr>
      </w:pPr>
      <w:r>
        <w:rPr>
          <w:rFonts w:ascii="Book Antiqua" w:hAnsi="Book Antiqua" w:cs="Arial"/>
        </w:rPr>
        <w:t>The respondent shall file and serve a position statement responding to the skeleton argument 7 days before the hearing.</w:t>
      </w:r>
    </w:p>
    <w:p w:rsidR="00BD4F18" w:rsidRPr="00A401A8" w:rsidRDefault="00BD4F18" w:rsidP="000D733F">
      <w:pPr>
        <w:tabs>
          <w:tab w:val="left" w:pos="2520"/>
        </w:tabs>
        <w:jc w:val="both"/>
        <w:rPr>
          <w:rFonts w:ascii="Book Antiqua" w:hAnsi="Book Antiqua" w:cs="Arial"/>
        </w:rPr>
      </w:pPr>
    </w:p>
    <w:p w:rsidR="003C7761" w:rsidRDefault="003C7761" w:rsidP="00C54492">
      <w:pPr>
        <w:tabs>
          <w:tab w:val="left" w:pos="2520"/>
        </w:tabs>
        <w:jc w:val="both"/>
        <w:rPr>
          <w:rFonts w:ascii="Book Antiqua" w:hAnsi="Book Antiqua" w:cs="Arial"/>
        </w:rPr>
      </w:pPr>
    </w:p>
    <w:p w:rsidR="0020384A" w:rsidRPr="00A43D92" w:rsidRDefault="0020384A" w:rsidP="00C54492">
      <w:pPr>
        <w:tabs>
          <w:tab w:val="left" w:pos="2520"/>
        </w:tabs>
        <w:jc w:val="both"/>
        <w:rPr>
          <w:rFonts w:ascii="Book Antiqua" w:hAnsi="Book Antiqua" w:cs="Arial"/>
          <w:i/>
        </w:rPr>
      </w:pPr>
      <w:r>
        <w:rPr>
          <w:rFonts w:ascii="Book Antiqua" w:hAnsi="Book Antiqua" w:cs="Arial"/>
        </w:rPr>
        <w:t xml:space="preserve">Signed:  </w:t>
      </w:r>
      <w:r w:rsidR="00A43D92">
        <w:rPr>
          <w:rFonts w:ascii="Book Antiqua" w:hAnsi="Book Antiqua" w:cs="Arial"/>
          <w:i/>
        </w:rPr>
        <w:t>UTJ Plimmer</w:t>
      </w:r>
    </w:p>
    <w:p w:rsidR="006021AA" w:rsidRDefault="006021AA" w:rsidP="00C54492">
      <w:pPr>
        <w:tabs>
          <w:tab w:val="left" w:pos="2520"/>
        </w:tabs>
        <w:jc w:val="both"/>
        <w:rPr>
          <w:rFonts w:ascii="Book Antiqua" w:hAnsi="Book Antiqua" w:cs="Arial"/>
          <w:b/>
        </w:rPr>
      </w:pPr>
    </w:p>
    <w:p w:rsidR="0020384A" w:rsidRPr="002F1BE4" w:rsidRDefault="00A97E1E" w:rsidP="00C54492">
      <w:pPr>
        <w:tabs>
          <w:tab w:val="left" w:pos="2520"/>
        </w:tabs>
        <w:jc w:val="both"/>
        <w:rPr>
          <w:rFonts w:ascii="Book Antiqua" w:hAnsi="Book Antiqua" w:cs="Arial"/>
          <w:b/>
        </w:rPr>
      </w:pPr>
      <w:r w:rsidRPr="002F1BE4">
        <w:rPr>
          <w:rFonts w:ascii="Book Antiqua" w:hAnsi="Book Antiqua" w:cs="Arial"/>
          <w:b/>
        </w:rPr>
        <w:t xml:space="preserve">Ms </w:t>
      </w:r>
      <w:r w:rsidR="0020384A" w:rsidRPr="002F1BE4">
        <w:rPr>
          <w:rFonts w:ascii="Book Antiqua" w:hAnsi="Book Antiqua" w:cs="Arial"/>
          <w:b/>
        </w:rPr>
        <w:t>M. Plimmer</w:t>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p>
    <w:p w:rsidR="0020384A" w:rsidRPr="002F1BE4" w:rsidRDefault="0020384A" w:rsidP="00C54492">
      <w:pPr>
        <w:tabs>
          <w:tab w:val="left" w:pos="2520"/>
        </w:tabs>
        <w:jc w:val="both"/>
        <w:rPr>
          <w:rFonts w:ascii="Book Antiqua" w:hAnsi="Book Antiqua" w:cs="Arial"/>
          <w:b/>
        </w:rPr>
      </w:pPr>
      <w:r w:rsidRPr="002F1BE4">
        <w:rPr>
          <w:rFonts w:ascii="Book Antiqua" w:hAnsi="Book Antiqua" w:cs="Arial"/>
          <w:b/>
        </w:rPr>
        <w:t>Judge of the Upper Tribunal</w:t>
      </w:r>
    </w:p>
    <w:p w:rsidR="0020384A" w:rsidRDefault="0020384A" w:rsidP="00C54492">
      <w:pPr>
        <w:tabs>
          <w:tab w:val="left" w:pos="2520"/>
        </w:tabs>
        <w:jc w:val="both"/>
        <w:rPr>
          <w:rFonts w:ascii="Book Antiqua" w:hAnsi="Book Antiqua" w:cs="Arial"/>
        </w:rPr>
      </w:pPr>
    </w:p>
    <w:p w:rsidR="0020384A" w:rsidRPr="002F1BE4" w:rsidRDefault="0020384A" w:rsidP="00C54492">
      <w:pPr>
        <w:tabs>
          <w:tab w:val="left" w:pos="2520"/>
        </w:tabs>
        <w:jc w:val="both"/>
        <w:rPr>
          <w:rFonts w:ascii="Book Antiqua" w:hAnsi="Book Antiqua" w:cs="Arial"/>
          <w:b/>
        </w:rPr>
      </w:pPr>
      <w:r>
        <w:rPr>
          <w:rFonts w:ascii="Book Antiqua" w:hAnsi="Book Antiqua" w:cs="Arial"/>
        </w:rPr>
        <w:t>Date:</w:t>
      </w:r>
    </w:p>
    <w:p w:rsidR="0020384A" w:rsidRPr="004969AD" w:rsidRDefault="00A43D92" w:rsidP="00882CD3">
      <w:pPr>
        <w:tabs>
          <w:tab w:val="left" w:pos="2520"/>
        </w:tabs>
        <w:jc w:val="both"/>
        <w:rPr>
          <w:rFonts w:ascii="Book Antiqua" w:hAnsi="Book Antiqua" w:cs="Arial"/>
        </w:rPr>
      </w:pPr>
      <w:r>
        <w:rPr>
          <w:rFonts w:ascii="Book Antiqua" w:hAnsi="Book Antiqua" w:cs="Arial"/>
          <w:b/>
        </w:rPr>
        <w:t xml:space="preserve">15 August </w:t>
      </w:r>
      <w:r w:rsidR="00882CD3">
        <w:rPr>
          <w:rFonts w:ascii="Book Antiqua" w:hAnsi="Book Antiqua" w:cs="Arial"/>
          <w:b/>
        </w:rPr>
        <w:t>2018</w:t>
      </w:r>
    </w:p>
    <w:p w:rsidR="0020384A" w:rsidRDefault="0020384A"/>
    <w:sectPr w:rsidR="0020384A" w:rsidSect="004566A0">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7E8" w:rsidRDefault="009607E8">
      <w:r>
        <w:separator/>
      </w:r>
    </w:p>
  </w:endnote>
  <w:endnote w:type="continuationSeparator" w:id="0">
    <w:p w:rsidR="009607E8" w:rsidRDefault="0096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97" w:rsidRDefault="003D6E97" w:rsidP="002038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6E97" w:rsidRDefault="003D6E97" w:rsidP="002038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66694137"/>
      <w:docPartObj>
        <w:docPartGallery w:val="Page Numbers (Bottom of Page)"/>
        <w:docPartUnique/>
      </w:docPartObj>
    </w:sdtPr>
    <w:sdtEndPr>
      <w:rPr>
        <w:noProof/>
      </w:rPr>
    </w:sdtEndPr>
    <w:sdtContent>
      <w:p w:rsidR="004566A0" w:rsidRPr="00ED47AD" w:rsidRDefault="004566A0">
        <w:pPr>
          <w:pStyle w:val="Footer"/>
          <w:jc w:val="center"/>
          <w:rPr>
            <w:sz w:val="20"/>
            <w:szCs w:val="20"/>
          </w:rPr>
        </w:pPr>
        <w:r w:rsidRPr="00ED47AD">
          <w:rPr>
            <w:sz w:val="20"/>
            <w:szCs w:val="20"/>
          </w:rPr>
          <w:fldChar w:fldCharType="begin"/>
        </w:r>
        <w:r w:rsidRPr="00ED47AD">
          <w:rPr>
            <w:sz w:val="20"/>
            <w:szCs w:val="20"/>
          </w:rPr>
          <w:instrText xml:space="preserve"> PAGE   \* MERGEFORMAT </w:instrText>
        </w:r>
        <w:r w:rsidRPr="00ED47AD">
          <w:rPr>
            <w:sz w:val="20"/>
            <w:szCs w:val="20"/>
          </w:rPr>
          <w:fldChar w:fldCharType="separate"/>
        </w:r>
        <w:r w:rsidR="00986DF0">
          <w:rPr>
            <w:noProof/>
            <w:sz w:val="20"/>
            <w:szCs w:val="20"/>
          </w:rPr>
          <w:t>5</w:t>
        </w:r>
        <w:r w:rsidRPr="00ED47AD">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6A0" w:rsidRPr="00D65CD4" w:rsidRDefault="004566A0" w:rsidP="004566A0">
    <w:pPr>
      <w:jc w:val="center"/>
      <w:rPr>
        <w:rFonts w:ascii="Book Antiqua" w:hAnsi="Book Antiqua" w:cs="Arial"/>
        <w:b/>
      </w:rPr>
    </w:pPr>
    <w:r w:rsidRPr="00D65CD4">
      <w:rPr>
        <w:rFonts w:ascii="Book Antiqua" w:hAnsi="Book Antiqua" w:cs="Arial"/>
        <w:b/>
        <w:spacing w:val="-6"/>
      </w:rPr>
      <w:t>©</w:t>
    </w:r>
    <w:r w:rsidRPr="00D65CD4">
      <w:rPr>
        <w:rFonts w:ascii="Book Antiqua" w:hAnsi="Book Antiqua" w:cs="Arial"/>
        <w:b/>
      </w:rPr>
      <w:t xml:space="preserve"> CROWN COPYRIGHT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7E8" w:rsidRDefault="009607E8">
      <w:r>
        <w:separator/>
      </w:r>
    </w:p>
  </w:footnote>
  <w:footnote w:type="continuationSeparator" w:id="0">
    <w:p w:rsidR="009607E8" w:rsidRDefault="00960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C5B" w:rsidRPr="003A6C5B" w:rsidRDefault="003A6C5B" w:rsidP="003A6C5B">
    <w:pPr>
      <w:pStyle w:val="Header"/>
      <w:jc w:val="right"/>
      <w:rPr>
        <w:sz w:val="20"/>
        <w:szCs w:val="20"/>
      </w:rPr>
    </w:pPr>
    <w:r w:rsidRPr="003A6C5B">
      <w:rPr>
        <w:sz w:val="20"/>
        <w:szCs w:val="20"/>
      </w:rPr>
      <w:t>EA/01305/2017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3C6F6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B85657"/>
    <w:multiLevelType w:val="singleLevel"/>
    <w:tmpl w:val="10ACD196"/>
    <w:lvl w:ilvl="0">
      <w:start w:val="1"/>
      <w:numFmt w:val="lowerLetter"/>
      <w:lvlText w:val="(%1)"/>
      <w:legacy w:legacy="1" w:legacySpace="0" w:legacyIndent="0"/>
      <w:lvlJc w:val="left"/>
      <w:pPr>
        <w:ind w:left="2160" w:firstLine="0"/>
      </w:pPr>
    </w:lvl>
  </w:abstractNum>
  <w:abstractNum w:abstractNumId="3" w15:restartNumberingAfterBreak="0">
    <w:nsid w:val="0618004A"/>
    <w:multiLevelType w:val="hybridMultilevel"/>
    <w:tmpl w:val="EC62307C"/>
    <w:lvl w:ilvl="0" w:tplc="37BEDE12">
      <w:start w:val="1"/>
      <w:numFmt w:val="lowerRoman"/>
      <w:lvlText w:val="(%1)"/>
      <w:lvlJc w:val="left"/>
      <w:pPr>
        <w:ind w:left="2000" w:hanging="720"/>
      </w:pPr>
      <w:rPr>
        <w:rFonts w:cs="Book Antiqua"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4" w15:restartNumberingAfterBreak="0">
    <w:nsid w:val="066927A0"/>
    <w:multiLevelType w:val="multilevel"/>
    <w:tmpl w:val="E0C0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3596C"/>
    <w:multiLevelType w:val="hybridMultilevel"/>
    <w:tmpl w:val="57524E60"/>
    <w:lvl w:ilvl="0" w:tplc="33022FB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4C32CA"/>
    <w:multiLevelType w:val="multilevel"/>
    <w:tmpl w:val="417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B445A"/>
    <w:multiLevelType w:val="multilevel"/>
    <w:tmpl w:val="C2B647D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A2BFE"/>
    <w:multiLevelType w:val="hybridMultilevel"/>
    <w:tmpl w:val="39DAABBA"/>
    <w:lvl w:ilvl="0" w:tplc="0AB8BA28">
      <w:start w:val="1"/>
      <w:numFmt w:val="lowerRoman"/>
      <w:lvlText w:val="(%1)"/>
      <w:lvlJc w:val="left"/>
      <w:pPr>
        <w:ind w:left="2000" w:hanging="72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9" w15:restartNumberingAfterBreak="0">
    <w:nsid w:val="16601787"/>
    <w:multiLevelType w:val="hybridMultilevel"/>
    <w:tmpl w:val="EE8AD7D0"/>
    <w:lvl w:ilvl="0" w:tplc="A57C0382">
      <w:start w:val="1"/>
      <w:numFmt w:val="lowerRoman"/>
      <w:lvlText w:val="(%1)"/>
      <w:lvlJc w:val="left"/>
      <w:pPr>
        <w:ind w:left="2000" w:hanging="720"/>
      </w:pPr>
      <w:rPr>
        <w:rFonts w:hint="default"/>
      </w:rPr>
    </w:lvl>
    <w:lvl w:ilvl="1" w:tplc="08090019" w:tentative="1">
      <w:start w:val="1"/>
      <w:numFmt w:val="lowerLetter"/>
      <w:lvlText w:val="%2."/>
      <w:lvlJc w:val="left"/>
      <w:pPr>
        <w:ind w:left="2360" w:hanging="360"/>
      </w:pPr>
    </w:lvl>
    <w:lvl w:ilvl="2" w:tplc="0809001B" w:tentative="1">
      <w:start w:val="1"/>
      <w:numFmt w:val="lowerRoman"/>
      <w:lvlText w:val="%3."/>
      <w:lvlJc w:val="right"/>
      <w:pPr>
        <w:ind w:left="3080" w:hanging="180"/>
      </w:pPr>
    </w:lvl>
    <w:lvl w:ilvl="3" w:tplc="0809000F" w:tentative="1">
      <w:start w:val="1"/>
      <w:numFmt w:val="decimal"/>
      <w:lvlText w:val="%4."/>
      <w:lvlJc w:val="left"/>
      <w:pPr>
        <w:ind w:left="3800" w:hanging="360"/>
      </w:pPr>
    </w:lvl>
    <w:lvl w:ilvl="4" w:tplc="08090019" w:tentative="1">
      <w:start w:val="1"/>
      <w:numFmt w:val="lowerLetter"/>
      <w:lvlText w:val="%5."/>
      <w:lvlJc w:val="left"/>
      <w:pPr>
        <w:ind w:left="4520" w:hanging="360"/>
      </w:pPr>
    </w:lvl>
    <w:lvl w:ilvl="5" w:tplc="0809001B" w:tentative="1">
      <w:start w:val="1"/>
      <w:numFmt w:val="lowerRoman"/>
      <w:lvlText w:val="%6."/>
      <w:lvlJc w:val="right"/>
      <w:pPr>
        <w:ind w:left="5240" w:hanging="180"/>
      </w:pPr>
    </w:lvl>
    <w:lvl w:ilvl="6" w:tplc="0809000F" w:tentative="1">
      <w:start w:val="1"/>
      <w:numFmt w:val="decimal"/>
      <w:lvlText w:val="%7."/>
      <w:lvlJc w:val="left"/>
      <w:pPr>
        <w:ind w:left="5960" w:hanging="360"/>
      </w:pPr>
    </w:lvl>
    <w:lvl w:ilvl="7" w:tplc="08090019" w:tentative="1">
      <w:start w:val="1"/>
      <w:numFmt w:val="lowerLetter"/>
      <w:lvlText w:val="%8."/>
      <w:lvlJc w:val="left"/>
      <w:pPr>
        <w:ind w:left="6680" w:hanging="360"/>
      </w:pPr>
    </w:lvl>
    <w:lvl w:ilvl="8" w:tplc="0809001B" w:tentative="1">
      <w:start w:val="1"/>
      <w:numFmt w:val="lowerRoman"/>
      <w:lvlText w:val="%9."/>
      <w:lvlJc w:val="right"/>
      <w:pPr>
        <w:ind w:left="7400" w:hanging="180"/>
      </w:pPr>
    </w:lvl>
  </w:abstractNum>
  <w:abstractNum w:abstractNumId="10" w15:restartNumberingAfterBreak="0">
    <w:nsid w:val="1E363C37"/>
    <w:multiLevelType w:val="hybridMultilevel"/>
    <w:tmpl w:val="776A9E80"/>
    <w:lvl w:ilvl="0" w:tplc="A00A07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4325B5"/>
    <w:multiLevelType w:val="multilevel"/>
    <w:tmpl w:val="91169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D5894"/>
    <w:multiLevelType w:val="hybridMultilevel"/>
    <w:tmpl w:val="1C322724"/>
    <w:lvl w:ilvl="0" w:tplc="8C0E5F78">
      <w:start w:val="1"/>
      <w:numFmt w:val="lowerRoman"/>
      <w:lvlText w:val="(%1)"/>
      <w:lvlJc w:val="left"/>
      <w:pPr>
        <w:ind w:left="2320" w:hanging="720"/>
      </w:pPr>
      <w:rPr>
        <w:rFonts w:hint="default"/>
      </w:rPr>
    </w:lvl>
    <w:lvl w:ilvl="1" w:tplc="08090019" w:tentative="1">
      <w:start w:val="1"/>
      <w:numFmt w:val="lowerLetter"/>
      <w:lvlText w:val="%2."/>
      <w:lvlJc w:val="left"/>
      <w:pPr>
        <w:ind w:left="2680" w:hanging="360"/>
      </w:pPr>
    </w:lvl>
    <w:lvl w:ilvl="2" w:tplc="0809001B" w:tentative="1">
      <w:start w:val="1"/>
      <w:numFmt w:val="lowerRoman"/>
      <w:lvlText w:val="%3."/>
      <w:lvlJc w:val="right"/>
      <w:pPr>
        <w:ind w:left="3400" w:hanging="180"/>
      </w:pPr>
    </w:lvl>
    <w:lvl w:ilvl="3" w:tplc="0809000F" w:tentative="1">
      <w:start w:val="1"/>
      <w:numFmt w:val="decimal"/>
      <w:lvlText w:val="%4."/>
      <w:lvlJc w:val="left"/>
      <w:pPr>
        <w:ind w:left="4120" w:hanging="360"/>
      </w:pPr>
    </w:lvl>
    <w:lvl w:ilvl="4" w:tplc="08090019" w:tentative="1">
      <w:start w:val="1"/>
      <w:numFmt w:val="lowerLetter"/>
      <w:lvlText w:val="%5."/>
      <w:lvlJc w:val="left"/>
      <w:pPr>
        <w:ind w:left="4840" w:hanging="360"/>
      </w:pPr>
    </w:lvl>
    <w:lvl w:ilvl="5" w:tplc="0809001B" w:tentative="1">
      <w:start w:val="1"/>
      <w:numFmt w:val="lowerRoman"/>
      <w:lvlText w:val="%6."/>
      <w:lvlJc w:val="right"/>
      <w:pPr>
        <w:ind w:left="5560" w:hanging="180"/>
      </w:pPr>
    </w:lvl>
    <w:lvl w:ilvl="6" w:tplc="0809000F" w:tentative="1">
      <w:start w:val="1"/>
      <w:numFmt w:val="decimal"/>
      <w:lvlText w:val="%7."/>
      <w:lvlJc w:val="left"/>
      <w:pPr>
        <w:ind w:left="6280" w:hanging="360"/>
      </w:pPr>
    </w:lvl>
    <w:lvl w:ilvl="7" w:tplc="08090019" w:tentative="1">
      <w:start w:val="1"/>
      <w:numFmt w:val="lowerLetter"/>
      <w:lvlText w:val="%8."/>
      <w:lvlJc w:val="left"/>
      <w:pPr>
        <w:ind w:left="7000" w:hanging="360"/>
      </w:pPr>
    </w:lvl>
    <w:lvl w:ilvl="8" w:tplc="0809001B" w:tentative="1">
      <w:start w:val="1"/>
      <w:numFmt w:val="lowerRoman"/>
      <w:lvlText w:val="%9."/>
      <w:lvlJc w:val="right"/>
      <w:pPr>
        <w:ind w:left="7720" w:hanging="180"/>
      </w:pPr>
    </w:lvl>
  </w:abstractNum>
  <w:abstractNum w:abstractNumId="13" w15:restartNumberingAfterBreak="0">
    <w:nsid w:val="274D6156"/>
    <w:multiLevelType w:val="hybridMultilevel"/>
    <w:tmpl w:val="57524E60"/>
    <w:lvl w:ilvl="0" w:tplc="33022FB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6E63DA"/>
    <w:multiLevelType w:val="hybridMultilevel"/>
    <w:tmpl w:val="57524E60"/>
    <w:lvl w:ilvl="0" w:tplc="33022FB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E42733"/>
    <w:multiLevelType w:val="singleLevel"/>
    <w:tmpl w:val="10ACD196"/>
    <w:lvl w:ilvl="0">
      <w:start w:val="1"/>
      <w:numFmt w:val="lowerLetter"/>
      <w:lvlText w:val="(%1)"/>
      <w:legacy w:legacy="1" w:legacySpace="0" w:legacyIndent="0"/>
      <w:lvlJc w:val="left"/>
      <w:pPr>
        <w:ind w:left="2160" w:firstLine="0"/>
      </w:pPr>
    </w:lvl>
  </w:abstractNum>
  <w:abstractNum w:abstractNumId="16" w15:restartNumberingAfterBreak="0">
    <w:nsid w:val="2EFD6C21"/>
    <w:multiLevelType w:val="hybridMultilevel"/>
    <w:tmpl w:val="33B2A738"/>
    <w:lvl w:ilvl="0" w:tplc="0809000F">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1233D4D"/>
    <w:multiLevelType w:val="singleLevel"/>
    <w:tmpl w:val="10ACD196"/>
    <w:lvl w:ilvl="0">
      <w:start w:val="1"/>
      <w:numFmt w:val="lowerLetter"/>
      <w:lvlText w:val="(%1)"/>
      <w:legacy w:legacy="1" w:legacySpace="0" w:legacyIndent="0"/>
      <w:lvlJc w:val="left"/>
      <w:pPr>
        <w:ind w:left="540" w:firstLine="0"/>
      </w:pPr>
    </w:lvl>
  </w:abstractNum>
  <w:abstractNum w:abstractNumId="19" w15:restartNumberingAfterBreak="0">
    <w:nsid w:val="438F750A"/>
    <w:multiLevelType w:val="hybridMultilevel"/>
    <w:tmpl w:val="57524E60"/>
    <w:lvl w:ilvl="0" w:tplc="33022FB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6551B1"/>
    <w:multiLevelType w:val="hybridMultilevel"/>
    <w:tmpl w:val="DA4EA1D8"/>
    <w:lvl w:ilvl="0" w:tplc="77C8B718">
      <w:start w:val="1"/>
      <w:numFmt w:val="decimal"/>
      <w:lvlText w:val="%1."/>
      <w:lvlJc w:val="left"/>
      <w:pPr>
        <w:tabs>
          <w:tab w:val="num" w:pos="2880"/>
        </w:tabs>
        <w:ind w:left="2880" w:hanging="25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2455B01"/>
    <w:multiLevelType w:val="hybridMultilevel"/>
    <w:tmpl w:val="57524E60"/>
    <w:lvl w:ilvl="0" w:tplc="33022FB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C4432E"/>
    <w:multiLevelType w:val="hybridMultilevel"/>
    <w:tmpl w:val="F710C5C6"/>
    <w:lvl w:ilvl="0" w:tplc="690202C0">
      <w:start w:val="1"/>
      <w:numFmt w:val="decimal"/>
      <w:lvlText w:val="%1."/>
      <w:lvlJc w:val="left"/>
      <w:pPr>
        <w:tabs>
          <w:tab w:val="num" w:pos="930"/>
        </w:tabs>
        <w:ind w:left="930" w:hanging="570"/>
      </w:pPr>
      <w:rPr>
        <w:rFonts w:hint="default"/>
      </w:rPr>
    </w:lvl>
    <w:lvl w:ilvl="1" w:tplc="1012CF8A">
      <w:start w:val="2"/>
      <w:numFmt w:val="lowerRoman"/>
      <w:lvlText w:val="(%2)"/>
      <w:lvlJc w:val="left"/>
      <w:pPr>
        <w:tabs>
          <w:tab w:val="num" w:pos="1800"/>
        </w:tabs>
        <w:ind w:left="1800" w:hanging="720"/>
      </w:pPr>
      <w:rPr>
        <w:rFonts w:hint="default"/>
      </w:rPr>
    </w:lvl>
    <w:lvl w:ilvl="2" w:tplc="BCB87B1E">
      <w:start w:val="2"/>
      <w:numFmt w:val="lowerLetter"/>
      <w:lvlText w:val="(%3)"/>
      <w:lvlJc w:val="left"/>
      <w:pPr>
        <w:tabs>
          <w:tab w:val="num" w:pos="2550"/>
        </w:tabs>
        <w:ind w:left="2550" w:hanging="57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F4512E9"/>
    <w:multiLevelType w:val="hybridMultilevel"/>
    <w:tmpl w:val="57524E60"/>
    <w:lvl w:ilvl="0" w:tplc="33022FB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1A4B7B"/>
    <w:multiLevelType w:val="hybridMultilevel"/>
    <w:tmpl w:val="A976A12E"/>
    <w:lvl w:ilvl="0" w:tplc="89306EDE">
      <w:start w:val="1"/>
      <w:numFmt w:val="lowerLetter"/>
      <w:lvlText w:val="%1)"/>
      <w:lvlJc w:val="left"/>
      <w:pPr>
        <w:ind w:left="1800" w:hanging="360"/>
      </w:pPr>
      <w:rPr>
        <w:rFonts w:ascii="Book Antiqua" w:hAnsi="Book Antiqua" w:cs="Aria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40A27DD"/>
    <w:multiLevelType w:val="hybridMultilevel"/>
    <w:tmpl w:val="23609BDC"/>
    <w:lvl w:ilvl="0" w:tplc="9E3256AA">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6" w15:restartNumberingAfterBreak="0">
    <w:nsid w:val="65357F2D"/>
    <w:multiLevelType w:val="hybridMultilevel"/>
    <w:tmpl w:val="22DCB132"/>
    <w:lvl w:ilvl="0" w:tplc="0809000F">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7B3094B"/>
    <w:multiLevelType w:val="multilevel"/>
    <w:tmpl w:val="4C6E9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8326F3"/>
    <w:multiLevelType w:val="singleLevel"/>
    <w:tmpl w:val="026E8354"/>
    <w:lvl w:ilvl="0">
      <w:start w:val="42"/>
      <w:numFmt w:val="decimal"/>
      <w:lvlText w:val="%1."/>
      <w:legacy w:legacy="1" w:legacySpace="0" w:legacyIndent="0"/>
      <w:lvlJc w:val="left"/>
      <w:pPr>
        <w:ind w:left="0" w:firstLine="0"/>
      </w:pPr>
    </w:lvl>
  </w:abstractNum>
  <w:abstractNum w:abstractNumId="29" w15:restartNumberingAfterBreak="0">
    <w:nsid w:val="6DF64C40"/>
    <w:multiLevelType w:val="hybridMultilevel"/>
    <w:tmpl w:val="57524E60"/>
    <w:lvl w:ilvl="0" w:tplc="33022FB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25580C"/>
    <w:multiLevelType w:val="multilevel"/>
    <w:tmpl w:val="2A4AC2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C2448"/>
    <w:multiLevelType w:val="hybridMultilevel"/>
    <w:tmpl w:val="631A4056"/>
    <w:lvl w:ilvl="0" w:tplc="63F4125A">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2" w15:restartNumberingAfterBreak="0">
    <w:nsid w:val="7BF37B67"/>
    <w:multiLevelType w:val="hybridMultilevel"/>
    <w:tmpl w:val="449CA0DE"/>
    <w:lvl w:ilvl="0" w:tplc="F5066DDE">
      <w:start w:val="1"/>
      <w:numFmt w:val="decimal"/>
      <w:lvlText w:val="%1."/>
      <w:lvlJc w:val="left"/>
      <w:pPr>
        <w:tabs>
          <w:tab w:val="num" w:pos="810"/>
        </w:tabs>
        <w:ind w:left="810" w:hanging="45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1"/>
  </w:num>
  <w:num w:numId="2">
    <w:abstractNumId w:val="3"/>
  </w:num>
  <w:num w:numId="3">
    <w:abstractNumId w:val="15"/>
  </w:num>
  <w:num w:numId="4">
    <w:abstractNumId w:val="2"/>
  </w:num>
  <w:num w:numId="5">
    <w:abstractNumId w:val="18"/>
  </w:num>
  <w:num w:numId="6">
    <w:abstractNumId w:val="28"/>
  </w:num>
  <w:num w:numId="7">
    <w:abstractNumId w:val="20"/>
  </w:num>
  <w:num w:numId="8">
    <w:abstractNumId w:val="26"/>
  </w:num>
  <w:num w:numId="9">
    <w:abstractNumId w:val="16"/>
  </w:num>
  <w:num w:numId="10">
    <w:abstractNumId w:val="14"/>
  </w:num>
  <w:num w:numId="11">
    <w:abstractNumId w:val="5"/>
  </w:num>
  <w:num w:numId="12">
    <w:abstractNumId w:val="32"/>
  </w:num>
  <w:num w:numId="13">
    <w:abstractNumId w:val="9"/>
  </w:num>
  <w:num w:numId="14">
    <w:abstractNumId w:val="0"/>
  </w:num>
  <w:num w:numId="15">
    <w:abstractNumId w:val="8"/>
  </w:num>
  <w:num w:numId="16">
    <w:abstractNumId w:val="1"/>
  </w:num>
  <w:num w:numId="17">
    <w:abstractNumId w:val="22"/>
  </w:num>
  <w:num w:numId="18">
    <w:abstractNumId w:val="17"/>
  </w:num>
  <w:num w:numId="19">
    <w:abstractNumId w:val="13"/>
  </w:num>
  <w:num w:numId="20">
    <w:abstractNumId w:val="27"/>
  </w:num>
  <w:num w:numId="21">
    <w:abstractNumId w:val="11"/>
  </w:num>
  <w:num w:numId="22">
    <w:abstractNumId w:val="4"/>
  </w:num>
  <w:num w:numId="23">
    <w:abstractNumId w:val="30"/>
  </w:num>
  <w:num w:numId="24">
    <w:abstractNumId w:val="6"/>
  </w:num>
  <w:num w:numId="25">
    <w:abstractNumId w:val="7"/>
  </w:num>
  <w:num w:numId="26">
    <w:abstractNumId w:val="29"/>
  </w:num>
  <w:num w:numId="27">
    <w:abstractNumId w:val="31"/>
  </w:num>
  <w:num w:numId="28">
    <w:abstractNumId w:val="25"/>
  </w:num>
  <w:num w:numId="29">
    <w:abstractNumId w:val="24"/>
  </w:num>
  <w:num w:numId="30">
    <w:abstractNumId w:val="12"/>
  </w:num>
  <w:num w:numId="31">
    <w:abstractNumId w:val="23"/>
  </w:num>
  <w:num w:numId="32">
    <w:abstractNumId w:val="1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D"/>
    <w:rsid w:val="00002757"/>
    <w:rsid w:val="0000495E"/>
    <w:rsid w:val="00007D1A"/>
    <w:rsid w:val="0002677B"/>
    <w:rsid w:val="00031C92"/>
    <w:rsid w:val="000568E6"/>
    <w:rsid w:val="00074737"/>
    <w:rsid w:val="00084E08"/>
    <w:rsid w:val="000A057E"/>
    <w:rsid w:val="000A2E4A"/>
    <w:rsid w:val="000A5487"/>
    <w:rsid w:val="000C3B77"/>
    <w:rsid w:val="000D06AC"/>
    <w:rsid w:val="000D6A19"/>
    <w:rsid w:val="000D733F"/>
    <w:rsid w:val="000E268F"/>
    <w:rsid w:val="000E4816"/>
    <w:rsid w:val="000F1E86"/>
    <w:rsid w:val="00103BE9"/>
    <w:rsid w:val="00104F9E"/>
    <w:rsid w:val="00106437"/>
    <w:rsid w:val="001172B1"/>
    <w:rsid w:val="00121936"/>
    <w:rsid w:val="00131A75"/>
    <w:rsid w:val="00140E6F"/>
    <w:rsid w:val="00146003"/>
    <w:rsid w:val="00150C0B"/>
    <w:rsid w:val="00157609"/>
    <w:rsid w:val="00163576"/>
    <w:rsid w:val="001734DE"/>
    <w:rsid w:val="00194B97"/>
    <w:rsid w:val="001960EB"/>
    <w:rsid w:val="0019747E"/>
    <w:rsid w:val="001A147E"/>
    <w:rsid w:val="001A5E83"/>
    <w:rsid w:val="001A6600"/>
    <w:rsid w:val="001B15A7"/>
    <w:rsid w:val="001B50F6"/>
    <w:rsid w:val="001C159D"/>
    <w:rsid w:val="001C7D61"/>
    <w:rsid w:val="001D6109"/>
    <w:rsid w:val="001E383F"/>
    <w:rsid w:val="001E5887"/>
    <w:rsid w:val="00201D2A"/>
    <w:rsid w:val="0020384A"/>
    <w:rsid w:val="0020415B"/>
    <w:rsid w:val="00206629"/>
    <w:rsid w:val="00226F15"/>
    <w:rsid w:val="002614C4"/>
    <w:rsid w:val="0026213E"/>
    <w:rsid w:val="00282676"/>
    <w:rsid w:val="002867C2"/>
    <w:rsid w:val="002A4D52"/>
    <w:rsid w:val="002B40DA"/>
    <w:rsid w:val="002D5F9B"/>
    <w:rsid w:val="002E3DA8"/>
    <w:rsid w:val="002F1BE4"/>
    <w:rsid w:val="002F29A3"/>
    <w:rsid w:val="002F3D38"/>
    <w:rsid w:val="002F3E8B"/>
    <w:rsid w:val="003058E1"/>
    <w:rsid w:val="00306A04"/>
    <w:rsid w:val="003167B8"/>
    <w:rsid w:val="00326537"/>
    <w:rsid w:val="0033168C"/>
    <w:rsid w:val="003320DF"/>
    <w:rsid w:val="0035435C"/>
    <w:rsid w:val="00355BD8"/>
    <w:rsid w:val="00363638"/>
    <w:rsid w:val="00365D4D"/>
    <w:rsid w:val="00376707"/>
    <w:rsid w:val="0038437A"/>
    <w:rsid w:val="00397B57"/>
    <w:rsid w:val="003A6C5B"/>
    <w:rsid w:val="003C7761"/>
    <w:rsid w:val="003D416D"/>
    <w:rsid w:val="003D6E97"/>
    <w:rsid w:val="003E7BA3"/>
    <w:rsid w:val="003F651F"/>
    <w:rsid w:val="00416666"/>
    <w:rsid w:val="004212F8"/>
    <w:rsid w:val="00422026"/>
    <w:rsid w:val="004236E7"/>
    <w:rsid w:val="004250CB"/>
    <w:rsid w:val="004303D6"/>
    <w:rsid w:val="00437A3E"/>
    <w:rsid w:val="00442180"/>
    <w:rsid w:val="00444EAF"/>
    <w:rsid w:val="00453F30"/>
    <w:rsid w:val="004566A0"/>
    <w:rsid w:val="00464C1B"/>
    <w:rsid w:val="00464E11"/>
    <w:rsid w:val="004707A9"/>
    <w:rsid w:val="00491A04"/>
    <w:rsid w:val="00493830"/>
    <w:rsid w:val="00495E0A"/>
    <w:rsid w:val="00496FA0"/>
    <w:rsid w:val="004A0C56"/>
    <w:rsid w:val="004A357C"/>
    <w:rsid w:val="004B5A3E"/>
    <w:rsid w:val="004B6B5F"/>
    <w:rsid w:val="004C20BA"/>
    <w:rsid w:val="004C6F94"/>
    <w:rsid w:val="004D1C82"/>
    <w:rsid w:val="004D2587"/>
    <w:rsid w:val="004E5DCC"/>
    <w:rsid w:val="00501915"/>
    <w:rsid w:val="00514018"/>
    <w:rsid w:val="005219A3"/>
    <w:rsid w:val="00531866"/>
    <w:rsid w:val="00541566"/>
    <w:rsid w:val="005465A6"/>
    <w:rsid w:val="00546779"/>
    <w:rsid w:val="00547ACD"/>
    <w:rsid w:val="00574838"/>
    <w:rsid w:val="00576F5F"/>
    <w:rsid w:val="00593C27"/>
    <w:rsid w:val="005B3D3E"/>
    <w:rsid w:val="005B4EA6"/>
    <w:rsid w:val="005D018F"/>
    <w:rsid w:val="005D0356"/>
    <w:rsid w:val="005E063B"/>
    <w:rsid w:val="006021AA"/>
    <w:rsid w:val="00603C83"/>
    <w:rsid w:val="006048A8"/>
    <w:rsid w:val="00607CDB"/>
    <w:rsid w:val="00615124"/>
    <w:rsid w:val="00617C2B"/>
    <w:rsid w:val="00636334"/>
    <w:rsid w:val="00640FC4"/>
    <w:rsid w:val="00642FB9"/>
    <w:rsid w:val="006453F7"/>
    <w:rsid w:val="0064787C"/>
    <w:rsid w:val="006501E9"/>
    <w:rsid w:val="00663F87"/>
    <w:rsid w:val="006669E1"/>
    <w:rsid w:val="00670074"/>
    <w:rsid w:val="006714F8"/>
    <w:rsid w:val="006808AF"/>
    <w:rsid w:val="00682BDE"/>
    <w:rsid w:val="006845EA"/>
    <w:rsid w:val="006A46BB"/>
    <w:rsid w:val="006B1941"/>
    <w:rsid w:val="006D357B"/>
    <w:rsid w:val="006E334E"/>
    <w:rsid w:val="006E3B56"/>
    <w:rsid w:val="006F1F54"/>
    <w:rsid w:val="006F2619"/>
    <w:rsid w:val="00706D0A"/>
    <w:rsid w:val="00707F59"/>
    <w:rsid w:val="00714704"/>
    <w:rsid w:val="007175EF"/>
    <w:rsid w:val="00724508"/>
    <w:rsid w:val="00732A7C"/>
    <w:rsid w:val="00745BEB"/>
    <w:rsid w:val="00750F9A"/>
    <w:rsid w:val="007572FC"/>
    <w:rsid w:val="00767F2B"/>
    <w:rsid w:val="00780FCF"/>
    <w:rsid w:val="00781DB2"/>
    <w:rsid w:val="007863DA"/>
    <w:rsid w:val="00786C2F"/>
    <w:rsid w:val="007873A0"/>
    <w:rsid w:val="00795DC0"/>
    <w:rsid w:val="00796056"/>
    <w:rsid w:val="0079606B"/>
    <w:rsid w:val="007A0337"/>
    <w:rsid w:val="007A1DB3"/>
    <w:rsid w:val="007B1035"/>
    <w:rsid w:val="007B12FE"/>
    <w:rsid w:val="007B42E5"/>
    <w:rsid w:val="007C7EAC"/>
    <w:rsid w:val="007D206D"/>
    <w:rsid w:val="007D7F40"/>
    <w:rsid w:val="007E2FD6"/>
    <w:rsid w:val="007E3570"/>
    <w:rsid w:val="007E3659"/>
    <w:rsid w:val="007E7020"/>
    <w:rsid w:val="007E76EC"/>
    <w:rsid w:val="00801B3D"/>
    <w:rsid w:val="00805E20"/>
    <w:rsid w:val="0081666F"/>
    <w:rsid w:val="00824D71"/>
    <w:rsid w:val="00825490"/>
    <w:rsid w:val="00834E4A"/>
    <w:rsid w:val="00837C97"/>
    <w:rsid w:val="00844271"/>
    <w:rsid w:val="008506C7"/>
    <w:rsid w:val="008562F2"/>
    <w:rsid w:val="0085646F"/>
    <w:rsid w:val="00856A83"/>
    <w:rsid w:val="00882CD3"/>
    <w:rsid w:val="00892D30"/>
    <w:rsid w:val="00895158"/>
    <w:rsid w:val="00896BD7"/>
    <w:rsid w:val="008A0201"/>
    <w:rsid w:val="008A494F"/>
    <w:rsid w:val="008B05A3"/>
    <w:rsid w:val="008B5273"/>
    <w:rsid w:val="008B5E92"/>
    <w:rsid w:val="008C070A"/>
    <w:rsid w:val="008F26DA"/>
    <w:rsid w:val="00910957"/>
    <w:rsid w:val="0092223B"/>
    <w:rsid w:val="00922D5F"/>
    <w:rsid w:val="0092472C"/>
    <w:rsid w:val="009271F0"/>
    <w:rsid w:val="00927AAD"/>
    <w:rsid w:val="0094725E"/>
    <w:rsid w:val="00953D03"/>
    <w:rsid w:val="00955C5D"/>
    <w:rsid w:val="0095763F"/>
    <w:rsid w:val="009607E8"/>
    <w:rsid w:val="0096287C"/>
    <w:rsid w:val="00963584"/>
    <w:rsid w:val="00966B7E"/>
    <w:rsid w:val="00985BDD"/>
    <w:rsid w:val="00986DF0"/>
    <w:rsid w:val="00991592"/>
    <w:rsid w:val="009979C8"/>
    <w:rsid w:val="009A3BCB"/>
    <w:rsid w:val="009C3455"/>
    <w:rsid w:val="009D06EE"/>
    <w:rsid w:val="009D1FD3"/>
    <w:rsid w:val="009E2256"/>
    <w:rsid w:val="009E50FB"/>
    <w:rsid w:val="009E60A1"/>
    <w:rsid w:val="009F24F1"/>
    <w:rsid w:val="00A01BAD"/>
    <w:rsid w:val="00A02C8C"/>
    <w:rsid w:val="00A107F0"/>
    <w:rsid w:val="00A156A0"/>
    <w:rsid w:val="00A255CA"/>
    <w:rsid w:val="00A27C6E"/>
    <w:rsid w:val="00A401A8"/>
    <w:rsid w:val="00A43D92"/>
    <w:rsid w:val="00A47883"/>
    <w:rsid w:val="00A5002D"/>
    <w:rsid w:val="00A55426"/>
    <w:rsid w:val="00A57C35"/>
    <w:rsid w:val="00A66E88"/>
    <w:rsid w:val="00A72F35"/>
    <w:rsid w:val="00A753A7"/>
    <w:rsid w:val="00A92076"/>
    <w:rsid w:val="00A9231C"/>
    <w:rsid w:val="00A96833"/>
    <w:rsid w:val="00A97E1E"/>
    <w:rsid w:val="00AA03EC"/>
    <w:rsid w:val="00AA7F73"/>
    <w:rsid w:val="00AD0D04"/>
    <w:rsid w:val="00AD0E10"/>
    <w:rsid w:val="00AD4C72"/>
    <w:rsid w:val="00AD5653"/>
    <w:rsid w:val="00AD7BF2"/>
    <w:rsid w:val="00AE3DC1"/>
    <w:rsid w:val="00AE40AE"/>
    <w:rsid w:val="00AE5209"/>
    <w:rsid w:val="00AF41AF"/>
    <w:rsid w:val="00B120DE"/>
    <w:rsid w:val="00B125D7"/>
    <w:rsid w:val="00B213FE"/>
    <w:rsid w:val="00B31824"/>
    <w:rsid w:val="00B32B49"/>
    <w:rsid w:val="00B44BBE"/>
    <w:rsid w:val="00B511FB"/>
    <w:rsid w:val="00B5248B"/>
    <w:rsid w:val="00B658D5"/>
    <w:rsid w:val="00B65FC2"/>
    <w:rsid w:val="00B66207"/>
    <w:rsid w:val="00B84A18"/>
    <w:rsid w:val="00B85442"/>
    <w:rsid w:val="00B906A5"/>
    <w:rsid w:val="00B94A86"/>
    <w:rsid w:val="00BB2214"/>
    <w:rsid w:val="00BB2D8D"/>
    <w:rsid w:val="00BB5C3D"/>
    <w:rsid w:val="00BC3BAB"/>
    <w:rsid w:val="00BC4981"/>
    <w:rsid w:val="00BC500B"/>
    <w:rsid w:val="00BC513A"/>
    <w:rsid w:val="00BD4F18"/>
    <w:rsid w:val="00BF0E3F"/>
    <w:rsid w:val="00C15884"/>
    <w:rsid w:val="00C164E9"/>
    <w:rsid w:val="00C201E8"/>
    <w:rsid w:val="00C2094E"/>
    <w:rsid w:val="00C23AA7"/>
    <w:rsid w:val="00C31235"/>
    <w:rsid w:val="00C32769"/>
    <w:rsid w:val="00C36A3F"/>
    <w:rsid w:val="00C44149"/>
    <w:rsid w:val="00C4450C"/>
    <w:rsid w:val="00C46ACC"/>
    <w:rsid w:val="00C54492"/>
    <w:rsid w:val="00C54F37"/>
    <w:rsid w:val="00C60740"/>
    <w:rsid w:val="00C666B8"/>
    <w:rsid w:val="00C674F5"/>
    <w:rsid w:val="00C71C17"/>
    <w:rsid w:val="00C72732"/>
    <w:rsid w:val="00C909D0"/>
    <w:rsid w:val="00CA0A2A"/>
    <w:rsid w:val="00CA0DAB"/>
    <w:rsid w:val="00CA5C42"/>
    <w:rsid w:val="00CB0984"/>
    <w:rsid w:val="00CC5BA1"/>
    <w:rsid w:val="00CD4F2B"/>
    <w:rsid w:val="00CD6FD3"/>
    <w:rsid w:val="00CF003B"/>
    <w:rsid w:val="00CF1924"/>
    <w:rsid w:val="00CF2660"/>
    <w:rsid w:val="00CF3E98"/>
    <w:rsid w:val="00D13F27"/>
    <w:rsid w:val="00D22EFA"/>
    <w:rsid w:val="00D32398"/>
    <w:rsid w:val="00D35C72"/>
    <w:rsid w:val="00D52C0F"/>
    <w:rsid w:val="00D55B41"/>
    <w:rsid w:val="00D5659D"/>
    <w:rsid w:val="00D66178"/>
    <w:rsid w:val="00D7283B"/>
    <w:rsid w:val="00D757B3"/>
    <w:rsid w:val="00D81C96"/>
    <w:rsid w:val="00D83308"/>
    <w:rsid w:val="00D83CD7"/>
    <w:rsid w:val="00D90E82"/>
    <w:rsid w:val="00D90FFD"/>
    <w:rsid w:val="00D911E5"/>
    <w:rsid w:val="00DA25A9"/>
    <w:rsid w:val="00DB75DD"/>
    <w:rsid w:val="00DD2BFF"/>
    <w:rsid w:val="00DE10E8"/>
    <w:rsid w:val="00E10FC7"/>
    <w:rsid w:val="00E138BA"/>
    <w:rsid w:val="00E23D67"/>
    <w:rsid w:val="00E30D34"/>
    <w:rsid w:val="00E35C64"/>
    <w:rsid w:val="00E507D7"/>
    <w:rsid w:val="00E54AE0"/>
    <w:rsid w:val="00E55D91"/>
    <w:rsid w:val="00E5721C"/>
    <w:rsid w:val="00E61D4D"/>
    <w:rsid w:val="00E659B0"/>
    <w:rsid w:val="00E83439"/>
    <w:rsid w:val="00E944A9"/>
    <w:rsid w:val="00EC709C"/>
    <w:rsid w:val="00ED0FAD"/>
    <w:rsid w:val="00ED3834"/>
    <w:rsid w:val="00ED47AD"/>
    <w:rsid w:val="00EE30D7"/>
    <w:rsid w:val="00EE601C"/>
    <w:rsid w:val="00EF03CE"/>
    <w:rsid w:val="00F024CD"/>
    <w:rsid w:val="00F126C7"/>
    <w:rsid w:val="00F144E5"/>
    <w:rsid w:val="00F52EDB"/>
    <w:rsid w:val="00F56E76"/>
    <w:rsid w:val="00F65DBB"/>
    <w:rsid w:val="00F67AEB"/>
    <w:rsid w:val="00F67EB0"/>
    <w:rsid w:val="00F958B4"/>
    <w:rsid w:val="00FA03A3"/>
    <w:rsid w:val="00FA7FB8"/>
    <w:rsid w:val="00FB0E32"/>
    <w:rsid w:val="00FB4D1D"/>
    <w:rsid w:val="00FC1A8D"/>
    <w:rsid w:val="00FD4171"/>
    <w:rsid w:val="00FE1CE8"/>
    <w:rsid w:val="00FF52BA"/>
    <w:rsid w:val="00FF55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9E71C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85BDD"/>
    <w:rPr>
      <w:rFonts w:ascii="Times New Roman" w:eastAsia="Times New Roman" w:hAnsi="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5BD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18E4"/>
    <w:pPr>
      <w:tabs>
        <w:tab w:val="center" w:pos="4153"/>
        <w:tab w:val="right" w:pos="8306"/>
      </w:tabs>
    </w:pPr>
  </w:style>
  <w:style w:type="character" w:customStyle="1" w:styleId="HeaderChar">
    <w:name w:val="Header Char"/>
    <w:link w:val="Header"/>
    <w:rsid w:val="00A518E4"/>
    <w:rPr>
      <w:rFonts w:ascii="Times New Roman" w:eastAsia="Times New Roman" w:hAnsi="Times New Roman" w:cs="Times New Roman"/>
      <w:lang w:val="en-GB" w:eastAsia="en-GB"/>
    </w:rPr>
  </w:style>
  <w:style w:type="paragraph" w:styleId="Footer">
    <w:name w:val="footer"/>
    <w:basedOn w:val="Normal"/>
    <w:link w:val="FooterChar"/>
    <w:uiPriority w:val="99"/>
    <w:rsid w:val="00A518E4"/>
    <w:pPr>
      <w:tabs>
        <w:tab w:val="center" w:pos="4153"/>
        <w:tab w:val="right" w:pos="8306"/>
      </w:tabs>
    </w:pPr>
  </w:style>
  <w:style w:type="character" w:customStyle="1" w:styleId="FooterChar">
    <w:name w:val="Footer Char"/>
    <w:link w:val="Footer"/>
    <w:uiPriority w:val="99"/>
    <w:rsid w:val="00A518E4"/>
    <w:rPr>
      <w:rFonts w:ascii="Times New Roman" w:eastAsia="Times New Roman" w:hAnsi="Times New Roman" w:cs="Times New Roman"/>
      <w:lang w:val="en-GB" w:eastAsia="en-GB"/>
    </w:rPr>
  </w:style>
  <w:style w:type="character" w:styleId="PageNumber">
    <w:name w:val="page number"/>
    <w:basedOn w:val="DefaultParagraphFont"/>
    <w:rsid w:val="00A518E4"/>
  </w:style>
  <w:style w:type="paragraph" w:customStyle="1" w:styleId="COIS-M05-Numpara">
    <w:name w:val="COIS-M/05-Num para"/>
    <w:rsid w:val="00A518E4"/>
    <w:pPr>
      <w:tabs>
        <w:tab w:val="left" w:pos="851"/>
      </w:tabs>
      <w:ind w:left="848" w:hanging="848"/>
      <w:jc w:val="both"/>
    </w:pPr>
    <w:rPr>
      <w:rFonts w:ascii="Arial" w:eastAsia="Times" w:hAnsi="Arial"/>
      <w:color w:val="000000"/>
      <w:sz w:val="22"/>
      <w:szCs w:val="24"/>
      <w:lang w:eastAsia="en-GB"/>
    </w:rPr>
  </w:style>
  <w:style w:type="character" w:customStyle="1" w:styleId="COIS-M10-Sourcelink">
    <w:name w:val="COIS-M/10-Source link"/>
    <w:rsid w:val="00A518E4"/>
    <w:rPr>
      <w:rFonts w:ascii="Arial" w:hAnsi="Arial"/>
      <w:b/>
      <w:dstrike w:val="0"/>
      <w:noProof w:val="0"/>
      <w:color w:val="000000"/>
      <w:spacing w:val="0"/>
      <w:w w:val="100"/>
      <w:kern w:val="0"/>
      <w:position w:val="0"/>
      <w:sz w:val="18"/>
      <w:szCs w:val="18"/>
      <w:u w:val="none"/>
      <w:effect w:val="none"/>
      <w:bdr w:val="none" w:sz="0" w:space="0" w:color="auto"/>
      <w:shd w:val="clear" w:color="auto" w:fill="auto"/>
      <w:vertAlign w:val="baseline"/>
      <w:lang w:val="en-GB"/>
    </w:rPr>
  </w:style>
  <w:style w:type="paragraph" w:customStyle="1" w:styleId="COIS-M07-Quote">
    <w:name w:val="COIS-M/07-Quote"/>
    <w:next w:val="COIS-M05-Numpara"/>
    <w:rsid w:val="00A518E4"/>
    <w:pPr>
      <w:ind w:left="851"/>
    </w:pPr>
    <w:rPr>
      <w:rFonts w:ascii="Arial" w:eastAsia="Times" w:hAnsi="Arial"/>
      <w:color w:val="000000"/>
      <w:sz w:val="22"/>
      <w:szCs w:val="24"/>
      <w:lang w:eastAsia="en-GB"/>
    </w:rPr>
  </w:style>
  <w:style w:type="character" w:styleId="Hyperlink">
    <w:name w:val="Hyperlink"/>
    <w:rsid w:val="00A518E4"/>
    <w:rPr>
      <w:color w:val="0000FF"/>
      <w:u w:val="single"/>
    </w:rPr>
  </w:style>
  <w:style w:type="paragraph" w:styleId="NormalWeb">
    <w:name w:val="Normal (Web)"/>
    <w:basedOn w:val="Normal"/>
    <w:rsid w:val="00A518E4"/>
    <w:pPr>
      <w:spacing w:before="100" w:beforeAutospacing="1" w:after="100" w:afterAutospacing="1"/>
    </w:pPr>
  </w:style>
  <w:style w:type="paragraph" w:customStyle="1" w:styleId="ColorfulList-Accent11">
    <w:name w:val="Colorful List - Accent 11"/>
    <w:basedOn w:val="Normal"/>
    <w:uiPriority w:val="34"/>
    <w:qFormat/>
    <w:rsid w:val="00D3592C"/>
    <w:pPr>
      <w:ind w:left="720"/>
      <w:contextualSpacing/>
    </w:pPr>
  </w:style>
  <w:style w:type="character" w:styleId="FollowedHyperlink">
    <w:name w:val="FollowedHyperlink"/>
    <w:uiPriority w:val="99"/>
    <w:semiHidden/>
    <w:unhideWhenUsed/>
    <w:rsid w:val="00AB516B"/>
    <w:rPr>
      <w:color w:val="800080"/>
      <w:u w:val="single"/>
    </w:rPr>
  </w:style>
  <w:style w:type="paragraph" w:styleId="ListParagraph">
    <w:name w:val="List Paragraph"/>
    <w:basedOn w:val="Normal"/>
    <w:uiPriority w:val="34"/>
    <w:qFormat/>
    <w:rsid w:val="005D018F"/>
    <w:pPr>
      <w:ind w:left="720"/>
    </w:pPr>
  </w:style>
  <w:style w:type="paragraph" w:styleId="Title">
    <w:name w:val="Title"/>
    <w:basedOn w:val="Normal"/>
    <w:next w:val="Normal"/>
    <w:link w:val="TitleChar"/>
    <w:qFormat/>
    <w:rsid w:val="0038437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8437A"/>
    <w:rPr>
      <w:rFonts w:ascii="Calibri Light" w:eastAsia="Times New Roman" w:hAnsi="Calibri Light" w:cs="Times New Roman"/>
      <w:b/>
      <w:bCs/>
      <w:kern w:val="28"/>
      <w:sz w:val="32"/>
      <w:szCs w:val="32"/>
    </w:rPr>
  </w:style>
  <w:style w:type="paragraph" w:styleId="BalloonText">
    <w:name w:val="Balloon Text"/>
    <w:basedOn w:val="Normal"/>
    <w:link w:val="BalloonTextChar"/>
    <w:rsid w:val="00B31824"/>
    <w:rPr>
      <w:rFonts w:ascii="Lucida Grande" w:hAnsi="Lucida Grande" w:cs="Lucida Grande"/>
      <w:sz w:val="18"/>
      <w:szCs w:val="18"/>
    </w:rPr>
  </w:style>
  <w:style w:type="character" w:customStyle="1" w:styleId="BalloonTextChar">
    <w:name w:val="Balloon Text Char"/>
    <w:basedOn w:val="DefaultParagraphFont"/>
    <w:link w:val="BalloonText"/>
    <w:rsid w:val="00B31824"/>
    <w:rPr>
      <w:rFonts w:ascii="Lucida Grande" w:eastAsia="Times New Roman" w:hAnsi="Lucida Grande" w:cs="Lucida Grande"/>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679">
      <w:bodyDiv w:val="1"/>
      <w:marLeft w:val="0"/>
      <w:marRight w:val="0"/>
      <w:marTop w:val="0"/>
      <w:marBottom w:val="0"/>
      <w:divBdr>
        <w:top w:val="none" w:sz="0" w:space="0" w:color="auto"/>
        <w:left w:val="none" w:sz="0" w:space="0" w:color="auto"/>
        <w:bottom w:val="none" w:sz="0" w:space="0" w:color="auto"/>
        <w:right w:val="none" w:sz="0" w:space="0" w:color="auto"/>
      </w:divBdr>
      <w:divsChild>
        <w:div w:id="125198066">
          <w:marLeft w:val="0"/>
          <w:marRight w:val="0"/>
          <w:marTop w:val="0"/>
          <w:marBottom w:val="0"/>
          <w:divBdr>
            <w:top w:val="none" w:sz="0" w:space="0" w:color="auto"/>
            <w:left w:val="none" w:sz="0" w:space="0" w:color="auto"/>
            <w:bottom w:val="none" w:sz="0" w:space="0" w:color="auto"/>
            <w:right w:val="none" w:sz="0" w:space="0" w:color="auto"/>
          </w:divBdr>
          <w:divsChild>
            <w:div w:id="2134206415">
              <w:marLeft w:val="0"/>
              <w:marRight w:val="0"/>
              <w:marTop w:val="0"/>
              <w:marBottom w:val="0"/>
              <w:divBdr>
                <w:top w:val="none" w:sz="0" w:space="0" w:color="auto"/>
                <w:left w:val="none" w:sz="0" w:space="0" w:color="auto"/>
                <w:bottom w:val="none" w:sz="0" w:space="0" w:color="auto"/>
                <w:right w:val="none" w:sz="0" w:space="0" w:color="auto"/>
              </w:divBdr>
              <w:divsChild>
                <w:div w:id="13712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4866">
      <w:bodyDiv w:val="1"/>
      <w:marLeft w:val="0"/>
      <w:marRight w:val="0"/>
      <w:marTop w:val="0"/>
      <w:marBottom w:val="0"/>
      <w:divBdr>
        <w:top w:val="none" w:sz="0" w:space="0" w:color="auto"/>
        <w:left w:val="none" w:sz="0" w:space="0" w:color="auto"/>
        <w:bottom w:val="none" w:sz="0" w:space="0" w:color="auto"/>
        <w:right w:val="none" w:sz="0" w:space="0" w:color="auto"/>
      </w:divBdr>
      <w:divsChild>
        <w:div w:id="1018239336">
          <w:marLeft w:val="0"/>
          <w:marRight w:val="0"/>
          <w:marTop w:val="0"/>
          <w:marBottom w:val="0"/>
          <w:divBdr>
            <w:top w:val="none" w:sz="0" w:space="0" w:color="auto"/>
            <w:left w:val="none" w:sz="0" w:space="0" w:color="auto"/>
            <w:bottom w:val="none" w:sz="0" w:space="0" w:color="auto"/>
            <w:right w:val="none" w:sz="0" w:space="0" w:color="auto"/>
          </w:divBdr>
          <w:divsChild>
            <w:div w:id="1945962046">
              <w:marLeft w:val="0"/>
              <w:marRight w:val="0"/>
              <w:marTop w:val="0"/>
              <w:marBottom w:val="0"/>
              <w:divBdr>
                <w:top w:val="none" w:sz="0" w:space="0" w:color="auto"/>
                <w:left w:val="none" w:sz="0" w:space="0" w:color="auto"/>
                <w:bottom w:val="none" w:sz="0" w:space="0" w:color="auto"/>
                <w:right w:val="none" w:sz="0" w:space="0" w:color="auto"/>
              </w:divBdr>
              <w:divsChild>
                <w:div w:id="1889028221">
                  <w:marLeft w:val="0"/>
                  <w:marRight w:val="0"/>
                  <w:marTop w:val="0"/>
                  <w:marBottom w:val="0"/>
                  <w:divBdr>
                    <w:top w:val="none" w:sz="0" w:space="0" w:color="auto"/>
                    <w:left w:val="none" w:sz="0" w:space="0" w:color="auto"/>
                    <w:bottom w:val="none" w:sz="0" w:space="0" w:color="auto"/>
                    <w:right w:val="none" w:sz="0" w:space="0" w:color="auto"/>
                  </w:divBdr>
                </w:div>
              </w:divsChild>
            </w:div>
            <w:div w:id="1033772803">
              <w:marLeft w:val="0"/>
              <w:marRight w:val="0"/>
              <w:marTop w:val="0"/>
              <w:marBottom w:val="0"/>
              <w:divBdr>
                <w:top w:val="none" w:sz="0" w:space="0" w:color="auto"/>
                <w:left w:val="none" w:sz="0" w:space="0" w:color="auto"/>
                <w:bottom w:val="none" w:sz="0" w:space="0" w:color="auto"/>
                <w:right w:val="none" w:sz="0" w:space="0" w:color="auto"/>
              </w:divBdr>
              <w:divsChild>
                <w:div w:id="19186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6217">
          <w:marLeft w:val="0"/>
          <w:marRight w:val="0"/>
          <w:marTop w:val="0"/>
          <w:marBottom w:val="0"/>
          <w:divBdr>
            <w:top w:val="none" w:sz="0" w:space="0" w:color="auto"/>
            <w:left w:val="none" w:sz="0" w:space="0" w:color="auto"/>
            <w:bottom w:val="none" w:sz="0" w:space="0" w:color="auto"/>
            <w:right w:val="none" w:sz="0" w:space="0" w:color="auto"/>
          </w:divBdr>
          <w:divsChild>
            <w:div w:id="730271504">
              <w:marLeft w:val="0"/>
              <w:marRight w:val="0"/>
              <w:marTop w:val="0"/>
              <w:marBottom w:val="0"/>
              <w:divBdr>
                <w:top w:val="none" w:sz="0" w:space="0" w:color="auto"/>
                <w:left w:val="none" w:sz="0" w:space="0" w:color="auto"/>
                <w:bottom w:val="none" w:sz="0" w:space="0" w:color="auto"/>
                <w:right w:val="none" w:sz="0" w:space="0" w:color="auto"/>
              </w:divBdr>
              <w:divsChild>
                <w:div w:id="11498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0762">
      <w:bodyDiv w:val="1"/>
      <w:marLeft w:val="0"/>
      <w:marRight w:val="0"/>
      <w:marTop w:val="0"/>
      <w:marBottom w:val="0"/>
      <w:divBdr>
        <w:top w:val="none" w:sz="0" w:space="0" w:color="auto"/>
        <w:left w:val="none" w:sz="0" w:space="0" w:color="auto"/>
        <w:bottom w:val="none" w:sz="0" w:space="0" w:color="auto"/>
        <w:right w:val="none" w:sz="0" w:space="0" w:color="auto"/>
      </w:divBdr>
    </w:div>
    <w:div w:id="926235114">
      <w:bodyDiv w:val="1"/>
      <w:marLeft w:val="0"/>
      <w:marRight w:val="0"/>
      <w:marTop w:val="0"/>
      <w:marBottom w:val="0"/>
      <w:divBdr>
        <w:top w:val="none" w:sz="0" w:space="0" w:color="auto"/>
        <w:left w:val="none" w:sz="0" w:space="0" w:color="auto"/>
        <w:bottom w:val="none" w:sz="0" w:space="0" w:color="auto"/>
        <w:right w:val="none" w:sz="0" w:space="0" w:color="auto"/>
      </w:divBdr>
      <w:divsChild>
        <w:div w:id="62148058">
          <w:marLeft w:val="0"/>
          <w:marRight w:val="0"/>
          <w:marTop w:val="0"/>
          <w:marBottom w:val="0"/>
          <w:divBdr>
            <w:top w:val="none" w:sz="0" w:space="0" w:color="auto"/>
            <w:left w:val="none" w:sz="0" w:space="0" w:color="auto"/>
            <w:bottom w:val="none" w:sz="0" w:space="0" w:color="auto"/>
            <w:right w:val="none" w:sz="0" w:space="0" w:color="auto"/>
          </w:divBdr>
          <w:divsChild>
            <w:div w:id="435633883">
              <w:marLeft w:val="0"/>
              <w:marRight w:val="0"/>
              <w:marTop w:val="0"/>
              <w:marBottom w:val="0"/>
              <w:divBdr>
                <w:top w:val="none" w:sz="0" w:space="0" w:color="auto"/>
                <w:left w:val="none" w:sz="0" w:space="0" w:color="auto"/>
                <w:bottom w:val="none" w:sz="0" w:space="0" w:color="auto"/>
                <w:right w:val="none" w:sz="0" w:space="0" w:color="auto"/>
              </w:divBdr>
            </w:div>
          </w:divsChild>
        </w:div>
        <w:div w:id="994146156">
          <w:marLeft w:val="0"/>
          <w:marRight w:val="0"/>
          <w:marTop w:val="0"/>
          <w:marBottom w:val="0"/>
          <w:divBdr>
            <w:top w:val="none" w:sz="0" w:space="0" w:color="auto"/>
            <w:left w:val="none" w:sz="0" w:space="0" w:color="auto"/>
            <w:bottom w:val="none" w:sz="0" w:space="0" w:color="auto"/>
            <w:right w:val="none" w:sz="0" w:space="0" w:color="auto"/>
          </w:divBdr>
          <w:divsChild>
            <w:div w:id="901717229">
              <w:marLeft w:val="0"/>
              <w:marRight w:val="0"/>
              <w:marTop w:val="0"/>
              <w:marBottom w:val="0"/>
              <w:divBdr>
                <w:top w:val="none" w:sz="0" w:space="0" w:color="auto"/>
                <w:left w:val="none" w:sz="0" w:space="0" w:color="auto"/>
                <w:bottom w:val="none" w:sz="0" w:space="0" w:color="auto"/>
                <w:right w:val="none" w:sz="0" w:space="0" w:color="auto"/>
              </w:divBdr>
            </w:div>
          </w:divsChild>
        </w:div>
        <w:div w:id="1529294851">
          <w:marLeft w:val="0"/>
          <w:marRight w:val="0"/>
          <w:marTop w:val="0"/>
          <w:marBottom w:val="0"/>
          <w:divBdr>
            <w:top w:val="none" w:sz="0" w:space="0" w:color="auto"/>
            <w:left w:val="none" w:sz="0" w:space="0" w:color="auto"/>
            <w:bottom w:val="none" w:sz="0" w:space="0" w:color="auto"/>
            <w:right w:val="none" w:sz="0" w:space="0" w:color="auto"/>
          </w:divBdr>
          <w:divsChild>
            <w:div w:id="411851995">
              <w:marLeft w:val="0"/>
              <w:marRight w:val="0"/>
              <w:marTop w:val="0"/>
              <w:marBottom w:val="0"/>
              <w:divBdr>
                <w:top w:val="none" w:sz="0" w:space="0" w:color="auto"/>
                <w:left w:val="none" w:sz="0" w:space="0" w:color="auto"/>
                <w:bottom w:val="none" w:sz="0" w:space="0" w:color="auto"/>
                <w:right w:val="none" w:sz="0" w:space="0" w:color="auto"/>
              </w:divBdr>
              <w:divsChild>
                <w:div w:id="879904230">
                  <w:marLeft w:val="0"/>
                  <w:marRight w:val="0"/>
                  <w:marTop w:val="0"/>
                  <w:marBottom w:val="0"/>
                  <w:divBdr>
                    <w:top w:val="none" w:sz="0" w:space="0" w:color="auto"/>
                    <w:left w:val="none" w:sz="0" w:space="0" w:color="auto"/>
                    <w:bottom w:val="none" w:sz="0" w:space="0" w:color="auto"/>
                    <w:right w:val="none" w:sz="0" w:space="0" w:color="auto"/>
                  </w:divBdr>
                </w:div>
              </w:divsChild>
            </w:div>
            <w:div w:id="1188450893">
              <w:marLeft w:val="0"/>
              <w:marRight w:val="0"/>
              <w:marTop w:val="0"/>
              <w:marBottom w:val="0"/>
              <w:divBdr>
                <w:top w:val="none" w:sz="0" w:space="0" w:color="auto"/>
                <w:left w:val="none" w:sz="0" w:space="0" w:color="auto"/>
                <w:bottom w:val="none" w:sz="0" w:space="0" w:color="auto"/>
                <w:right w:val="none" w:sz="0" w:space="0" w:color="auto"/>
              </w:divBdr>
              <w:divsChild>
                <w:div w:id="18779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468">
          <w:marLeft w:val="0"/>
          <w:marRight w:val="0"/>
          <w:marTop w:val="0"/>
          <w:marBottom w:val="0"/>
          <w:divBdr>
            <w:top w:val="none" w:sz="0" w:space="0" w:color="auto"/>
            <w:left w:val="none" w:sz="0" w:space="0" w:color="auto"/>
            <w:bottom w:val="none" w:sz="0" w:space="0" w:color="auto"/>
            <w:right w:val="none" w:sz="0" w:space="0" w:color="auto"/>
          </w:divBdr>
          <w:divsChild>
            <w:div w:id="2123648575">
              <w:marLeft w:val="0"/>
              <w:marRight w:val="0"/>
              <w:marTop w:val="0"/>
              <w:marBottom w:val="0"/>
              <w:divBdr>
                <w:top w:val="none" w:sz="0" w:space="0" w:color="auto"/>
                <w:left w:val="none" w:sz="0" w:space="0" w:color="auto"/>
                <w:bottom w:val="none" w:sz="0" w:space="0" w:color="auto"/>
                <w:right w:val="none" w:sz="0" w:space="0" w:color="auto"/>
              </w:divBdr>
              <w:divsChild>
                <w:div w:id="933123261">
                  <w:marLeft w:val="0"/>
                  <w:marRight w:val="0"/>
                  <w:marTop w:val="0"/>
                  <w:marBottom w:val="0"/>
                  <w:divBdr>
                    <w:top w:val="none" w:sz="0" w:space="0" w:color="auto"/>
                    <w:left w:val="none" w:sz="0" w:space="0" w:color="auto"/>
                    <w:bottom w:val="none" w:sz="0" w:space="0" w:color="auto"/>
                    <w:right w:val="none" w:sz="0" w:space="0" w:color="auto"/>
                  </w:divBdr>
                  <w:divsChild>
                    <w:div w:id="1475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10619">
      <w:bodyDiv w:val="1"/>
      <w:marLeft w:val="0"/>
      <w:marRight w:val="0"/>
      <w:marTop w:val="0"/>
      <w:marBottom w:val="0"/>
      <w:divBdr>
        <w:top w:val="none" w:sz="0" w:space="0" w:color="auto"/>
        <w:left w:val="none" w:sz="0" w:space="0" w:color="auto"/>
        <w:bottom w:val="none" w:sz="0" w:space="0" w:color="auto"/>
        <w:right w:val="none" w:sz="0" w:space="0" w:color="auto"/>
      </w:divBdr>
    </w:div>
    <w:div w:id="1312560913">
      <w:bodyDiv w:val="1"/>
      <w:marLeft w:val="0"/>
      <w:marRight w:val="0"/>
      <w:marTop w:val="0"/>
      <w:marBottom w:val="0"/>
      <w:divBdr>
        <w:top w:val="none" w:sz="0" w:space="0" w:color="auto"/>
        <w:left w:val="none" w:sz="0" w:space="0" w:color="auto"/>
        <w:bottom w:val="none" w:sz="0" w:space="0" w:color="auto"/>
        <w:right w:val="none" w:sz="0" w:space="0" w:color="auto"/>
      </w:divBdr>
    </w:div>
    <w:div w:id="2061979268">
      <w:bodyDiv w:val="1"/>
      <w:marLeft w:val="0"/>
      <w:marRight w:val="0"/>
      <w:marTop w:val="0"/>
      <w:marBottom w:val="0"/>
      <w:divBdr>
        <w:top w:val="none" w:sz="0" w:space="0" w:color="auto"/>
        <w:left w:val="none" w:sz="0" w:space="0" w:color="auto"/>
        <w:bottom w:val="none" w:sz="0" w:space="0" w:color="auto"/>
        <w:right w:val="none" w:sz="0" w:space="0" w:color="auto"/>
      </w:divBdr>
      <w:divsChild>
        <w:div w:id="527330462">
          <w:marLeft w:val="0"/>
          <w:marRight w:val="0"/>
          <w:marTop w:val="0"/>
          <w:marBottom w:val="0"/>
          <w:divBdr>
            <w:top w:val="none" w:sz="0" w:space="0" w:color="auto"/>
            <w:left w:val="none" w:sz="0" w:space="0" w:color="auto"/>
            <w:bottom w:val="none" w:sz="0" w:space="0" w:color="auto"/>
            <w:right w:val="none" w:sz="0" w:space="0" w:color="auto"/>
          </w:divBdr>
          <w:divsChild>
            <w:div w:id="1094865294">
              <w:marLeft w:val="0"/>
              <w:marRight w:val="0"/>
              <w:marTop w:val="0"/>
              <w:marBottom w:val="0"/>
              <w:divBdr>
                <w:top w:val="none" w:sz="0" w:space="0" w:color="auto"/>
                <w:left w:val="none" w:sz="0" w:space="0" w:color="auto"/>
                <w:bottom w:val="none" w:sz="0" w:space="0" w:color="auto"/>
                <w:right w:val="none" w:sz="0" w:space="0" w:color="auto"/>
              </w:divBdr>
              <w:divsChild>
                <w:div w:id="111440419">
                  <w:marLeft w:val="0"/>
                  <w:marRight w:val="0"/>
                  <w:marTop w:val="0"/>
                  <w:marBottom w:val="0"/>
                  <w:divBdr>
                    <w:top w:val="none" w:sz="0" w:space="0" w:color="auto"/>
                    <w:left w:val="none" w:sz="0" w:space="0" w:color="auto"/>
                    <w:bottom w:val="none" w:sz="0" w:space="0" w:color="auto"/>
                    <w:right w:val="none" w:sz="0" w:space="0" w:color="auto"/>
                  </w:divBdr>
                </w:div>
              </w:divsChild>
            </w:div>
            <w:div w:id="1120031420">
              <w:marLeft w:val="0"/>
              <w:marRight w:val="0"/>
              <w:marTop w:val="0"/>
              <w:marBottom w:val="0"/>
              <w:divBdr>
                <w:top w:val="none" w:sz="0" w:space="0" w:color="auto"/>
                <w:left w:val="none" w:sz="0" w:space="0" w:color="auto"/>
                <w:bottom w:val="none" w:sz="0" w:space="0" w:color="auto"/>
                <w:right w:val="none" w:sz="0" w:space="0" w:color="auto"/>
              </w:divBdr>
              <w:divsChild>
                <w:div w:id="12840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863">
          <w:marLeft w:val="0"/>
          <w:marRight w:val="0"/>
          <w:marTop w:val="0"/>
          <w:marBottom w:val="0"/>
          <w:divBdr>
            <w:top w:val="none" w:sz="0" w:space="0" w:color="auto"/>
            <w:left w:val="none" w:sz="0" w:space="0" w:color="auto"/>
            <w:bottom w:val="none" w:sz="0" w:space="0" w:color="auto"/>
            <w:right w:val="none" w:sz="0" w:space="0" w:color="auto"/>
          </w:divBdr>
          <w:divsChild>
            <w:div w:id="595361513">
              <w:marLeft w:val="0"/>
              <w:marRight w:val="0"/>
              <w:marTop w:val="0"/>
              <w:marBottom w:val="0"/>
              <w:divBdr>
                <w:top w:val="none" w:sz="0" w:space="0" w:color="auto"/>
                <w:left w:val="none" w:sz="0" w:space="0" w:color="auto"/>
                <w:bottom w:val="none" w:sz="0" w:space="0" w:color="auto"/>
                <w:right w:val="none" w:sz="0" w:space="0" w:color="auto"/>
              </w:divBdr>
              <w:divsChild>
                <w:div w:id="1879122140">
                  <w:marLeft w:val="0"/>
                  <w:marRight w:val="0"/>
                  <w:marTop w:val="0"/>
                  <w:marBottom w:val="0"/>
                  <w:divBdr>
                    <w:top w:val="none" w:sz="0" w:space="0" w:color="auto"/>
                    <w:left w:val="none" w:sz="0" w:space="0" w:color="auto"/>
                    <w:bottom w:val="none" w:sz="0" w:space="0" w:color="auto"/>
                    <w:right w:val="none" w:sz="0" w:space="0" w:color="auto"/>
                  </w:divBdr>
                  <w:divsChild>
                    <w:div w:id="230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7010">
          <w:marLeft w:val="0"/>
          <w:marRight w:val="0"/>
          <w:marTop w:val="0"/>
          <w:marBottom w:val="0"/>
          <w:divBdr>
            <w:top w:val="none" w:sz="0" w:space="0" w:color="auto"/>
            <w:left w:val="none" w:sz="0" w:space="0" w:color="auto"/>
            <w:bottom w:val="none" w:sz="0" w:space="0" w:color="auto"/>
            <w:right w:val="none" w:sz="0" w:space="0" w:color="auto"/>
          </w:divBdr>
          <w:divsChild>
            <w:div w:id="829910674">
              <w:marLeft w:val="0"/>
              <w:marRight w:val="0"/>
              <w:marTop w:val="0"/>
              <w:marBottom w:val="0"/>
              <w:divBdr>
                <w:top w:val="none" w:sz="0" w:space="0" w:color="auto"/>
                <w:left w:val="none" w:sz="0" w:space="0" w:color="auto"/>
                <w:bottom w:val="none" w:sz="0" w:space="0" w:color="auto"/>
                <w:right w:val="none" w:sz="0" w:space="0" w:color="auto"/>
              </w:divBdr>
            </w:div>
          </w:divsChild>
        </w:div>
        <w:div w:id="2045523246">
          <w:marLeft w:val="0"/>
          <w:marRight w:val="0"/>
          <w:marTop w:val="0"/>
          <w:marBottom w:val="0"/>
          <w:divBdr>
            <w:top w:val="none" w:sz="0" w:space="0" w:color="auto"/>
            <w:left w:val="none" w:sz="0" w:space="0" w:color="auto"/>
            <w:bottom w:val="none" w:sz="0" w:space="0" w:color="auto"/>
            <w:right w:val="none" w:sz="0" w:space="0" w:color="auto"/>
          </w:divBdr>
          <w:divsChild>
            <w:div w:id="21031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1496</Words>
  <Characters>7420</Characters>
  <Application>Microsoft Office Word</Application>
  <DocSecurity>0</DocSecurity>
  <Lines>61</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2018-09-06T12:32:00Z</dcterms:created>
  <dcterms:modified xsi:type="dcterms:W3CDTF">2018-09-06T12:32:00Z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