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A6E" w:rsidRDefault="00444A6E" w:rsidP="00444A6E">
      <w:pPr>
        <w:jc w:val="center"/>
      </w:pPr>
    </w:p>
    <w:p w:rsidR="00444A6E" w:rsidRDefault="00444A6E" w:rsidP="00444A6E">
      <w:pPr>
        <w:jc w:val="center"/>
        <w:rPr>
          <w:rFonts w:ascii="Book Antiqua" w:hAnsi="Book Antiqua" w:cs="Arial"/>
          <w:color w:val="000000"/>
        </w:rPr>
      </w:pPr>
      <w:r>
        <w:rPr>
          <w:noProof/>
        </w:rPr>
        <w:drawing>
          <wp:inline distT="0" distB="0" distL="0" distR="0" wp14:anchorId="280A3FF4" wp14:editId="2C443820">
            <wp:extent cx="1276350" cy="89535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rsidR="00444A6E" w:rsidRDefault="00444A6E" w:rsidP="00444A6E">
      <w:pPr>
        <w:tabs>
          <w:tab w:val="right" w:pos="9720"/>
        </w:tabs>
        <w:ind w:right="-82"/>
        <w:outlineLvl w:val="0"/>
        <w:rPr>
          <w:rFonts w:ascii="Book Antiqua" w:hAnsi="Book Antiqua" w:cs="Arial"/>
          <w:b/>
          <w:color w:val="000000"/>
        </w:rPr>
      </w:pPr>
    </w:p>
    <w:p w:rsidR="00444A6E" w:rsidRPr="00F97703" w:rsidRDefault="00444A6E" w:rsidP="00444A6E">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44A6E" w:rsidRDefault="00444A6E" w:rsidP="00444A6E">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ED35B2">
        <w:rPr>
          <w:rFonts w:ascii="Book Antiqua" w:hAnsi="Book Antiqua" w:cs="Arial"/>
          <w:caps/>
          <w:color w:val="000000"/>
        </w:rPr>
        <w:t>EA/</w:t>
      </w:r>
      <w:r w:rsidR="00301782">
        <w:rPr>
          <w:rFonts w:ascii="Book Antiqua" w:hAnsi="Book Antiqua" w:cs="Arial"/>
          <w:caps/>
          <w:color w:val="000000"/>
        </w:rPr>
        <w:t>01428</w:t>
      </w:r>
      <w:r w:rsidR="00C45404">
        <w:rPr>
          <w:rFonts w:ascii="Book Antiqua" w:hAnsi="Book Antiqua" w:cs="Arial"/>
          <w:caps/>
          <w:color w:val="000000"/>
        </w:rPr>
        <w:t>/2015</w:t>
      </w:r>
      <w:bookmarkEnd w:id="0"/>
    </w:p>
    <w:p w:rsidR="00ED35B2" w:rsidRPr="00F97703" w:rsidRDefault="00ED35B2" w:rsidP="00444A6E">
      <w:pPr>
        <w:tabs>
          <w:tab w:val="right" w:pos="9720"/>
        </w:tabs>
        <w:ind w:right="-82"/>
        <w:rPr>
          <w:rFonts w:ascii="Book Antiqua" w:hAnsi="Book Antiqua" w:cs="Arial"/>
          <w:color w:val="000000"/>
        </w:rPr>
      </w:pPr>
      <w:r>
        <w:rPr>
          <w:rFonts w:ascii="Book Antiqua" w:hAnsi="Book Antiqua" w:cs="Arial"/>
          <w:caps/>
          <w:color w:val="000000"/>
        </w:rPr>
        <w:tab/>
      </w:r>
    </w:p>
    <w:p w:rsidR="00444A6E" w:rsidRDefault="00444A6E" w:rsidP="00444A6E">
      <w:pPr>
        <w:rPr>
          <w:rFonts w:ascii="Book Antiqua" w:hAnsi="Book Antiqua" w:cs="Arial"/>
          <w:color w:val="000000"/>
        </w:rPr>
      </w:pPr>
    </w:p>
    <w:p w:rsidR="00444A6E" w:rsidRPr="00F97703" w:rsidRDefault="00444A6E" w:rsidP="00444A6E">
      <w:pPr>
        <w:jc w:val="center"/>
        <w:rPr>
          <w:rFonts w:ascii="Book Antiqua" w:hAnsi="Book Antiqua" w:cs="Arial"/>
          <w:color w:val="000000"/>
        </w:rPr>
      </w:pPr>
    </w:p>
    <w:p w:rsidR="00444A6E" w:rsidRPr="00F97703" w:rsidRDefault="00444A6E" w:rsidP="00444A6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444A6E" w:rsidRDefault="00444A6E" w:rsidP="00444A6E">
      <w:pPr>
        <w:rPr>
          <w:rFonts w:ascii="Book Antiqua" w:hAnsi="Book Antiqua" w:cs="Arial"/>
          <w:b/>
          <w:u w:val="single"/>
        </w:rPr>
      </w:pPr>
    </w:p>
    <w:p w:rsidR="00444A6E" w:rsidRPr="00F97703" w:rsidRDefault="00444A6E" w:rsidP="00444A6E">
      <w:pPr>
        <w:jc w:val="center"/>
        <w:rPr>
          <w:rFonts w:ascii="Book Antiqua" w:hAnsi="Book Antiqua" w:cs="Arial"/>
          <w:b/>
          <w:u w:val="single"/>
        </w:rPr>
      </w:pPr>
    </w:p>
    <w:tbl>
      <w:tblPr>
        <w:tblW w:w="10563" w:type="dxa"/>
        <w:tblLook w:val="01E0" w:firstRow="1" w:lastRow="1" w:firstColumn="1" w:lastColumn="1" w:noHBand="0" w:noVBand="0"/>
      </w:tblPr>
      <w:tblGrid>
        <w:gridCol w:w="6439"/>
        <w:gridCol w:w="4124"/>
      </w:tblGrid>
      <w:tr w:rsidR="002D4048" w:rsidRPr="00DB18FD" w:rsidTr="002D4048">
        <w:trPr>
          <w:trHeight w:val="636"/>
        </w:trPr>
        <w:tc>
          <w:tcPr>
            <w:tcW w:w="6439" w:type="dxa"/>
            <w:shd w:val="clear" w:color="auto" w:fill="auto"/>
          </w:tcPr>
          <w:p w:rsidR="002D4048" w:rsidRPr="00DB18FD" w:rsidRDefault="002D4048" w:rsidP="002D4048">
            <w:pPr>
              <w:jc w:val="both"/>
              <w:rPr>
                <w:rFonts w:ascii="Book Antiqua" w:hAnsi="Book Antiqua" w:cs="Arial"/>
                <w:b/>
              </w:rPr>
            </w:pPr>
            <w:r w:rsidRPr="00DB18FD">
              <w:rPr>
                <w:rFonts w:ascii="Book Antiqua" w:hAnsi="Book Antiqua" w:cs="Arial"/>
                <w:b/>
              </w:rPr>
              <w:t xml:space="preserve">Heard </w:t>
            </w:r>
            <w:proofErr w:type="gramStart"/>
            <w:r w:rsidRPr="00DB18FD">
              <w:rPr>
                <w:rFonts w:ascii="Book Antiqua" w:hAnsi="Book Antiqua" w:cs="Arial"/>
                <w:b/>
              </w:rPr>
              <w:t>at :</w:t>
            </w:r>
            <w:proofErr w:type="gramEnd"/>
            <w:r w:rsidRPr="00DB18FD">
              <w:rPr>
                <w:rFonts w:ascii="Book Antiqua" w:hAnsi="Book Antiqua" w:cs="Arial"/>
                <w:b/>
              </w:rPr>
              <w:t xml:space="preserve"> </w:t>
            </w:r>
            <w:r>
              <w:rPr>
                <w:rFonts w:ascii="Book Antiqua" w:hAnsi="Book Antiqua" w:cs="Arial"/>
                <w:b/>
              </w:rPr>
              <w:t>(UT)IAC Birmingham</w:t>
            </w:r>
          </w:p>
        </w:tc>
        <w:tc>
          <w:tcPr>
            <w:tcW w:w="4124" w:type="dxa"/>
            <w:shd w:val="clear" w:color="auto" w:fill="auto"/>
          </w:tcPr>
          <w:p w:rsidR="002D4048" w:rsidRDefault="002D4048" w:rsidP="002D4048">
            <w:pPr>
              <w:jc w:val="both"/>
              <w:rPr>
                <w:rFonts w:ascii="Book Antiqua" w:hAnsi="Book Antiqua" w:cs="Arial"/>
                <w:b/>
                <w:color w:val="000000"/>
              </w:rPr>
            </w:pPr>
            <w:r>
              <w:rPr>
                <w:rFonts w:ascii="Book Antiqua" w:hAnsi="Book Antiqua" w:cs="Arial"/>
                <w:b/>
                <w:color w:val="000000"/>
              </w:rPr>
              <w:t>Decision and Reasons</w:t>
            </w:r>
            <w:r w:rsidRPr="00FD5B3F">
              <w:rPr>
                <w:rFonts w:ascii="Book Antiqua" w:hAnsi="Book Antiqua" w:cs="Arial"/>
                <w:b/>
                <w:color w:val="000000"/>
              </w:rPr>
              <w:t xml:space="preserve"> Promulgated</w:t>
            </w:r>
          </w:p>
          <w:p w:rsidR="002D4048" w:rsidRPr="00A544A8" w:rsidRDefault="002D4048" w:rsidP="002D4048">
            <w:pPr>
              <w:ind w:left="1872" w:hanging="1872"/>
              <w:jc w:val="both"/>
              <w:rPr>
                <w:rFonts w:ascii="Sylfaen" w:hAnsi="Sylfaen" w:cs="Arial"/>
                <w:b/>
                <w:color w:val="000000"/>
              </w:rPr>
            </w:pPr>
          </w:p>
        </w:tc>
      </w:tr>
      <w:tr w:rsidR="00444A6E" w:rsidRPr="00DB18FD" w:rsidTr="002D4048">
        <w:trPr>
          <w:trHeight w:val="203"/>
        </w:trPr>
        <w:tc>
          <w:tcPr>
            <w:tcW w:w="6439" w:type="dxa"/>
            <w:shd w:val="clear" w:color="auto" w:fill="auto"/>
          </w:tcPr>
          <w:p w:rsidR="00444A6E" w:rsidRPr="00DB18FD" w:rsidRDefault="00444A6E" w:rsidP="00C45404">
            <w:pPr>
              <w:jc w:val="both"/>
              <w:rPr>
                <w:rFonts w:ascii="Book Antiqua" w:hAnsi="Book Antiqua" w:cs="Arial"/>
                <w:b/>
              </w:rPr>
            </w:pPr>
            <w:proofErr w:type="gramStart"/>
            <w:r w:rsidRPr="00DB18FD">
              <w:rPr>
                <w:rFonts w:ascii="Book Antiqua" w:hAnsi="Book Antiqua" w:cs="Arial"/>
                <w:b/>
              </w:rPr>
              <w:t>On :</w:t>
            </w:r>
            <w:proofErr w:type="gramEnd"/>
            <w:r w:rsidRPr="00DB18FD">
              <w:rPr>
                <w:rFonts w:ascii="Book Antiqua" w:hAnsi="Book Antiqua" w:cs="Arial"/>
                <w:b/>
              </w:rPr>
              <w:t xml:space="preserve"> </w:t>
            </w:r>
            <w:r w:rsidR="00301782">
              <w:rPr>
                <w:rFonts w:ascii="Book Antiqua" w:hAnsi="Book Antiqua" w:cs="Arial"/>
                <w:b/>
              </w:rPr>
              <w:t>13 September</w:t>
            </w:r>
            <w:r w:rsidR="00C45404">
              <w:rPr>
                <w:rFonts w:ascii="Book Antiqua" w:hAnsi="Book Antiqua" w:cs="Arial"/>
                <w:b/>
              </w:rPr>
              <w:t xml:space="preserve"> 2018</w:t>
            </w:r>
          </w:p>
        </w:tc>
        <w:tc>
          <w:tcPr>
            <w:tcW w:w="4124" w:type="dxa"/>
            <w:shd w:val="clear" w:color="auto" w:fill="auto"/>
          </w:tcPr>
          <w:p w:rsidR="00444A6E" w:rsidRPr="00DB18FD" w:rsidRDefault="002D4048" w:rsidP="00C45404">
            <w:pPr>
              <w:jc w:val="both"/>
              <w:rPr>
                <w:rFonts w:ascii="Book Antiqua" w:hAnsi="Book Antiqua" w:cs="Arial"/>
                <w:b/>
              </w:rPr>
            </w:pPr>
            <w:proofErr w:type="gramStart"/>
            <w:r>
              <w:rPr>
                <w:rFonts w:ascii="Book Antiqua" w:hAnsi="Book Antiqua" w:cs="Arial"/>
                <w:b/>
              </w:rPr>
              <w:t>On :</w:t>
            </w:r>
            <w:proofErr w:type="gramEnd"/>
            <w:r>
              <w:rPr>
                <w:rFonts w:ascii="Book Antiqua" w:hAnsi="Book Antiqua" w:cs="Arial"/>
                <w:b/>
              </w:rPr>
              <w:t xml:space="preserve"> 18 September 2018</w:t>
            </w:r>
          </w:p>
        </w:tc>
      </w:tr>
      <w:tr w:rsidR="00444A6E" w:rsidRPr="00DB18FD" w:rsidTr="002D4048">
        <w:trPr>
          <w:trHeight w:val="212"/>
        </w:trPr>
        <w:tc>
          <w:tcPr>
            <w:tcW w:w="6439" w:type="dxa"/>
            <w:shd w:val="clear" w:color="auto" w:fill="auto"/>
          </w:tcPr>
          <w:p w:rsidR="00444A6E" w:rsidRPr="00DB18FD" w:rsidRDefault="00444A6E" w:rsidP="00C45404">
            <w:pPr>
              <w:jc w:val="both"/>
              <w:rPr>
                <w:rFonts w:ascii="Book Antiqua" w:hAnsi="Book Antiqua" w:cs="Arial"/>
                <w:b/>
              </w:rPr>
            </w:pPr>
          </w:p>
        </w:tc>
        <w:tc>
          <w:tcPr>
            <w:tcW w:w="4124" w:type="dxa"/>
            <w:shd w:val="clear" w:color="auto" w:fill="auto"/>
          </w:tcPr>
          <w:p w:rsidR="00444A6E" w:rsidRPr="00DB18FD" w:rsidRDefault="00444A6E" w:rsidP="00C45404">
            <w:pPr>
              <w:jc w:val="both"/>
              <w:rPr>
                <w:rFonts w:ascii="Book Antiqua" w:hAnsi="Book Antiqua" w:cs="Arial"/>
                <w:b/>
              </w:rPr>
            </w:pPr>
          </w:p>
        </w:tc>
      </w:tr>
    </w:tbl>
    <w:p w:rsidR="00444A6E" w:rsidRDefault="00444A6E" w:rsidP="00444A6E">
      <w:pPr>
        <w:rPr>
          <w:rFonts w:ascii="Book Antiqua" w:hAnsi="Book Antiqua" w:cs="Arial"/>
        </w:rPr>
      </w:pPr>
    </w:p>
    <w:p w:rsidR="00444A6E" w:rsidRPr="00F97703" w:rsidRDefault="00444A6E" w:rsidP="00444A6E">
      <w:pPr>
        <w:rPr>
          <w:rFonts w:ascii="Book Antiqua" w:hAnsi="Book Antiqua" w:cs="Arial"/>
        </w:rPr>
      </w:pPr>
    </w:p>
    <w:p w:rsidR="00444A6E" w:rsidRPr="00F97703" w:rsidRDefault="00444A6E" w:rsidP="00444A6E">
      <w:pPr>
        <w:jc w:val="center"/>
        <w:outlineLvl w:val="0"/>
        <w:rPr>
          <w:rFonts w:ascii="Book Antiqua" w:hAnsi="Book Antiqua" w:cs="Arial"/>
          <w:b/>
        </w:rPr>
      </w:pPr>
      <w:r w:rsidRPr="00F97703">
        <w:rPr>
          <w:rFonts w:ascii="Book Antiqua" w:hAnsi="Book Antiqua" w:cs="Arial"/>
          <w:b/>
        </w:rPr>
        <w:t>Before</w:t>
      </w:r>
    </w:p>
    <w:p w:rsidR="00444A6E" w:rsidRDefault="00444A6E" w:rsidP="00444A6E">
      <w:pPr>
        <w:jc w:val="center"/>
        <w:rPr>
          <w:rFonts w:ascii="Book Antiqua" w:hAnsi="Book Antiqua" w:cs="Arial"/>
          <w:b/>
        </w:rPr>
      </w:pPr>
    </w:p>
    <w:p w:rsidR="00444A6E" w:rsidRDefault="00444A6E" w:rsidP="00444A6E">
      <w:pPr>
        <w:jc w:val="center"/>
        <w:outlineLvl w:val="0"/>
        <w:rPr>
          <w:rFonts w:ascii="Book Antiqua" w:hAnsi="Book Antiqua" w:cs="Arial"/>
          <w:b/>
          <w:color w:val="000000"/>
        </w:rPr>
      </w:pPr>
      <w:r>
        <w:rPr>
          <w:rFonts w:ascii="Book Antiqua" w:hAnsi="Book Antiqua" w:cs="Arial"/>
          <w:b/>
          <w:color w:val="000000"/>
        </w:rPr>
        <w:t>UPPER TRIBUNAL</w:t>
      </w:r>
      <w:r w:rsidRPr="00F97703">
        <w:rPr>
          <w:rFonts w:ascii="Book Antiqua" w:hAnsi="Book Antiqua" w:cs="Arial"/>
          <w:b/>
          <w:color w:val="000000"/>
        </w:rPr>
        <w:t xml:space="preserve"> JUDG</w:t>
      </w:r>
      <w:r>
        <w:rPr>
          <w:rFonts w:ascii="Book Antiqua" w:hAnsi="Book Antiqua" w:cs="Arial"/>
          <w:b/>
          <w:color w:val="000000"/>
        </w:rPr>
        <w:t>E KEBEDE</w:t>
      </w:r>
    </w:p>
    <w:p w:rsidR="00444A6E" w:rsidRPr="00F97703" w:rsidRDefault="00444A6E" w:rsidP="00444A6E">
      <w:pPr>
        <w:rPr>
          <w:rFonts w:ascii="Book Antiqua" w:hAnsi="Book Antiqua" w:cs="Arial"/>
          <w:b/>
          <w:color w:val="000000"/>
        </w:rPr>
      </w:pPr>
    </w:p>
    <w:p w:rsidR="00444A6E" w:rsidRPr="00F97703" w:rsidRDefault="00444A6E" w:rsidP="00444A6E">
      <w:pPr>
        <w:rPr>
          <w:rFonts w:ascii="Book Antiqua" w:hAnsi="Book Antiqua" w:cs="Arial"/>
          <w:b/>
        </w:rPr>
      </w:pPr>
    </w:p>
    <w:p w:rsidR="00444A6E" w:rsidRPr="00F97703" w:rsidRDefault="00444A6E" w:rsidP="00444A6E">
      <w:pPr>
        <w:jc w:val="center"/>
        <w:outlineLvl w:val="0"/>
        <w:rPr>
          <w:rFonts w:ascii="Book Antiqua" w:hAnsi="Book Antiqua" w:cs="Arial"/>
          <w:b/>
        </w:rPr>
      </w:pPr>
      <w:r w:rsidRPr="00F97703">
        <w:rPr>
          <w:rFonts w:ascii="Book Antiqua" w:hAnsi="Book Antiqua" w:cs="Arial"/>
          <w:b/>
        </w:rPr>
        <w:t>Between</w:t>
      </w:r>
    </w:p>
    <w:p w:rsidR="00444A6E" w:rsidRPr="00F97703" w:rsidRDefault="00444A6E" w:rsidP="00444A6E">
      <w:pPr>
        <w:jc w:val="center"/>
        <w:rPr>
          <w:rFonts w:ascii="Book Antiqua" w:hAnsi="Book Antiqua" w:cs="Arial"/>
          <w:b/>
        </w:rPr>
      </w:pPr>
    </w:p>
    <w:p w:rsidR="00ED35B2" w:rsidRDefault="00301782" w:rsidP="00444A6E">
      <w:pPr>
        <w:jc w:val="center"/>
        <w:outlineLvl w:val="0"/>
        <w:rPr>
          <w:rFonts w:ascii="Book Antiqua" w:hAnsi="Book Antiqua" w:cs="Arial"/>
          <w:b/>
          <w:caps/>
        </w:rPr>
      </w:pPr>
      <w:r>
        <w:rPr>
          <w:rFonts w:ascii="Book Antiqua" w:hAnsi="Book Antiqua" w:cs="Arial"/>
          <w:b/>
          <w:caps/>
        </w:rPr>
        <w:t>jojofana</w:t>
      </w:r>
      <w:r w:rsidR="004C4ED4">
        <w:rPr>
          <w:rFonts w:ascii="Book Antiqua" w:hAnsi="Book Antiqua" w:cs="Arial"/>
          <w:b/>
          <w:caps/>
        </w:rPr>
        <w:t xml:space="preserve"> mengue owona</w:t>
      </w:r>
    </w:p>
    <w:p w:rsidR="00444A6E" w:rsidRPr="00F97703" w:rsidRDefault="00444A6E" w:rsidP="00444A6E">
      <w:pPr>
        <w:jc w:val="right"/>
        <w:outlineLvl w:val="0"/>
        <w:rPr>
          <w:rFonts w:ascii="Book Antiqua" w:hAnsi="Book Antiqua" w:cs="Arial"/>
          <w:u w:val="single"/>
        </w:rPr>
      </w:pPr>
      <w:r w:rsidRPr="00F97703">
        <w:rPr>
          <w:rFonts w:ascii="Book Antiqua" w:hAnsi="Book Antiqua" w:cs="Arial"/>
          <w:u w:val="single"/>
        </w:rPr>
        <w:t>Appellant</w:t>
      </w:r>
    </w:p>
    <w:p w:rsidR="00444A6E" w:rsidRPr="00F97703" w:rsidRDefault="00444A6E" w:rsidP="00444A6E">
      <w:pPr>
        <w:jc w:val="center"/>
        <w:rPr>
          <w:rFonts w:ascii="Book Antiqua" w:hAnsi="Book Antiqua" w:cs="Arial"/>
          <w:b/>
        </w:rPr>
      </w:pPr>
      <w:r w:rsidRPr="00F97703">
        <w:rPr>
          <w:rFonts w:ascii="Book Antiqua" w:hAnsi="Book Antiqua" w:cs="Arial"/>
          <w:b/>
        </w:rPr>
        <w:t>and</w:t>
      </w:r>
    </w:p>
    <w:p w:rsidR="00444A6E" w:rsidRPr="00F97703" w:rsidRDefault="00444A6E" w:rsidP="00444A6E">
      <w:pPr>
        <w:rPr>
          <w:rFonts w:ascii="Book Antiqua" w:hAnsi="Book Antiqua" w:cs="Arial"/>
          <w:b/>
        </w:rPr>
      </w:pPr>
    </w:p>
    <w:p w:rsidR="00444A6E" w:rsidRPr="004B1F6E" w:rsidRDefault="00444A6E" w:rsidP="00444A6E">
      <w:pPr>
        <w:jc w:val="center"/>
        <w:outlineLvl w:val="0"/>
        <w:rPr>
          <w:rFonts w:ascii="Book Antiqua" w:hAnsi="Book Antiqua" w:cs="Arial"/>
          <w:b/>
        </w:rPr>
      </w:pPr>
      <w:r>
        <w:rPr>
          <w:rFonts w:ascii="Book Antiqua" w:hAnsi="Book Antiqua" w:cs="Arial"/>
          <w:b/>
        </w:rPr>
        <w:t>SECRETARY OF STATE FOR THE HOME DEPARTMENT</w:t>
      </w:r>
    </w:p>
    <w:p w:rsidR="00444A6E" w:rsidRDefault="00444A6E" w:rsidP="00444A6E">
      <w:pPr>
        <w:jc w:val="right"/>
        <w:outlineLvl w:val="0"/>
        <w:rPr>
          <w:rFonts w:ascii="Book Antiqua" w:hAnsi="Book Antiqua" w:cs="Arial"/>
          <w:u w:val="single"/>
        </w:rPr>
      </w:pPr>
    </w:p>
    <w:p w:rsidR="00444A6E" w:rsidRDefault="00444A6E" w:rsidP="00444A6E">
      <w:pPr>
        <w:jc w:val="right"/>
        <w:outlineLvl w:val="0"/>
        <w:rPr>
          <w:rFonts w:ascii="Book Antiqua" w:hAnsi="Book Antiqua" w:cs="Arial"/>
          <w:u w:val="single"/>
        </w:rPr>
      </w:pPr>
      <w:r w:rsidRPr="00F97703">
        <w:rPr>
          <w:rFonts w:ascii="Book Antiqua" w:hAnsi="Book Antiqua" w:cs="Arial"/>
          <w:u w:val="single"/>
        </w:rPr>
        <w:t>Respondent</w:t>
      </w:r>
    </w:p>
    <w:p w:rsidR="00444A6E" w:rsidRDefault="00444A6E" w:rsidP="00444A6E">
      <w:pPr>
        <w:outlineLvl w:val="0"/>
        <w:rPr>
          <w:rFonts w:ascii="Book Antiqua" w:hAnsi="Book Antiqua" w:cs="Arial"/>
          <w:b/>
          <w:u w:val="single"/>
        </w:rPr>
      </w:pPr>
    </w:p>
    <w:p w:rsidR="00444A6E" w:rsidRPr="00F97703" w:rsidRDefault="00444A6E" w:rsidP="00444A6E">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444A6E" w:rsidRPr="00F97703" w:rsidRDefault="00444A6E" w:rsidP="00444A6E">
      <w:pPr>
        <w:rPr>
          <w:rFonts w:ascii="Book Antiqua" w:hAnsi="Book Antiqua" w:cs="Arial"/>
        </w:rPr>
      </w:pPr>
    </w:p>
    <w:p w:rsidR="00444A6E" w:rsidRPr="00F97703" w:rsidRDefault="00444A6E" w:rsidP="00444A6E">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043615">
        <w:rPr>
          <w:rFonts w:ascii="Book Antiqua" w:hAnsi="Book Antiqua" w:cs="Arial"/>
        </w:rPr>
        <w:t>Mr M Azmi, Counsel</w:t>
      </w:r>
    </w:p>
    <w:p w:rsidR="00444A6E" w:rsidRPr="00F97703" w:rsidRDefault="00444A6E" w:rsidP="00444A6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043615">
        <w:rPr>
          <w:rFonts w:ascii="Book Antiqua" w:hAnsi="Book Antiqua" w:cs="Arial"/>
        </w:rPr>
        <w:t xml:space="preserve">Mrs H </w:t>
      </w:r>
      <w:proofErr w:type="spellStart"/>
      <w:r w:rsidR="00043615">
        <w:rPr>
          <w:rFonts w:ascii="Book Antiqua" w:hAnsi="Book Antiqua" w:cs="Arial"/>
        </w:rPr>
        <w:t>Aboni</w:t>
      </w:r>
      <w:proofErr w:type="spellEnd"/>
      <w:r>
        <w:rPr>
          <w:rFonts w:ascii="Book Antiqua" w:hAnsi="Book Antiqua" w:cs="Arial"/>
        </w:rPr>
        <w:t>, Senior Home Office Presenting Officer</w:t>
      </w:r>
    </w:p>
    <w:p w:rsidR="00444A6E" w:rsidRDefault="00444A6E" w:rsidP="00444A6E">
      <w:pPr>
        <w:tabs>
          <w:tab w:val="left" w:pos="2520"/>
        </w:tabs>
        <w:rPr>
          <w:rFonts w:ascii="Book Antiqua" w:hAnsi="Book Antiqua" w:cs="Arial"/>
        </w:rPr>
      </w:pPr>
    </w:p>
    <w:p w:rsidR="00444A6E" w:rsidRPr="00F97703" w:rsidRDefault="00444A6E" w:rsidP="00444A6E">
      <w:pPr>
        <w:tabs>
          <w:tab w:val="left" w:pos="2520"/>
        </w:tabs>
        <w:jc w:val="center"/>
        <w:rPr>
          <w:rFonts w:ascii="Book Antiqua" w:hAnsi="Book Antiqua" w:cs="Arial"/>
        </w:rPr>
      </w:pPr>
    </w:p>
    <w:p w:rsidR="00601FD0" w:rsidRDefault="00601FD0" w:rsidP="00444A6E">
      <w:pPr>
        <w:tabs>
          <w:tab w:val="left" w:pos="2520"/>
        </w:tabs>
        <w:jc w:val="center"/>
        <w:outlineLvl w:val="0"/>
        <w:rPr>
          <w:rFonts w:ascii="Book Antiqua" w:hAnsi="Book Antiqua" w:cs="Arial"/>
          <w:b/>
          <w:u w:val="single"/>
        </w:rPr>
      </w:pPr>
    </w:p>
    <w:p w:rsidR="00444A6E" w:rsidRPr="00973E82" w:rsidRDefault="00444A6E" w:rsidP="00444A6E">
      <w:pPr>
        <w:tabs>
          <w:tab w:val="left" w:pos="2520"/>
        </w:tabs>
        <w:jc w:val="center"/>
        <w:outlineLvl w:val="0"/>
        <w:rPr>
          <w:rFonts w:ascii="Book Antiqua" w:hAnsi="Book Antiqua" w:cs="Arial"/>
        </w:rPr>
      </w:pPr>
      <w:r w:rsidRPr="00F97703">
        <w:rPr>
          <w:rFonts w:ascii="Book Antiqua" w:hAnsi="Book Antiqua" w:cs="Arial"/>
          <w:b/>
          <w:u w:val="single"/>
        </w:rPr>
        <w:t>DE</w:t>
      </w:r>
      <w:r>
        <w:rPr>
          <w:rFonts w:ascii="Book Antiqua" w:hAnsi="Book Antiqua" w:cs="Arial"/>
          <w:b/>
          <w:u w:val="single"/>
        </w:rPr>
        <w:t>CISI</w:t>
      </w:r>
      <w:r w:rsidRPr="00F97703">
        <w:rPr>
          <w:rFonts w:ascii="Book Antiqua" w:hAnsi="Book Antiqua" w:cs="Arial"/>
          <w:b/>
          <w:u w:val="single"/>
        </w:rPr>
        <w:t>ON AND REASONS</w:t>
      </w:r>
    </w:p>
    <w:p w:rsidR="00444A6E" w:rsidRPr="007E72D8" w:rsidRDefault="00444A6E" w:rsidP="00444A6E">
      <w:pPr>
        <w:tabs>
          <w:tab w:val="left" w:pos="2520"/>
        </w:tabs>
        <w:jc w:val="both"/>
        <w:rPr>
          <w:rFonts w:ascii="Book Antiqua" w:hAnsi="Book Antiqua" w:cs="Arial"/>
        </w:rPr>
      </w:pPr>
    </w:p>
    <w:p w:rsidR="00D22718" w:rsidRPr="00BD2547" w:rsidRDefault="00444A6E" w:rsidP="00BD2547">
      <w:pPr>
        <w:numPr>
          <w:ilvl w:val="0"/>
          <w:numId w:val="1"/>
        </w:numPr>
        <w:tabs>
          <w:tab w:val="left" w:pos="360"/>
        </w:tabs>
        <w:overflowPunct w:val="0"/>
        <w:autoSpaceDE w:val="0"/>
        <w:autoSpaceDN w:val="0"/>
        <w:adjustRightInd w:val="0"/>
        <w:jc w:val="both"/>
        <w:textAlignment w:val="baseline"/>
        <w:rPr>
          <w:rFonts w:ascii="Book Antiqua" w:hAnsi="Book Antiqua" w:cs="Arial"/>
        </w:rPr>
      </w:pPr>
      <w:r w:rsidRPr="00E81303">
        <w:rPr>
          <w:rFonts w:ascii="Book Antiqua" w:hAnsi="Book Antiqua"/>
        </w:rPr>
        <w:t>The appellant</w:t>
      </w:r>
      <w:r w:rsidR="00E81303" w:rsidRPr="00E81303">
        <w:rPr>
          <w:rFonts w:ascii="Book Antiqua" w:hAnsi="Book Antiqua"/>
        </w:rPr>
        <w:t xml:space="preserve"> is</w:t>
      </w:r>
      <w:r w:rsidR="004C4ED4" w:rsidRPr="00E81303">
        <w:rPr>
          <w:rFonts w:ascii="Book Antiqua" w:hAnsi="Book Antiqua"/>
        </w:rPr>
        <w:t xml:space="preserve"> a citizen of </w:t>
      </w:r>
      <w:r w:rsidR="00E81303" w:rsidRPr="00E81303">
        <w:rPr>
          <w:rFonts w:ascii="Book Antiqua" w:hAnsi="Book Antiqua"/>
        </w:rPr>
        <w:t>Cameroon born on 25 November 1988.</w:t>
      </w:r>
      <w:r w:rsidRPr="00E81303">
        <w:rPr>
          <w:rFonts w:ascii="Book Antiqua" w:hAnsi="Book Antiqua"/>
        </w:rPr>
        <w:t xml:space="preserve"> </w:t>
      </w:r>
      <w:r w:rsidR="00E81303" w:rsidRPr="00E81303">
        <w:rPr>
          <w:rFonts w:ascii="Book Antiqua" w:hAnsi="Book Antiqua"/>
        </w:rPr>
        <w:t xml:space="preserve">She </w:t>
      </w:r>
      <w:r w:rsidRPr="00E81303">
        <w:rPr>
          <w:rFonts w:ascii="Book Antiqua" w:hAnsi="Book Antiqua"/>
        </w:rPr>
        <w:t>appeal</w:t>
      </w:r>
      <w:r w:rsidR="00C45404" w:rsidRPr="00E81303">
        <w:rPr>
          <w:rFonts w:ascii="Book Antiqua" w:hAnsi="Book Antiqua"/>
        </w:rPr>
        <w:t>s</w:t>
      </w:r>
      <w:r w:rsidRPr="00E81303">
        <w:rPr>
          <w:rFonts w:ascii="Book Antiqua" w:hAnsi="Book Antiqua"/>
        </w:rPr>
        <w:t xml:space="preserve">, with permission, against the decision of the First-tier Tribunal dismissing </w:t>
      </w:r>
      <w:r w:rsidR="00C45404" w:rsidRPr="00E81303">
        <w:rPr>
          <w:rFonts w:ascii="Book Antiqua" w:hAnsi="Book Antiqua"/>
        </w:rPr>
        <w:t>her appeal</w:t>
      </w:r>
      <w:r w:rsidRPr="00E81303">
        <w:rPr>
          <w:rFonts w:ascii="Book Antiqua" w:hAnsi="Book Antiqua"/>
        </w:rPr>
        <w:t xml:space="preserve"> against the </w:t>
      </w:r>
      <w:r w:rsidRPr="00E81303">
        <w:rPr>
          <w:rFonts w:ascii="Book Antiqua" w:hAnsi="Book Antiqua"/>
        </w:rPr>
        <w:lastRenderedPageBreak/>
        <w:t xml:space="preserve">respondent’s decision to refuse </w:t>
      </w:r>
      <w:r w:rsidR="00ED35B2" w:rsidRPr="00E81303">
        <w:rPr>
          <w:rFonts w:ascii="Book Antiqua" w:hAnsi="Book Antiqua"/>
        </w:rPr>
        <w:t xml:space="preserve">to issue </w:t>
      </w:r>
      <w:r w:rsidR="00C45404" w:rsidRPr="00E81303">
        <w:rPr>
          <w:rFonts w:ascii="Book Antiqua" w:hAnsi="Book Antiqua"/>
        </w:rPr>
        <w:t xml:space="preserve">her with </w:t>
      </w:r>
      <w:r w:rsidR="00D22718" w:rsidRPr="00E81303">
        <w:rPr>
          <w:rFonts w:ascii="Book Antiqua" w:hAnsi="Book Antiqua" w:cs="Arial"/>
        </w:rPr>
        <w:t xml:space="preserve">a derivative residence card under the Immigration (European Economic Area) Regulations 2006 as the primary carer of </w:t>
      </w:r>
      <w:r w:rsidR="005511F7">
        <w:rPr>
          <w:rFonts w:ascii="Book Antiqua" w:hAnsi="Book Antiqua" w:cs="Arial"/>
        </w:rPr>
        <w:t>a child who is the child of an EEA national</w:t>
      </w:r>
      <w:r w:rsidR="00A430EF">
        <w:rPr>
          <w:rFonts w:ascii="Book Antiqua" w:hAnsi="Book Antiqua" w:cs="Arial"/>
        </w:rPr>
        <w:t>, in education in the UK</w:t>
      </w:r>
      <w:r w:rsidR="00D22718" w:rsidRPr="00E81303">
        <w:rPr>
          <w:rFonts w:ascii="Book Antiqua" w:hAnsi="Book Antiqua" w:cs="Arial"/>
        </w:rPr>
        <w:t xml:space="preserve">. First-tier Tribunal Judge </w:t>
      </w:r>
      <w:r w:rsidR="005511F7">
        <w:rPr>
          <w:rFonts w:ascii="Book Antiqua" w:hAnsi="Book Antiqua" w:cs="Arial"/>
        </w:rPr>
        <w:t>Morris</w:t>
      </w:r>
      <w:r w:rsidR="00D22718" w:rsidRPr="00E81303">
        <w:rPr>
          <w:rFonts w:ascii="Book Antiqua" w:hAnsi="Book Antiqua" w:cs="Arial"/>
        </w:rPr>
        <w:t xml:space="preserve"> dismissed h</w:t>
      </w:r>
      <w:r w:rsidR="00BD2547">
        <w:rPr>
          <w:rFonts w:ascii="Book Antiqua" w:hAnsi="Book Antiqua" w:cs="Arial"/>
        </w:rPr>
        <w:t>er</w:t>
      </w:r>
      <w:r w:rsidR="00D22718" w:rsidRPr="00E81303">
        <w:rPr>
          <w:rFonts w:ascii="Book Antiqua" w:hAnsi="Book Antiqua" w:cs="Arial"/>
        </w:rPr>
        <w:t xml:space="preserve"> appeal. </w:t>
      </w:r>
    </w:p>
    <w:p w:rsidR="0019173E" w:rsidRPr="00D22718" w:rsidRDefault="0019173E" w:rsidP="0019173E">
      <w:pPr>
        <w:tabs>
          <w:tab w:val="left" w:pos="360"/>
        </w:tabs>
        <w:overflowPunct w:val="0"/>
        <w:autoSpaceDE w:val="0"/>
        <w:autoSpaceDN w:val="0"/>
        <w:adjustRightInd w:val="0"/>
        <w:jc w:val="both"/>
        <w:textAlignment w:val="baseline"/>
        <w:rPr>
          <w:rFonts w:ascii="Book Antiqua" w:hAnsi="Book Antiqua"/>
        </w:rPr>
      </w:pPr>
    </w:p>
    <w:p w:rsidR="00C45404" w:rsidRDefault="00C45404" w:rsidP="00444A6E">
      <w:pPr>
        <w:numPr>
          <w:ilvl w:val="0"/>
          <w:numId w:val="1"/>
        </w:numPr>
        <w:tabs>
          <w:tab w:val="left" w:pos="360"/>
        </w:tabs>
        <w:overflowPunct w:val="0"/>
        <w:autoSpaceDE w:val="0"/>
        <w:autoSpaceDN w:val="0"/>
        <w:adjustRightInd w:val="0"/>
        <w:jc w:val="both"/>
        <w:textAlignment w:val="baseline"/>
        <w:rPr>
          <w:rFonts w:ascii="Book Antiqua" w:hAnsi="Book Antiqua"/>
        </w:rPr>
      </w:pPr>
      <w:r w:rsidRPr="00D22718">
        <w:rPr>
          <w:rFonts w:ascii="Book Antiqua" w:hAnsi="Book Antiqua"/>
        </w:rPr>
        <w:t xml:space="preserve">The appellant </w:t>
      </w:r>
      <w:r w:rsidR="00BD2547">
        <w:rPr>
          <w:rFonts w:ascii="Book Antiqua" w:hAnsi="Book Antiqua"/>
        </w:rPr>
        <w:t xml:space="preserve">entered the UK on 22 October 2012 with leave to enter as a Tier 4 student until 21 March 2014. On 29 April 2015 she </w:t>
      </w:r>
      <w:r w:rsidRPr="00D22718">
        <w:rPr>
          <w:rFonts w:ascii="Book Antiqua" w:hAnsi="Book Antiqua"/>
        </w:rPr>
        <w:t xml:space="preserve">applied for </w:t>
      </w:r>
      <w:r w:rsidR="007F683C" w:rsidRPr="00E81303">
        <w:rPr>
          <w:rFonts w:ascii="Book Antiqua" w:hAnsi="Book Antiqua" w:cs="Arial"/>
        </w:rPr>
        <w:t xml:space="preserve">a derivative residence card under the Immigration (European Economic Area) Regulations 2006 as the primary carer of </w:t>
      </w:r>
      <w:r w:rsidR="001241E8">
        <w:rPr>
          <w:rFonts w:ascii="Book Antiqua" w:hAnsi="Book Antiqua" w:cs="Arial"/>
        </w:rPr>
        <w:t>the child of</w:t>
      </w:r>
      <w:r w:rsidR="00D43212">
        <w:rPr>
          <w:rFonts w:ascii="Book Antiqua" w:hAnsi="Book Antiqua" w:cs="Arial"/>
        </w:rPr>
        <w:t xml:space="preserve"> an EEA national, namely </w:t>
      </w:r>
      <w:r w:rsidR="00DE5692">
        <w:rPr>
          <w:rFonts w:ascii="Book Antiqua" w:hAnsi="Book Antiqua" w:cs="Arial"/>
        </w:rPr>
        <w:t>her daughter</w:t>
      </w:r>
      <w:r w:rsidR="00D43212">
        <w:rPr>
          <w:rFonts w:ascii="Book Antiqua" w:hAnsi="Book Antiqua" w:cs="Arial"/>
        </w:rPr>
        <w:t xml:space="preserve"> who was </w:t>
      </w:r>
      <w:r w:rsidR="00DE5692">
        <w:rPr>
          <w:rFonts w:ascii="Book Antiqua" w:hAnsi="Book Antiqua" w:cs="Arial"/>
        </w:rPr>
        <w:t>born on 10 August 2014</w:t>
      </w:r>
      <w:r w:rsidR="00D43212">
        <w:rPr>
          <w:rFonts w:ascii="Book Antiqua" w:hAnsi="Book Antiqua" w:cs="Arial"/>
        </w:rPr>
        <w:t xml:space="preserve"> and</w:t>
      </w:r>
      <w:r w:rsidR="007F683C">
        <w:rPr>
          <w:rFonts w:ascii="Book Antiqua" w:hAnsi="Book Antiqua" w:cs="Arial"/>
        </w:rPr>
        <w:t xml:space="preserve"> who</w:t>
      </w:r>
      <w:r w:rsidR="00202370">
        <w:rPr>
          <w:rFonts w:ascii="Book Antiqua" w:hAnsi="Book Antiqua" w:cs="Arial"/>
        </w:rPr>
        <w:t>se father</w:t>
      </w:r>
      <w:r w:rsidR="007F683C">
        <w:rPr>
          <w:rFonts w:ascii="Book Antiqua" w:hAnsi="Book Antiqua" w:cs="Arial"/>
        </w:rPr>
        <w:t xml:space="preserve"> </w:t>
      </w:r>
      <w:r w:rsidR="00EB642F">
        <w:rPr>
          <w:rFonts w:ascii="Book Antiqua" w:hAnsi="Book Antiqua" w:cs="Arial"/>
        </w:rPr>
        <w:t>wa</w:t>
      </w:r>
      <w:r w:rsidR="007F683C">
        <w:rPr>
          <w:rFonts w:ascii="Book Antiqua" w:hAnsi="Book Antiqua" w:cs="Arial"/>
        </w:rPr>
        <w:t>s a</w:t>
      </w:r>
      <w:r w:rsidR="00D43212">
        <w:rPr>
          <w:rFonts w:ascii="Book Antiqua" w:hAnsi="Book Antiqua" w:cs="Arial"/>
        </w:rPr>
        <w:t xml:space="preserve"> Polish </w:t>
      </w:r>
      <w:r w:rsidR="007F683C">
        <w:rPr>
          <w:rFonts w:ascii="Book Antiqua" w:hAnsi="Book Antiqua" w:cs="Arial"/>
        </w:rPr>
        <w:t>national</w:t>
      </w:r>
      <w:r>
        <w:rPr>
          <w:rFonts w:ascii="Book Antiqua" w:hAnsi="Book Antiqua"/>
        </w:rPr>
        <w:t>.</w:t>
      </w:r>
    </w:p>
    <w:p w:rsidR="00C45404" w:rsidRDefault="00C45404" w:rsidP="00C45404">
      <w:pPr>
        <w:tabs>
          <w:tab w:val="left" w:pos="360"/>
        </w:tabs>
        <w:overflowPunct w:val="0"/>
        <w:autoSpaceDE w:val="0"/>
        <w:autoSpaceDN w:val="0"/>
        <w:adjustRightInd w:val="0"/>
        <w:jc w:val="both"/>
        <w:textAlignment w:val="baseline"/>
        <w:rPr>
          <w:rFonts w:ascii="Book Antiqua" w:hAnsi="Book Antiqua"/>
        </w:rPr>
      </w:pPr>
    </w:p>
    <w:p w:rsidR="00C45404" w:rsidRPr="007C43E4" w:rsidRDefault="00C45404" w:rsidP="00A72259">
      <w:pPr>
        <w:numPr>
          <w:ilvl w:val="0"/>
          <w:numId w:val="1"/>
        </w:numPr>
        <w:tabs>
          <w:tab w:val="left" w:pos="360"/>
        </w:tabs>
        <w:overflowPunct w:val="0"/>
        <w:autoSpaceDE w:val="0"/>
        <w:autoSpaceDN w:val="0"/>
        <w:adjustRightInd w:val="0"/>
        <w:jc w:val="both"/>
        <w:textAlignment w:val="baseline"/>
        <w:rPr>
          <w:rFonts w:ascii="Book Antiqua" w:hAnsi="Book Antiqua"/>
        </w:rPr>
      </w:pPr>
      <w:r w:rsidRPr="007C43E4">
        <w:rPr>
          <w:rFonts w:ascii="Book Antiqua" w:hAnsi="Book Antiqua"/>
        </w:rPr>
        <w:t xml:space="preserve">The respondent refused the application on 29 October 2015. The respondent considered that the </w:t>
      </w:r>
      <w:r w:rsidR="0069531B" w:rsidRPr="007C43E4">
        <w:rPr>
          <w:rFonts w:ascii="Book Antiqua" w:hAnsi="Book Antiqua"/>
        </w:rPr>
        <w:t>appellant had failed to satisfy the requirements of regulation 15A(3)(b) of the EEA Regulations as she had fai</w:t>
      </w:r>
      <w:r w:rsidR="00794F8C" w:rsidRPr="007C43E4">
        <w:rPr>
          <w:rFonts w:ascii="Book Antiqua" w:hAnsi="Book Antiqua"/>
        </w:rPr>
        <w:t>le</w:t>
      </w:r>
      <w:r w:rsidR="0069531B" w:rsidRPr="007C43E4">
        <w:rPr>
          <w:rFonts w:ascii="Book Antiqua" w:hAnsi="Book Antiqua"/>
        </w:rPr>
        <w:t xml:space="preserve">d to provide </w:t>
      </w:r>
      <w:r w:rsidR="00794F8C" w:rsidRPr="007C43E4">
        <w:rPr>
          <w:rFonts w:ascii="Book Antiqua" w:hAnsi="Book Antiqua"/>
        </w:rPr>
        <w:t xml:space="preserve">evidence to demonstrate that her daughter had resided in the UK at </w:t>
      </w:r>
      <w:r w:rsidR="004E327F" w:rsidRPr="007C43E4">
        <w:rPr>
          <w:rFonts w:ascii="Book Antiqua" w:hAnsi="Book Antiqua"/>
        </w:rPr>
        <w:t>a time when her father was a worker as defined under European Union law.</w:t>
      </w:r>
      <w:r w:rsidR="00854BF6" w:rsidRPr="007C43E4">
        <w:rPr>
          <w:rFonts w:ascii="Book Antiqua" w:hAnsi="Book Antiqua"/>
        </w:rPr>
        <w:t xml:space="preserve"> The respondent considered that the appellant had also failed to satisfy the requirements of regulation 15A(3)(c) of the EEA Regulations as she had failed to provide evidence to demonstrate that her daughter </w:t>
      </w:r>
      <w:r w:rsidR="000C1C01" w:rsidRPr="007C43E4">
        <w:rPr>
          <w:rFonts w:ascii="Book Antiqua" w:hAnsi="Book Antiqua"/>
        </w:rPr>
        <w:t>was in education</w:t>
      </w:r>
      <w:r w:rsidR="00854BF6" w:rsidRPr="007C43E4">
        <w:rPr>
          <w:rFonts w:ascii="Book Antiqua" w:hAnsi="Book Antiqua"/>
        </w:rPr>
        <w:t xml:space="preserve"> in the UK</w:t>
      </w:r>
      <w:r w:rsidR="000C1C01" w:rsidRPr="007C43E4">
        <w:rPr>
          <w:rFonts w:ascii="Book Antiqua" w:hAnsi="Book Antiqua"/>
        </w:rPr>
        <w:t>. It was considered that her daughter was too young to have started her education.</w:t>
      </w:r>
      <w:r w:rsidR="00EB2D60" w:rsidRPr="007C43E4">
        <w:rPr>
          <w:rFonts w:ascii="Book Antiqua" w:hAnsi="Book Antiqua"/>
        </w:rPr>
        <w:t xml:space="preserve"> The respondent considered further that</w:t>
      </w:r>
      <w:r w:rsidR="00273FC1" w:rsidRPr="007C43E4">
        <w:rPr>
          <w:rFonts w:ascii="Book Antiqua" w:hAnsi="Book Antiqua"/>
        </w:rPr>
        <w:t xml:space="preserve"> the appellant had failed to meet the</w:t>
      </w:r>
      <w:r w:rsidR="00E939A5" w:rsidRPr="007C43E4">
        <w:rPr>
          <w:rFonts w:ascii="Book Antiqua" w:hAnsi="Book Antiqua"/>
        </w:rPr>
        <w:t xml:space="preserve"> requirement in regulation 15A(7)(b)(</w:t>
      </w:r>
      <w:proofErr w:type="spellStart"/>
      <w:r w:rsidR="00E939A5" w:rsidRPr="007C43E4">
        <w:rPr>
          <w:rFonts w:ascii="Book Antiqua" w:hAnsi="Book Antiqua"/>
        </w:rPr>
        <w:t>i</w:t>
      </w:r>
      <w:proofErr w:type="spellEnd"/>
      <w:r w:rsidR="00E939A5" w:rsidRPr="007C43E4">
        <w:rPr>
          <w:rFonts w:ascii="Book Antiqua" w:hAnsi="Book Antiqua"/>
        </w:rPr>
        <w:t xml:space="preserve">) as she had failed to </w:t>
      </w:r>
      <w:r w:rsidR="00951FCA" w:rsidRPr="007C43E4">
        <w:rPr>
          <w:rFonts w:ascii="Book Antiqua" w:hAnsi="Book Antiqua"/>
        </w:rPr>
        <w:t>provide evidence that she was solely responsible for the care of the child and</w:t>
      </w:r>
      <w:r w:rsidR="003540DA" w:rsidRPr="007C43E4">
        <w:rPr>
          <w:rFonts w:ascii="Book Antiqua" w:hAnsi="Book Antiqua"/>
        </w:rPr>
        <w:t xml:space="preserve"> had therefore failed to </w:t>
      </w:r>
      <w:r w:rsidR="00273FC1" w:rsidRPr="007C43E4">
        <w:rPr>
          <w:rFonts w:ascii="Book Antiqua" w:hAnsi="Book Antiqua"/>
        </w:rPr>
        <w:t>demonstrate that she was the child’s primary carer</w:t>
      </w:r>
      <w:r w:rsidR="003540DA" w:rsidRPr="007C43E4">
        <w:rPr>
          <w:rFonts w:ascii="Book Antiqua" w:hAnsi="Book Antiqua"/>
        </w:rPr>
        <w:t>.</w:t>
      </w:r>
      <w:r w:rsidR="00BB19BC" w:rsidRPr="007C43E4">
        <w:rPr>
          <w:rFonts w:ascii="Book Antiqua" w:hAnsi="Book Antiqua"/>
        </w:rPr>
        <w:t xml:space="preserve"> Furthermore, the appellant had failed to meet the requirement in regulation 15A(4)(</w:t>
      </w:r>
      <w:r w:rsidR="00806B20" w:rsidRPr="007C43E4">
        <w:rPr>
          <w:rFonts w:ascii="Book Antiqua" w:hAnsi="Book Antiqua"/>
        </w:rPr>
        <w:t>b</w:t>
      </w:r>
      <w:r w:rsidR="00BB19BC" w:rsidRPr="007C43E4">
        <w:rPr>
          <w:rFonts w:ascii="Book Antiqua" w:hAnsi="Book Antiqua"/>
        </w:rPr>
        <w:t xml:space="preserve">) as she had failed to </w:t>
      </w:r>
      <w:r w:rsidR="00806B20" w:rsidRPr="007C43E4">
        <w:rPr>
          <w:rFonts w:ascii="Book Antiqua" w:hAnsi="Book Antiqua"/>
        </w:rPr>
        <w:t>show that</w:t>
      </w:r>
      <w:r w:rsidR="00A16F4B" w:rsidRPr="007C43E4">
        <w:rPr>
          <w:rFonts w:ascii="Book Antiqua" w:hAnsi="Book Antiqua"/>
        </w:rPr>
        <w:t xml:space="preserve"> her daughter would be unable to continue to be educated in the UK should she be required to leave the UK.</w:t>
      </w:r>
      <w:r w:rsidR="007C43E4">
        <w:rPr>
          <w:rFonts w:ascii="Book Antiqua" w:hAnsi="Book Antiqua"/>
        </w:rPr>
        <w:t xml:space="preserve"> </w:t>
      </w:r>
      <w:proofErr w:type="gramStart"/>
      <w:r w:rsidR="007C43E4">
        <w:rPr>
          <w:rFonts w:ascii="Book Antiqua" w:hAnsi="Book Antiqua"/>
        </w:rPr>
        <w:t>Accordingly</w:t>
      </w:r>
      <w:proofErr w:type="gramEnd"/>
      <w:r w:rsidR="007C43E4">
        <w:rPr>
          <w:rFonts w:ascii="Book Antiqua" w:hAnsi="Book Antiqua"/>
        </w:rPr>
        <w:t xml:space="preserve"> the</w:t>
      </w:r>
      <w:r w:rsidR="006A2EFE" w:rsidRPr="007C43E4">
        <w:rPr>
          <w:rFonts w:ascii="Book Antiqua" w:hAnsi="Book Antiqua"/>
        </w:rPr>
        <w:t xml:space="preserve"> respondent considered that the appellant </w:t>
      </w:r>
      <w:r w:rsidR="009B124F">
        <w:rPr>
          <w:rFonts w:ascii="Book Antiqua" w:hAnsi="Book Antiqua"/>
        </w:rPr>
        <w:t>had failed to satisfy the requirements of the criteria for a derivative right of residence</w:t>
      </w:r>
      <w:r w:rsidR="006A2EFE" w:rsidRPr="007C43E4">
        <w:rPr>
          <w:rFonts w:ascii="Book Antiqua" w:hAnsi="Book Antiqua"/>
        </w:rPr>
        <w:t>.</w:t>
      </w:r>
    </w:p>
    <w:p w:rsidR="006A2EFE" w:rsidRDefault="006A2EFE" w:rsidP="006A2EFE">
      <w:pPr>
        <w:pStyle w:val="ListParagraph"/>
        <w:rPr>
          <w:rFonts w:ascii="Book Antiqua" w:hAnsi="Book Antiqua"/>
        </w:rPr>
      </w:pPr>
    </w:p>
    <w:p w:rsidR="002A5FF3" w:rsidRPr="004A54DD" w:rsidRDefault="006A2EFE" w:rsidP="004A54DD">
      <w:pPr>
        <w:numPr>
          <w:ilvl w:val="0"/>
          <w:numId w:val="1"/>
        </w:numPr>
        <w:tabs>
          <w:tab w:val="left" w:pos="360"/>
        </w:tabs>
        <w:overflowPunct w:val="0"/>
        <w:autoSpaceDE w:val="0"/>
        <w:autoSpaceDN w:val="0"/>
        <w:adjustRightInd w:val="0"/>
        <w:jc w:val="both"/>
        <w:textAlignment w:val="baseline"/>
        <w:rPr>
          <w:rFonts w:ascii="Book Antiqua" w:hAnsi="Book Antiqua"/>
        </w:rPr>
      </w:pPr>
      <w:r>
        <w:rPr>
          <w:rFonts w:ascii="Book Antiqua" w:hAnsi="Book Antiqua"/>
        </w:rPr>
        <w:t>The appellant appealed against that decision</w:t>
      </w:r>
      <w:r w:rsidR="00414570">
        <w:rPr>
          <w:rFonts w:ascii="Book Antiqua" w:hAnsi="Book Antiqua"/>
        </w:rPr>
        <w:t xml:space="preserve"> and her appeal </w:t>
      </w:r>
      <w:r>
        <w:rPr>
          <w:rFonts w:ascii="Book Antiqua" w:hAnsi="Book Antiqua"/>
        </w:rPr>
        <w:t xml:space="preserve">was heard by First-tier Tribunal Judge </w:t>
      </w:r>
      <w:r w:rsidR="00414570">
        <w:rPr>
          <w:rFonts w:ascii="Book Antiqua" w:hAnsi="Book Antiqua"/>
        </w:rPr>
        <w:t>Morris</w:t>
      </w:r>
      <w:r>
        <w:rPr>
          <w:rFonts w:ascii="Book Antiqua" w:hAnsi="Book Antiqua"/>
        </w:rPr>
        <w:t xml:space="preserve"> on </w:t>
      </w:r>
      <w:r w:rsidR="00414570">
        <w:rPr>
          <w:rFonts w:ascii="Book Antiqua" w:hAnsi="Book Antiqua"/>
        </w:rPr>
        <w:t>23 February 2017</w:t>
      </w:r>
      <w:r>
        <w:rPr>
          <w:rFonts w:ascii="Book Antiqua" w:hAnsi="Book Antiqua"/>
        </w:rPr>
        <w:t xml:space="preserve">. </w:t>
      </w:r>
      <w:r w:rsidR="00806D51">
        <w:rPr>
          <w:rFonts w:ascii="Book Antiqua" w:hAnsi="Book Antiqua"/>
        </w:rPr>
        <w:t xml:space="preserve">The appellant </w:t>
      </w:r>
      <w:r w:rsidR="00975772">
        <w:rPr>
          <w:rFonts w:ascii="Book Antiqua" w:hAnsi="Book Antiqua"/>
        </w:rPr>
        <w:t>appeared in person without a legal representative</w:t>
      </w:r>
      <w:r w:rsidR="00AA1E5B">
        <w:rPr>
          <w:rFonts w:ascii="Book Antiqua" w:hAnsi="Book Antiqua"/>
        </w:rPr>
        <w:t xml:space="preserve">. She </w:t>
      </w:r>
      <w:r w:rsidR="00806D51">
        <w:rPr>
          <w:rFonts w:ascii="Book Antiqua" w:hAnsi="Book Antiqua"/>
        </w:rPr>
        <w:t>gave evidence that</w:t>
      </w:r>
      <w:r w:rsidR="00C05969">
        <w:rPr>
          <w:rFonts w:ascii="Book Antiqua" w:hAnsi="Book Antiqua"/>
        </w:rPr>
        <w:t xml:space="preserve"> her daughter’s father was a Polish national who was working in the UK. They had separated in </w:t>
      </w:r>
      <w:r w:rsidR="00CD5457">
        <w:rPr>
          <w:rFonts w:ascii="Book Antiqua" w:hAnsi="Book Antiqua"/>
        </w:rPr>
        <w:t>July 2015</w:t>
      </w:r>
      <w:r w:rsidR="00AA1E5B">
        <w:rPr>
          <w:rFonts w:ascii="Book Antiqua" w:hAnsi="Book Antiqua"/>
        </w:rPr>
        <w:t>. The judge found that the appellant did not meet the requirements of Regulation 15A(2</w:t>
      </w:r>
      <w:proofErr w:type="gramStart"/>
      <w:r w:rsidR="00AA1E5B">
        <w:rPr>
          <w:rFonts w:ascii="Book Antiqua" w:hAnsi="Book Antiqua"/>
        </w:rPr>
        <w:t>)</w:t>
      </w:r>
      <w:r w:rsidR="00506A8C">
        <w:rPr>
          <w:rFonts w:ascii="Book Antiqua" w:hAnsi="Book Antiqua"/>
        </w:rPr>
        <w:t>,(</w:t>
      </w:r>
      <w:proofErr w:type="gramEnd"/>
      <w:r w:rsidR="00506A8C">
        <w:rPr>
          <w:rFonts w:ascii="Book Antiqua" w:hAnsi="Book Antiqua"/>
        </w:rPr>
        <w:t>3),(4),(4A) and (5)</w:t>
      </w:r>
      <w:r w:rsidR="004A54DD">
        <w:rPr>
          <w:rFonts w:ascii="Book Antiqua" w:hAnsi="Book Antiqua"/>
        </w:rPr>
        <w:t xml:space="preserve"> and that the respondent’s decision was therefore not in breach of her rights under the EU Treaties. She d</w:t>
      </w:r>
      <w:r w:rsidR="00F93111" w:rsidRPr="004A54DD">
        <w:rPr>
          <w:rFonts w:ascii="Book Antiqua" w:hAnsi="Book Antiqua"/>
        </w:rPr>
        <w:t>ismissed the appeal.</w:t>
      </w:r>
    </w:p>
    <w:p w:rsidR="00F93111" w:rsidRDefault="00F93111" w:rsidP="00F93111">
      <w:pPr>
        <w:pStyle w:val="ListParagraph"/>
        <w:rPr>
          <w:rFonts w:ascii="Book Antiqua" w:hAnsi="Book Antiqua"/>
        </w:rPr>
      </w:pPr>
    </w:p>
    <w:p w:rsidR="00F93111" w:rsidRDefault="00F93111" w:rsidP="00444A6E">
      <w:pPr>
        <w:numPr>
          <w:ilvl w:val="0"/>
          <w:numId w:val="1"/>
        </w:numPr>
        <w:tabs>
          <w:tab w:val="left" w:pos="360"/>
        </w:tabs>
        <w:overflowPunct w:val="0"/>
        <w:autoSpaceDE w:val="0"/>
        <w:autoSpaceDN w:val="0"/>
        <w:adjustRightInd w:val="0"/>
        <w:jc w:val="both"/>
        <w:textAlignment w:val="baseline"/>
        <w:rPr>
          <w:rFonts w:ascii="Book Antiqua" w:hAnsi="Book Antiqua"/>
        </w:rPr>
      </w:pPr>
      <w:r>
        <w:rPr>
          <w:rFonts w:ascii="Book Antiqua" w:hAnsi="Book Antiqua"/>
        </w:rPr>
        <w:t xml:space="preserve">The appellant sought permission to appeal that decision to the Upper Tribunal on </w:t>
      </w:r>
      <w:r w:rsidR="006B3702">
        <w:rPr>
          <w:rFonts w:ascii="Book Antiqua" w:hAnsi="Book Antiqua"/>
        </w:rPr>
        <w:t>the basis that</w:t>
      </w:r>
      <w:r w:rsidR="00A33B8B">
        <w:rPr>
          <w:rFonts w:ascii="Book Antiqua" w:hAnsi="Book Antiqua"/>
        </w:rPr>
        <w:t xml:space="preserve"> </w:t>
      </w:r>
      <w:r w:rsidR="00BD4DA6">
        <w:rPr>
          <w:rFonts w:ascii="Book Antiqua" w:hAnsi="Book Antiqua"/>
        </w:rPr>
        <w:t>the wider implications of European law had not been considered as</w:t>
      </w:r>
      <w:r w:rsidR="00EF3E7F">
        <w:rPr>
          <w:rFonts w:ascii="Book Antiqua" w:hAnsi="Book Antiqua"/>
        </w:rPr>
        <w:t xml:space="preserve"> </w:t>
      </w:r>
      <w:r w:rsidR="00330449">
        <w:rPr>
          <w:rFonts w:ascii="Book Antiqua" w:hAnsi="Book Antiqua"/>
        </w:rPr>
        <w:t>her</w:t>
      </w:r>
      <w:r w:rsidR="00A33B8B">
        <w:rPr>
          <w:rFonts w:ascii="Book Antiqua" w:hAnsi="Book Antiqua"/>
        </w:rPr>
        <w:t xml:space="preserve"> </w:t>
      </w:r>
      <w:r w:rsidR="00EF3E7F">
        <w:rPr>
          <w:rFonts w:ascii="Book Antiqua" w:hAnsi="Book Antiqua"/>
        </w:rPr>
        <w:t xml:space="preserve">removal from the UK meant that her </w:t>
      </w:r>
      <w:r w:rsidR="00BF5AE4">
        <w:rPr>
          <w:rFonts w:ascii="Book Antiqua" w:hAnsi="Book Antiqua"/>
        </w:rPr>
        <w:t xml:space="preserve">Polish </w:t>
      </w:r>
      <w:r w:rsidR="00A33B8B">
        <w:rPr>
          <w:rFonts w:ascii="Book Antiqua" w:hAnsi="Book Antiqua"/>
        </w:rPr>
        <w:t>child was being deprived of</w:t>
      </w:r>
      <w:r w:rsidR="009B55CF">
        <w:rPr>
          <w:rFonts w:ascii="Book Antiqua" w:hAnsi="Book Antiqua"/>
        </w:rPr>
        <w:t xml:space="preserve"> the benef</w:t>
      </w:r>
      <w:r w:rsidR="00330449">
        <w:rPr>
          <w:rFonts w:ascii="Book Antiqua" w:hAnsi="Book Antiqua"/>
        </w:rPr>
        <w:t>i</w:t>
      </w:r>
      <w:r w:rsidR="009B55CF">
        <w:rPr>
          <w:rFonts w:ascii="Book Antiqua" w:hAnsi="Book Antiqua"/>
        </w:rPr>
        <w:t xml:space="preserve">ts of her EU citizenship contrary to the principles </w:t>
      </w:r>
      <w:r w:rsidR="009B55CF" w:rsidRPr="00330449">
        <w:rPr>
          <w:rFonts w:ascii="Book Antiqua" w:hAnsi="Book Antiqua"/>
        </w:rPr>
        <w:t xml:space="preserve">in </w:t>
      </w:r>
      <w:r w:rsidR="00330449" w:rsidRPr="00330449">
        <w:rPr>
          <w:rFonts w:ascii="Book Antiqua" w:hAnsi="Book Antiqua"/>
          <w:color w:val="000000"/>
          <w:u w:val="single"/>
        </w:rPr>
        <w:t>Ruiz Zambrano (European citizenship) [2011] EUECJ C-34/09</w:t>
      </w:r>
      <w:r w:rsidR="00685633" w:rsidRPr="00330449">
        <w:rPr>
          <w:rFonts w:ascii="Book Antiqua" w:hAnsi="Book Antiqua"/>
        </w:rPr>
        <w:t>.</w:t>
      </w:r>
    </w:p>
    <w:p w:rsidR="00685633" w:rsidRDefault="00685633" w:rsidP="00685633">
      <w:pPr>
        <w:pStyle w:val="ListParagraph"/>
        <w:rPr>
          <w:rFonts w:ascii="Book Antiqua" w:hAnsi="Book Antiqua"/>
        </w:rPr>
      </w:pPr>
    </w:p>
    <w:p w:rsidR="00685633" w:rsidRDefault="00685633" w:rsidP="00444A6E">
      <w:pPr>
        <w:numPr>
          <w:ilvl w:val="0"/>
          <w:numId w:val="1"/>
        </w:numPr>
        <w:tabs>
          <w:tab w:val="left" w:pos="360"/>
        </w:tabs>
        <w:overflowPunct w:val="0"/>
        <w:autoSpaceDE w:val="0"/>
        <w:autoSpaceDN w:val="0"/>
        <w:adjustRightInd w:val="0"/>
        <w:jc w:val="both"/>
        <w:textAlignment w:val="baseline"/>
        <w:rPr>
          <w:rFonts w:ascii="Book Antiqua" w:hAnsi="Book Antiqua"/>
        </w:rPr>
      </w:pPr>
      <w:r>
        <w:rPr>
          <w:rFonts w:ascii="Book Antiqua" w:hAnsi="Book Antiqua"/>
        </w:rPr>
        <w:t xml:space="preserve">Permission was granted on </w:t>
      </w:r>
      <w:r w:rsidR="00EF3E7F">
        <w:rPr>
          <w:rFonts w:ascii="Book Antiqua" w:hAnsi="Book Antiqua"/>
        </w:rPr>
        <w:t>15 December 2017</w:t>
      </w:r>
      <w:r w:rsidR="00856A37">
        <w:rPr>
          <w:rFonts w:ascii="Book Antiqua" w:hAnsi="Book Antiqua"/>
        </w:rPr>
        <w:t xml:space="preserve"> on the basis that the First-tier Tribunal had arguably failed to address the applicable approach to the situation where the appellant was the primary carer of an EEA child who would be forced to leave </w:t>
      </w:r>
      <w:r w:rsidR="00DE2701">
        <w:rPr>
          <w:rFonts w:ascii="Book Antiqua" w:hAnsi="Book Antiqua"/>
        </w:rPr>
        <w:t>t</w:t>
      </w:r>
      <w:r w:rsidR="00856A37">
        <w:rPr>
          <w:rFonts w:ascii="Book Antiqua" w:hAnsi="Book Antiqua"/>
        </w:rPr>
        <w:t>he EEA with her parent</w:t>
      </w:r>
      <w:r>
        <w:rPr>
          <w:rFonts w:ascii="Book Antiqua" w:hAnsi="Book Antiqua"/>
        </w:rPr>
        <w:t>.</w:t>
      </w:r>
    </w:p>
    <w:p w:rsidR="00685633" w:rsidRDefault="00685633" w:rsidP="00685633">
      <w:pPr>
        <w:rPr>
          <w:rFonts w:ascii="Book Antiqua" w:hAnsi="Book Antiqua"/>
        </w:rPr>
      </w:pPr>
    </w:p>
    <w:p w:rsidR="00EF3E7F" w:rsidRPr="00237CF7" w:rsidRDefault="007630C3" w:rsidP="00EF3E7F">
      <w:pPr>
        <w:numPr>
          <w:ilvl w:val="0"/>
          <w:numId w:val="1"/>
        </w:numPr>
        <w:tabs>
          <w:tab w:val="left" w:pos="360"/>
        </w:tabs>
        <w:overflowPunct w:val="0"/>
        <w:autoSpaceDE w:val="0"/>
        <w:autoSpaceDN w:val="0"/>
        <w:adjustRightInd w:val="0"/>
        <w:jc w:val="both"/>
        <w:textAlignment w:val="baseline"/>
        <w:rPr>
          <w:rFonts w:ascii="Book Antiqua" w:hAnsi="Book Antiqua" w:cs="Arial"/>
        </w:rPr>
      </w:pPr>
      <w:r>
        <w:rPr>
          <w:rFonts w:ascii="Book Antiqua" w:hAnsi="Book Antiqua"/>
        </w:rPr>
        <w:lastRenderedPageBreak/>
        <w:t>At the hearing</w:t>
      </w:r>
      <w:r w:rsidR="00685633">
        <w:rPr>
          <w:rFonts w:ascii="Book Antiqua" w:hAnsi="Book Antiqua"/>
        </w:rPr>
        <w:t xml:space="preserve"> before me</w:t>
      </w:r>
      <w:r>
        <w:rPr>
          <w:rFonts w:ascii="Book Antiqua" w:hAnsi="Book Antiqua"/>
        </w:rPr>
        <w:t>,</w:t>
      </w:r>
      <w:r w:rsidR="00DF4FCD">
        <w:rPr>
          <w:rFonts w:ascii="Book Antiqua" w:hAnsi="Book Antiqua"/>
        </w:rPr>
        <w:t xml:space="preserve"> I asked Mr </w:t>
      </w:r>
      <w:r w:rsidR="00043615">
        <w:rPr>
          <w:rFonts w:ascii="Book Antiqua" w:hAnsi="Book Antiqua"/>
        </w:rPr>
        <w:t>Azmi to clarify whether the appellant had produced evidence to the respondent that her child was an EEA national, as it appeared to me that</w:t>
      </w:r>
      <w:r w:rsidR="00EC77B1">
        <w:rPr>
          <w:rFonts w:ascii="Book Antiqua" w:hAnsi="Book Antiqua"/>
        </w:rPr>
        <w:t xml:space="preserve"> her application had been made on the basis that she was the primary carer of a child who was the child of an EEA national, not that she was the primary carer of an EEA child</w:t>
      </w:r>
      <w:r w:rsidR="003F39A5">
        <w:rPr>
          <w:rFonts w:ascii="Book Antiqua" w:hAnsi="Book Antiqua"/>
        </w:rPr>
        <w:t>. Permission had been granted on the basis of the appellant being the primary carer of an EEA child</w:t>
      </w:r>
      <w:r w:rsidR="00003A2C">
        <w:rPr>
          <w:rFonts w:ascii="Book Antiqua" w:hAnsi="Book Antiqua"/>
        </w:rPr>
        <w:t>, no doubt as a response to the assertion by the appellant in her grounds that her daughter was a Polish child</w:t>
      </w:r>
      <w:r w:rsidR="00237CF7">
        <w:rPr>
          <w:rFonts w:ascii="Book Antiqua" w:hAnsi="Book Antiqua"/>
        </w:rPr>
        <w:t>, but I could find nothing in the papers before me to suggest that the application had been made, or decided, on that basis.</w:t>
      </w:r>
    </w:p>
    <w:p w:rsidR="00237CF7" w:rsidRDefault="00237CF7" w:rsidP="00237CF7">
      <w:pPr>
        <w:pStyle w:val="ListParagraph"/>
        <w:rPr>
          <w:rFonts w:ascii="Book Antiqua" w:hAnsi="Book Antiqua" w:cs="Arial"/>
        </w:rPr>
      </w:pPr>
    </w:p>
    <w:p w:rsidR="00237CF7" w:rsidRDefault="00237CF7" w:rsidP="00EF3E7F">
      <w:pPr>
        <w:numPr>
          <w:ilvl w:val="0"/>
          <w:numId w:val="1"/>
        </w:numPr>
        <w:tabs>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 xml:space="preserve">Mr Azmi took instructions from the appellant and confirmed that no evidence had been provided to the respondent </w:t>
      </w:r>
      <w:r w:rsidR="001A128C">
        <w:rPr>
          <w:rFonts w:ascii="Book Antiqua" w:hAnsi="Book Antiqua" w:cs="Arial"/>
        </w:rPr>
        <w:t>of the child being an EEA national.</w:t>
      </w:r>
      <w:r w:rsidR="00124848">
        <w:rPr>
          <w:rFonts w:ascii="Book Antiqua" w:hAnsi="Book Antiqua" w:cs="Arial"/>
        </w:rPr>
        <w:t xml:space="preserve"> He advised me that he had assumed that the respondent had accepted that the child was an EEA national, in light of the birth certificate and identity card of her father</w:t>
      </w:r>
      <w:r w:rsidR="00A8311C">
        <w:rPr>
          <w:rFonts w:ascii="Book Antiqua" w:hAnsi="Book Antiqua" w:cs="Arial"/>
        </w:rPr>
        <w:t>,</w:t>
      </w:r>
      <w:r w:rsidR="00B85E72">
        <w:rPr>
          <w:rFonts w:ascii="Book Antiqua" w:hAnsi="Book Antiqua" w:cs="Arial"/>
        </w:rPr>
        <w:t xml:space="preserve"> and his submissions </w:t>
      </w:r>
      <w:r w:rsidR="00521586">
        <w:rPr>
          <w:rFonts w:ascii="Book Antiqua" w:hAnsi="Book Antiqua" w:cs="Arial"/>
        </w:rPr>
        <w:t xml:space="preserve">on Article </w:t>
      </w:r>
      <w:r w:rsidR="00F02703">
        <w:rPr>
          <w:rFonts w:ascii="Book Antiqua" w:hAnsi="Book Antiqua" w:cs="Arial"/>
        </w:rPr>
        <w:t>20 of the TFEU had been</w:t>
      </w:r>
      <w:r w:rsidR="001A128C">
        <w:rPr>
          <w:rFonts w:ascii="Book Antiqua" w:hAnsi="Book Antiqua" w:cs="Arial"/>
        </w:rPr>
        <w:t xml:space="preserve"> based upon </w:t>
      </w:r>
      <w:r w:rsidR="00B85E72">
        <w:rPr>
          <w:rFonts w:ascii="Book Antiqua" w:hAnsi="Book Antiqua" w:cs="Arial"/>
        </w:rPr>
        <w:t>that</w:t>
      </w:r>
      <w:r w:rsidR="001A128C">
        <w:rPr>
          <w:rFonts w:ascii="Book Antiqua" w:hAnsi="Book Antiqua" w:cs="Arial"/>
        </w:rPr>
        <w:t xml:space="preserve"> assumption</w:t>
      </w:r>
      <w:r w:rsidR="00B85E72">
        <w:rPr>
          <w:rFonts w:ascii="Book Antiqua" w:hAnsi="Book Antiqua" w:cs="Arial"/>
        </w:rPr>
        <w:t>.</w:t>
      </w:r>
      <w:r w:rsidR="00A8311C">
        <w:rPr>
          <w:rFonts w:ascii="Book Antiqua" w:hAnsi="Book Antiqua" w:cs="Arial"/>
        </w:rPr>
        <w:t xml:space="preserve"> In the circumstances he could not add any</w:t>
      </w:r>
      <w:r w:rsidR="00DE2701">
        <w:rPr>
          <w:rFonts w:ascii="Book Antiqua" w:hAnsi="Book Antiqua" w:cs="Arial"/>
        </w:rPr>
        <w:t>thing</w:t>
      </w:r>
      <w:r w:rsidR="00A8311C">
        <w:rPr>
          <w:rFonts w:ascii="Book Antiqua" w:hAnsi="Book Antiqua" w:cs="Arial"/>
        </w:rPr>
        <w:t xml:space="preserve"> further</w:t>
      </w:r>
      <w:r w:rsidR="00DE2701">
        <w:rPr>
          <w:rFonts w:ascii="Book Antiqua" w:hAnsi="Book Antiqua" w:cs="Arial"/>
        </w:rPr>
        <w:t xml:space="preserve"> by way of submissions</w:t>
      </w:r>
      <w:r w:rsidR="00A8311C">
        <w:rPr>
          <w:rFonts w:ascii="Book Antiqua" w:hAnsi="Book Antiqua" w:cs="Arial"/>
        </w:rPr>
        <w:t>.</w:t>
      </w:r>
    </w:p>
    <w:p w:rsidR="00A8311C" w:rsidRDefault="00A8311C" w:rsidP="00A8311C">
      <w:pPr>
        <w:pStyle w:val="ListParagraph"/>
        <w:rPr>
          <w:rFonts w:ascii="Book Antiqua" w:hAnsi="Book Antiqua" w:cs="Arial"/>
        </w:rPr>
      </w:pPr>
    </w:p>
    <w:p w:rsidR="003D244D" w:rsidRDefault="00A8311C" w:rsidP="00EF3E7F">
      <w:pPr>
        <w:numPr>
          <w:ilvl w:val="0"/>
          <w:numId w:val="1"/>
        </w:numPr>
        <w:tabs>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I d</w:t>
      </w:r>
      <w:r w:rsidR="00ED2C82">
        <w:rPr>
          <w:rFonts w:ascii="Book Antiqua" w:hAnsi="Book Antiqua" w:cs="Arial"/>
        </w:rPr>
        <w:t>i</w:t>
      </w:r>
      <w:r>
        <w:rPr>
          <w:rFonts w:ascii="Book Antiqua" w:hAnsi="Book Antiqua" w:cs="Arial"/>
        </w:rPr>
        <w:t xml:space="preserve">d not need to hear from Mrs </w:t>
      </w:r>
      <w:proofErr w:type="spellStart"/>
      <w:r>
        <w:rPr>
          <w:rFonts w:ascii="Book Antiqua" w:hAnsi="Book Antiqua" w:cs="Arial"/>
        </w:rPr>
        <w:t>Aboni</w:t>
      </w:r>
      <w:proofErr w:type="spellEnd"/>
      <w:r>
        <w:rPr>
          <w:rFonts w:ascii="Book Antiqua" w:hAnsi="Book Antiqua" w:cs="Arial"/>
        </w:rPr>
        <w:t xml:space="preserve"> a</w:t>
      </w:r>
      <w:r w:rsidR="00ED2C82">
        <w:rPr>
          <w:rFonts w:ascii="Book Antiqua" w:hAnsi="Book Antiqua" w:cs="Arial"/>
        </w:rPr>
        <w:t>s it was clear that permission had been granted on a misunderstanding of the situation. There was no evidence that the appellant’s child was an EEA national</w:t>
      </w:r>
      <w:r w:rsidR="00DE2701">
        <w:rPr>
          <w:rFonts w:ascii="Book Antiqua" w:hAnsi="Book Antiqua" w:cs="Arial"/>
        </w:rPr>
        <w:t>. T</w:t>
      </w:r>
      <w:r w:rsidR="00454912">
        <w:rPr>
          <w:rFonts w:ascii="Book Antiqua" w:hAnsi="Book Antiqua" w:cs="Arial"/>
        </w:rPr>
        <w:t xml:space="preserve">he appellant’s application had not been made </w:t>
      </w:r>
      <w:r w:rsidR="00C42D0C">
        <w:rPr>
          <w:rFonts w:ascii="Book Antiqua" w:hAnsi="Book Antiqua" w:cs="Arial"/>
        </w:rPr>
        <w:t>on the basis of her being the primary carer of an EEA national, which would have fallen under regulation 15</w:t>
      </w:r>
      <w:proofErr w:type="gramStart"/>
      <w:r w:rsidR="00C42D0C">
        <w:rPr>
          <w:rFonts w:ascii="Book Antiqua" w:hAnsi="Book Antiqua" w:cs="Arial"/>
        </w:rPr>
        <w:t>A(</w:t>
      </w:r>
      <w:proofErr w:type="gramEnd"/>
      <w:r w:rsidR="00C42D0C">
        <w:rPr>
          <w:rFonts w:ascii="Book Antiqua" w:hAnsi="Book Antiqua" w:cs="Arial"/>
        </w:rPr>
        <w:t>2)</w:t>
      </w:r>
      <w:r w:rsidR="008B41FF">
        <w:rPr>
          <w:rFonts w:ascii="Book Antiqua" w:hAnsi="Book Antiqua" w:cs="Arial"/>
        </w:rPr>
        <w:t xml:space="preserve">. Her application was made on the basis that she was the primary carer of </w:t>
      </w:r>
      <w:r w:rsidR="0075512B">
        <w:rPr>
          <w:rFonts w:ascii="Book Antiqua" w:hAnsi="Book Antiqua" w:cs="Arial"/>
        </w:rPr>
        <w:t>the child of an EEA national, which fell within regulation 15</w:t>
      </w:r>
      <w:proofErr w:type="gramStart"/>
      <w:r w:rsidR="0075512B">
        <w:rPr>
          <w:rFonts w:ascii="Book Antiqua" w:hAnsi="Book Antiqua" w:cs="Arial"/>
        </w:rPr>
        <w:t>A(</w:t>
      </w:r>
      <w:proofErr w:type="gramEnd"/>
      <w:r w:rsidR="0075512B">
        <w:rPr>
          <w:rFonts w:ascii="Book Antiqua" w:hAnsi="Book Antiqua" w:cs="Arial"/>
        </w:rPr>
        <w:t xml:space="preserve">3). That </w:t>
      </w:r>
      <w:r w:rsidR="008D3846">
        <w:rPr>
          <w:rFonts w:ascii="Book Antiqua" w:hAnsi="Book Antiqua" w:cs="Arial"/>
        </w:rPr>
        <w:t xml:space="preserve">was </w:t>
      </w:r>
      <w:r w:rsidR="0075512B">
        <w:rPr>
          <w:rFonts w:ascii="Book Antiqua" w:hAnsi="Book Antiqua" w:cs="Arial"/>
        </w:rPr>
        <w:t>the basis upon which the application had been considered.</w:t>
      </w:r>
      <w:r w:rsidR="00C23969">
        <w:rPr>
          <w:rFonts w:ascii="Book Antiqua" w:hAnsi="Book Antiqua" w:cs="Arial"/>
        </w:rPr>
        <w:t xml:space="preserve"> Mr Azmi conceded that the judge had dealt with the regulations correctly and indeed that is the case. </w:t>
      </w:r>
      <w:r w:rsidR="001B0E15">
        <w:rPr>
          <w:rFonts w:ascii="Book Antiqua" w:hAnsi="Book Antiqua" w:cs="Arial"/>
        </w:rPr>
        <w:t xml:space="preserve">The judge’s conclusion, that the appellant could not meet the requirements of the EEA regulations, was a proper one </w:t>
      </w:r>
      <w:r w:rsidR="0087100E">
        <w:rPr>
          <w:rFonts w:ascii="Book Antiqua" w:hAnsi="Book Antiqua" w:cs="Arial"/>
        </w:rPr>
        <w:t>on the evidence before her. The arguments made about the principles of EU law,</w:t>
      </w:r>
      <w:r w:rsidR="00B03A5D">
        <w:rPr>
          <w:rFonts w:ascii="Book Antiqua" w:hAnsi="Book Antiqua" w:cs="Arial"/>
        </w:rPr>
        <w:t xml:space="preserve"> Article 20 of the Treaty and </w:t>
      </w:r>
      <w:r w:rsidR="00B03A5D" w:rsidRPr="00DC1218">
        <w:rPr>
          <w:rFonts w:ascii="Book Antiqua" w:hAnsi="Book Antiqua" w:cs="Arial"/>
          <w:u w:val="single"/>
        </w:rPr>
        <w:t>Zambrano</w:t>
      </w:r>
      <w:r w:rsidR="00B03A5D">
        <w:rPr>
          <w:rFonts w:ascii="Book Antiqua" w:hAnsi="Book Antiqua" w:cs="Arial"/>
        </w:rPr>
        <w:t xml:space="preserve"> clearly have no application as they apply to the situation where the child is an</w:t>
      </w:r>
      <w:r w:rsidR="00DC1218">
        <w:rPr>
          <w:rFonts w:ascii="Book Antiqua" w:hAnsi="Book Antiqua" w:cs="Arial"/>
        </w:rPr>
        <w:t xml:space="preserve"> EEA national. </w:t>
      </w:r>
    </w:p>
    <w:p w:rsidR="003D244D" w:rsidRDefault="003D244D" w:rsidP="003D244D">
      <w:pPr>
        <w:pStyle w:val="ListParagraph"/>
        <w:rPr>
          <w:rFonts w:ascii="Book Antiqua" w:hAnsi="Book Antiqua" w:cs="Arial"/>
        </w:rPr>
      </w:pPr>
    </w:p>
    <w:p w:rsidR="00192A85" w:rsidRDefault="00DC1218" w:rsidP="00192A85">
      <w:pPr>
        <w:numPr>
          <w:ilvl w:val="0"/>
          <w:numId w:val="1"/>
        </w:numPr>
        <w:tabs>
          <w:tab w:val="left" w:pos="360"/>
        </w:tabs>
        <w:overflowPunct w:val="0"/>
        <w:autoSpaceDE w:val="0"/>
        <w:autoSpaceDN w:val="0"/>
        <w:adjustRightInd w:val="0"/>
        <w:jc w:val="both"/>
        <w:textAlignment w:val="baseline"/>
        <w:rPr>
          <w:rFonts w:ascii="Book Antiqua" w:hAnsi="Book Antiqua" w:cs="Arial"/>
        </w:rPr>
      </w:pPr>
      <w:r>
        <w:rPr>
          <w:rFonts w:ascii="Book Antiqua" w:hAnsi="Book Antiqua" w:cs="Arial"/>
        </w:rPr>
        <w:t>Accordingly</w:t>
      </w:r>
      <w:r w:rsidR="003763A9">
        <w:rPr>
          <w:rFonts w:ascii="Book Antiqua" w:hAnsi="Book Antiqua" w:cs="Arial"/>
        </w:rPr>
        <w:t xml:space="preserve">, and given that that was the only basis of challenge to the First-tier Tribunal Judge’s decision, the judge plainly </w:t>
      </w:r>
      <w:r w:rsidR="00515EB4">
        <w:rPr>
          <w:rFonts w:ascii="Book Antiqua" w:hAnsi="Book Antiqua" w:cs="Arial"/>
        </w:rPr>
        <w:t xml:space="preserve">dealt with all relevant issues and </w:t>
      </w:r>
      <w:r w:rsidR="003763A9">
        <w:rPr>
          <w:rFonts w:ascii="Book Antiqua" w:hAnsi="Book Antiqua" w:cs="Arial"/>
        </w:rPr>
        <w:t xml:space="preserve">made no errors of </w:t>
      </w:r>
      <w:r w:rsidR="00515EB4">
        <w:rPr>
          <w:rFonts w:ascii="Book Antiqua" w:hAnsi="Book Antiqua" w:cs="Arial"/>
        </w:rPr>
        <w:t>la</w:t>
      </w:r>
      <w:r w:rsidR="003763A9">
        <w:rPr>
          <w:rFonts w:ascii="Book Antiqua" w:hAnsi="Book Antiqua" w:cs="Arial"/>
        </w:rPr>
        <w:t>w in her decision</w:t>
      </w:r>
      <w:r w:rsidR="00515EB4">
        <w:rPr>
          <w:rFonts w:ascii="Book Antiqua" w:hAnsi="Book Antiqua" w:cs="Arial"/>
        </w:rPr>
        <w:t>.</w:t>
      </w:r>
      <w:r w:rsidR="003D244D">
        <w:rPr>
          <w:rFonts w:ascii="Book Antiqua" w:hAnsi="Book Antiqua" w:cs="Arial"/>
        </w:rPr>
        <w:t xml:space="preserve"> I therefore uphold her decision</w:t>
      </w:r>
      <w:r w:rsidR="00192A85">
        <w:rPr>
          <w:rFonts w:ascii="Book Antiqua" w:hAnsi="Book Antiqua" w:cs="Arial"/>
        </w:rPr>
        <w:t>.</w:t>
      </w:r>
    </w:p>
    <w:p w:rsidR="00192A85" w:rsidRDefault="00192A85" w:rsidP="00192A85">
      <w:pPr>
        <w:pStyle w:val="ListParagraph"/>
        <w:rPr>
          <w:rFonts w:ascii="Book Antiqua" w:hAnsi="Book Antiqua" w:cs="Arial"/>
        </w:rPr>
      </w:pPr>
    </w:p>
    <w:p w:rsidR="00192A85" w:rsidRPr="005A6C64" w:rsidRDefault="00192A85" w:rsidP="00192A85">
      <w:pPr>
        <w:tabs>
          <w:tab w:val="left" w:pos="360"/>
        </w:tabs>
        <w:overflowPunct w:val="0"/>
        <w:autoSpaceDE w:val="0"/>
        <w:autoSpaceDN w:val="0"/>
        <w:adjustRightInd w:val="0"/>
        <w:jc w:val="both"/>
        <w:textAlignment w:val="baseline"/>
        <w:rPr>
          <w:rFonts w:ascii="Book Antiqua" w:hAnsi="Book Antiqua"/>
          <w:b/>
          <w:u w:val="single"/>
        </w:rPr>
      </w:pPr>
      <w:r w:rsidRPr="005A6C64">
        <w:rPr>
          <w:rFonts w:ascii="Book Antiqua" w:hAnsi="Book Antiqua"/>
          <w:b/>
          <w:u w:val="single"/>
        </w:rPr>
        <w:t>DECISION</w:t>
      </w:r>
    </w:p>
    <w:p w:rsidR="00192A85" w:rsidRDefault="00192A85" w:rsidP="00192A85">
      <w:pPr>
        <w:pStyle w:val="ListParagraph"/>
        <w:rPr>
          <w:rFonts w:ascii="Book Antiqua" w:hAnsi="Book Antiqua" w:cs="Arial"/>
        </w:rPr>
      </w:pPr>
    </w:p>
    <w:p w:rsidR="00192A85" w:rsidRPr="00192A85" w:rsidRDefault="00192A85" w:rsidP="00192A85">
      <w:pPr>
        <w:numPr>
          <w:ilvl w:val="0"/>
          <w:numId w:val="1"/>
        </w:numPr>
        <w:tabs>
          <w:tab w:val="left" w:pos="360"/>
        </w:tabs>
        <w:overflowPunct w:val="0"/>
        <w:autoSpaceDE w:val="0"/>
        <w:autoSpaceDN w:val="0"/>
        <w:adjustRightInd w:val="0"/>
        <w:jc w:val="both"/>
        <w:textAlignment w:val="baseline"/>
        <w:rPr>
          <w:rFonts w:ascii="Book Antiqua" w:hAnsi="Book Antiqua" w:cs="Arial"/>
        </w:rPr>
      </w:pPr>
      <w:r w:rsidRPr="00192A85">
        <w:rPr>
          <w:rFonts w:ascii="Book Antiqua" w:hAnsi="Book Antiqua" w:cs="Arial"/>
        </w:rPr>
        <w:t>T</w:t>
      </w:r>
      <w:r w:rsidRPr="00192A85">
        <w:rPr>
          <w:rFonts w:ascii="Book Antiqua" w:hAnsi="Book Antiqua"/>
        </w:rPr>
        <w:t>he making of the decision of the First-tier Tribunal did not involve an error on a point of law. I do not set aside the decision. The decision to dismiss the appeal stands</w:t>
      </w:r>
      <w:r w:rsidRPr="00192A85">
        <w:rPr>
          <w:rFonts w:ascii="Book Antiqua" w:hAnsi="Book Antiqua" w:cs="Arial"/>
        </w:rPr>
        <w:t>.</w:t>
      </w:r>
    </w:p>
    <w:p w:rsidR="00192A85" w:rsidRDefault="00192A85" w:rsidP="00192A85">
      <w:pPr>
        <w:tabs>
          <w:tab w:val="left" w:pos="360"/>
        </w:tabs>
        <w:overflowPunct w:val="0"/>
        <w:autoSpaceDE w:val="0"/>
        <w:autoSpaceDN w:val="0"/>
        <w:adjustRightInd w:val="0"/>
        <w:jc w:val="both"/>
        <w:textAlignment w:val="baseline"/>
        <w:rPr>
          <w:rFonts w:ascii="Book Antiqua" w:hAnsi="Book Antiqua" w:cs="Arial"/>
        </w:rPr>
      </w:pPr>
    </w:p>
    <w:p w:rsidR="00601FD0" w:rsidRDefault="00601FD0" w:rsidP="00444A6E">
      <w:pPr>
        <w:pStyle w:val="Level1"/>
        <w:widowControl/>
        <w:jc w:val="both"/>
        <w:rPr>
          <w:rFonts w:ascii="Book Antiqua" w:hAnsi="Book Antiqua"/>
        </w:rPr>
      </w:pPr>
    </w:p>
    <w:p w:rsidR="00187D03" w:rsidRDefault="00444A6E" w:rsidP="00187D03">
      <w:pPr>
        <w:rPr>
          <w:rFonts w:ascii="Book Antiqua" w:hAnsi="Book Antiqua" w:cs="Arial"/>
        </w:rPr>
      </w:pPr>
      <w:r w:rsidRPr="00F97703">
        <w:rPr>
          <w:rFonts w:ascii="Book Antiqua" w:hAnsi="Book Antiqua" w:cs="Arial"/>
        </w:rPr>
        <w:t>Signed</w:t>
      </w:r>
      <w:r w:rsidR="00305F62">
        <w:rPr>
          <w:rFonts w:ascii="Book Antiqua" w:hAnsi="Book Antiqua" w:cs="Arial"/>
        </w:rPr>
        <w:t>:</w:t>
      </w:r>
      <w:r w:rsidR="00ED35B2" w:rsidRPr="00ED35B2">
        <w:rPr>
          <w:sz w:val="20"/>
          <w:szCs w:val="20"/>
        </w:rPr>
        <w:t xml:space="preserve"> </w:t>
      </w:r>
      <w:r w:rsidR="00ED35B2" w:rsidRPr="005927AB">
        <w:rPr>
          <w:noProof/>
          <w:sz w:val="20"/>
          <w:szCs w:val="20"/>
        </w:rPr>
        <w:drawing>
          <wp:inline distT="0" distB="0" distL="0" distR="0" wp14:anchorId="5C6A1E87" wp14:editId="3D25840E">
            <wp:extent cx="12573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r w:rsidR="00305F62">
        <w:rPr>
          <w:rFonts w:ascii="Book Antiqua" w:hAnsi="Book Antiqua" w:cs="Arial"/>
        </w:rPr>
        <w:tab/>
      </w:r>
      <w:r w:rsidR="00305F62">
        <w:rPr>
          <w:rFonts w:ascii="Book Antiqua" w:hAnsi="Book Antiqua" w:cs="Arial"/>
        </w:rPr>
        <w:tab/>
      </w:r>
      <w:r w:rsidR="00305F62">
        <w:rPr>
          <w:rFonts w:ascii="Book Antiqua" w:hAnsi="Book Antiqua" w:cs="Arial"/>
        </w:rPr>
        <w:tab/>
      </w:r>
      <w:r w:rsidR="00305F62">
        <w:rPr>
          <w:rFonts w:ascii="Book Antiqua" w:hAnsi="Book Antiqua" w:cs="Arial"/>
        </w:rPr>
        <w:tab/>
      </w:r>
      <w:r w:rsidR="00305F62">
        <w:rPr>
          <w:rFonts w:ascii="Book Antiqua" w:hAnsi="Book Antiqua" w:cs="Arial"/>
        </w:rPr>
        <w:tab/>
        <w:t>Date</w:t>
      </w:r>
      <w:r w:rsidR="00ED35B2">
        <w:rPr>
          <w:rFonts w:ascii="Book Antiqua" w:hAnsi="Book Antiqua" w:cs="Arial"/>
        </w:rPr>
        <w:t>d</w:t>
      </w:r>
      <w:r w:rsidR="00305F62">
        <w:rPr>
          <w:rFonts w:ascii="Book Antiqua" w:hAnsi="Book Antiqua" w:cs="Arial"/>
        </w:rPr>
        <w:t>:</w:t>
      </w:r>
      <w:r w:rsidRPr="00F97703">
        <w:rPr>
          <w:rFonts w:ascii="Book Antiqua" w:hAnsi="Book Antiqua" w:cs="Arial"/>
        </w:rPr>
        <w:tab/>
      </w:r>
      <w:r w:rsidRPr="00F97703">
        <w:rPr>
          <w:rFonts w:ascii="Book Antiqua" w:hAnsi="Book Antiqua" w:cs="Arial"/>
        </w:rPr>
        <w:tab/>
      </w:r>
      <w:r w:rsidR="0019173E">
        <w:rPr>
          <w:rFonts w:ascii="Book Antiqua" w:hAnsi="Book Antiqua" w:cs="Arial"/>
        </w:rPr>
        <w:t>1</w:t>
      </w:r>
      <w:r w:rsidR="00192A85">
        <w:rPr>
          <w:rFonts w:ascii="Book Antiqua" w:hAnsi="Book Antiqua" w:cs="Arial"/>
        </w:rPr>
        <w:t>3</w:t>
      </w:r>
      <w:r w:rsidR="0019173E">
        <w:rPr>
          <w:rFonts w:ascii="Book Antiqua" w:hAnsi="Book Antiqua" w:cs="Arial"/>
        </w:rPr>
        <w:t xml:space="preserve"> February</w:t>
      </w:r>
      <w:r w:rsidR="00685633">
        <w:rPr>
          <w:rFonts w:ascii="Book Antiqua" w:hAnsi="Book Antiqua" w:cs="Arial"/>
        </w:rPr>
        <w:t xml:space="preserve"> 2018</w:t>
      </w:r>
      <w:r w:rsidR="00187D03">
        <w:rPr>
          <w:rFonts w:ascii="Book Antiqua" w:hAnsi="Book Antiqua" w:cs="Arial"/>
        </w:rPr>
        <w:tab/>
      </w:r>
    </w:p>
    <w:p w:rsidR="007D495F" w:rsidRPr="009E41D7" w:rsidRDefault="00444A6E">
      <w:pPr>
        <w:rPr>
          <w:rFonts w:ascii="Book Antiqua" w:hAnsi="Book Antiqua" w:cs="Arial"/>
          <w:color w:val="000000"/>
        </w:rPr>
      </w:pPr>
      <w:r>
        <w:rPr>
          <w:rFonts w:ascii="Book Antiqua" w:hAnsi="Book Antiqua" w:cs="Arial"/>
          <w:color w:val="000000"/>
        </w:rPr>
        <w:t xml:space="preserve">Upper Tribunal </w:t>
      </w:r>
      <w:r w:rsidRPr="00F97703">
        <w:rPr>
          <w:rFonts w:ascii="Book Antiqua" w:hAnsi="Book Antiqua" w:cs="Arial"/>
          <w:color w:val="000000"/>
        </w:rPr>
        <w:t xml:space="preserve">Judge </w:t>
      </w:r>
      <w:r>
        <w:rPr>
          <w:rFonts w:ascii="Book Antiqua" w:hAnsi="Book Antiqua" w:cs="Arial"/>
          <w:color w:val="000000"/>
        </w:rPr>
        <w:t>Kebede</w:t>
      </w:r>
    </w:p>
    <w:sectPr w:rsidR="007D495F" w:rsidRPr="009E41D7" w:rsidSect="00C4540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9B8" w:rsidRDefault="002659B8">
      <w:r>
        <w:separator/>
      </w:r>
    </w:p>
  </w:endnote>
  <w:endnote w:type="continuationSeparator" w:id="0">
    <w:p w:rsidR="002659B8" w:rsidRDefault="002659B8">
      <w:r>
        <w:continuationSeparator/>
      </w:r>
    </w:p>
  </w:endnote>
  <w:endnote w:type="continuationNotice" w:id="1">
    <w:p w:rsidR="002659B8" w:rsidRDefault="00265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111" w:rsidRPr="00593795" w:rsidRDefault="00F93111" w:rsidP="00C4540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8008A">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111" w:rsidRPr="00090CF9" w:rsidRDefault="00F93111" w:rsidP="00C4540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9B8" w:rsidRDefault="002659B8">
      <w:r>
        <w:separator/>
      </w:r>
    </w:p>
  </w:footnote>
  <w:footnote w:type="continuationSeparator" w:id="0">
    <w:p w:rsidR="002659B8" w:rsidRDefault="002659B8">
      <w:r>
        <w:continuationSeparator/>
      </w:r>
    </w:p>
  </w:footnote>
  <w:footnote w:type="continuationNotice" w:id="1">
    <w:p w:rsidR="002659B8" w:rsidRDefault="002659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111" w:rsidRPr="003C5CE5" w:rsidRDefault="00F93111" w:rsidP="00C45404">
    <w:pPr>
      <w:pStyle w:val="Header"/>
      <w:jc w:val="right"/>
      <w:rPr>
        <w:rFonts w:ascii="Arial" w:hAnsi="Arial" w:cs="Arial"/>
        <w:sz w:val="16"/>
        <w:szCs w:val="16"/>
      </w:rPr>
    </w:pPr>
    <w:r>
      <w:rPr>
        <w:rFonts w:ascii="Arial" w:hAnsi="Arial" w:cs="Arial"/>
        <w:sz w:val="16"/>
        <w:szCs w:val="16"/>
      </w:rPr>
      <w:t>Appeal Number: EA/</w:t>
    </w:r>
    <w:r w:rsidR="004C4ED4">
      <w:rPr>
        <w:rFonts w:ascii="Arial" w:hAnsi="Arial" w:cs="Arial"/>
        <w:sz w:val="16"/>
        <w:szCs w:val="16"/>
      </w:rPr>
      <w:t>01428/</w:t>
    </w:r>
    <w:r>
      <w:rPr>
        <w:rFonts w:ascii="Arial" w:hAnsi="Arial" w:cs="Arial"/>
        <w:sz w:val="16"/>
        <w:szCs w:val="16"/>
      </w:rPr>
      <w:t xml:space="preserve">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B84145E"/>
    <w:multiLevelType w:val="hybridMultilevel"/>
    <w:tmpl w:val="E39C8DF2"/>
    <w:lvl w:ilvl="0" w:tplc="A03A5E8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1D55313"/>
    <w:multiLevelType w:val="hybridMultilevel"/>
    <w:tmpl w:val="8A404F4A"/>
    <w:lvl w:ilvl="0" w:tplc="7F52E0E0">
      <w:start w:val="1"/>
      <w:numFmt w:val="decimal"/>
      <w:lvlText w:val="%1."/>
      <w:lvlJc w:val="left"/>
      <w:pPr>
        <w:tabs>
          <w:tab w:val="num" w:pos="284"/>
        </w:tabs>
        <w:ind w:left="284" w:hanging="284"/>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72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4" w15:restartNumberingAfterBreak="0">
    <w:nsid w:val="5ECF7163"/>
    <w:multiLevelType w:val="multilevel"/>
    <w:tmpl w:val="571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A6E"/>
    <w:rsid w:val="000004F4"/>
    <w:rsid w:val="0000326A"/>
    <w:rsid w:val="00003A2C"/>
    <w:rsid w:val="00005C9D"/>
    <w:rsid w:val="00012312"/>
    <w:rsid w:val="00024A37"/>
    <w:rsid w:val="0003645F"/>
    <w:rsid w:val="0004017E"/>
    <w:rsid w:val="00043615"/>
    <w:rsid w:val="00071B6D"/>
    <w:rsid w:val="000A7058"/>
    <w:rsid w:val="000C1C01"/>
    <w:rsid w:val="000D40FD"/>
    <w:rsid w:val="000F418A"/>
    <w:rsid w:val="0011007A"/>
    <w:rsid w:val="0011612C"/>
    <w:rsid w:val="001241E8"/>
    <w:rsid w:val="00124848"/>
    <w:rsid w:val="00181A74"/>
    <w:rsid w:val="00185437"/>
    <w:rsid w:val="00187D03"/>
    <w:rsid w:val="0019173E"/>
    <w:rsid w:val="00192A85"/>
    <w:rsid w:val="001A128C"/>
    <w:rsid w:val="001B0E15"/>
    <w:rsid w:val="001B20BD"/>
    <w:rsid w:val="001C0051"/>
    <w:rsid w:val="001E1A9A"/>
    <w:rsid w:val="001F1724"/>
    <w:rsid w:val="00202370"/>
    <w:rsid w:val="002107D2"/>
    <w:rsid w:val="002265B1"/>
    <w:rsid w:val="00234B08"/>
    <w:rsid w:val="00236332"/>
    <w:rsid w:val="00237CF7"/>
    <w:rsid w:val="00256DD3"/>
    <w:rsid w:val="002659B8"/>
    <w:rsid w:val="00273FC1"/>
    <w:rsid w:val="0027452A"/>
    <w:rsid w:val="002A3361"/>
    <w:rsid w:val="002A5FF3"/>
    <w:rsid w:val="002D4048"/>
    <w:rsid w:val="002E2D54"/>
    <w:rsid w:val="00301782"/>
    <w:rsid w:val="00302637"/>
    <w:rsid w:val="00305F62"/>
    <w:rsid w:val="00330449"/>
    <w:rsid w:val="00335B24"/>
    <w:rsid w:val="003540DA"/>
    <w:rsid w:val="003763A9"/>
    <w:rsid w:val="0038346C"/>
    <w:rsid w:val="003C3EF2"/>
    <w:rsid w:val="003C4184"/>
    <w:rsid w:val="003D244D"/>
    <w:rsid w:val="003F39A5"/>
    <w:rsid w:val="00412A08"/>
    <w:rsid w:val="00414570"/>
    <w:rsid w:val="00414CBE"/>
    <w:rsid w:val="00436E0A"/>
    <w:rsid w:val="00444A6E"/>
    <w:rsid w:val="00446BDD"/>
    <w:rsid w:val="004544D8"/>
    <w:rsid w:val="00454912"/>
    <w:rsid w:val="00456FD2"/>
    <w:rsid w:val="00473246"/>
    <w:rsid w:val="00492F52"/>
    <w:rsid w:val="004A54DD"/>
    <w:rsid w:val="004B1B27"/>
    <w:rsid w:val="004C4ED4"/>
    <w:rsid w:val="004D6619"/>
    <w:rsid w:val="004E327F"/>
    <w:rsid w:val="004E3EA8"/>
    <w:rsid w:val="00502047"/>
    <w:rsid w:val="00506A8C"/>
    <w:rsid w:val="00515EB4"/>
    <w:rsid w:val="00521586"/>
    <w:rsid w:val="005511F7"/>
    <w:rsid w:val="005823C3"/>
    <w:rsid w:val="005A2CEF"/>
    <w:rsid w:val="005A5521"/>
    <w:rsid w:val="005B3094"/>
    <w:rsid w:val="005B3ECD"/>
    <w:rsid w:val="005B4D28"/>
    <w:rsid w:val="005B6C29"/>
    <w:rsid w:val="005C1FFE"/>
    <w:rsid w:val="005F1874"/>
    <w:rsid w:val="00601FD0"/>
    <w:rsid w:val="006078A6"/>
    <w:rsid w:val="006147C7"/>
    <w:rsid w:val="00637B2D"/>
    <w:rsid w:val="00685633"/>
    <w:rsid w:val="0069531B"/>
    <w:rsid w:val="006A2EFE"/>
    <w:rsid w:val="006B3702"/>
    <w:rsid w:val="006B4F15"/>
    <w:rsid w:val="0070717C"/>
    <w:rsid w:val="00716F61"/>
    <w:rsid w:val="00717D0F"/>
    <w:rsid w:val="00726CF8"/>
    <w:rsid w:val="0073674D"/>
    <w:rsid w:val="0075512B"/>
    <w:rsid w:val="007630C3"/>
    <w:rsid w:val="0078008A"/>
    <w:rsid w:val="007810AE"/>
    <w:rsid w:val="007940A7"/>
    <w:rsid w:val="00794F8C"/>
    <w:rsid w:val="007C43E4"/>
    <w:rsid w:val="007D495F"/>
    <w:rsid w:val="007D56BD"/>
    <w:rsid w:val="007F683C"/>
    <w:rsid w:val="00806B20"/>
    <w:rsid w:val="00806D51"/>
    <w:rsid w:val="0083472C"/>
    <w:rsid w:val="00844B74"/>
    <w:rsid w:val="008456E6"/>
    <w:rsid w:val="00851967"/>
    <w:rsid w:val="008535BD"/>
    <w:rsid w:val="00854BF6"/>
    <w:rsid w:val="00856A37"/>
    <w:rsid w:val="00866940"/>
    <w:rsid w:val="0087100E"/>
    <w:rsid w:val="00881D91"/>
    <w:rsid w:val="008B3A71"/>
    <w:rsid w:val="008B41FF"/>
    <w:rsid w:val="008D06C9"/>
    <w:rsid w:val="008D3846"/>
    <w:rsid w:val="008F4A42"/>
    <w:rsid w:val="008F7A46"/>
    <w:rsid w:val="009256F3"/>
    <w:rsid w:val="00925719"/>
    <w:rsid w:val="009259D6"/>
    <w:rsid w:val="00947C3E"/>
    <w:rsid w:val="00951FCA"/>
    <w:rsid w:val="009664D8"/>
    <w:rsid w:val="00973411"/>
    <w:rsid w:val="009750A9"/>
    <w:rsid w:val="00975772"/>
    <w:rsid w:val="00996590"/>
    <w:rsid w:val="009B124F"/>
    <w:rsid w:val="009B55CF"/>
    <w:rsid w:val="009E41D7"/>
    <w:rsid w:val="00A136FD"/>
    <w:rsid w:val="00A16F4B"/>
    <w:rsid w:val="00A25EB4"/>
    <w:rsid w:val="00A33B8B"/>
    <w:rsid w:val="00A430EF"/>
    <w:rsid w:val="00A4590F"/>
    <w:rsid w:val="00A624CC"/>
    <w:rsid w:val="00A74FB3"/>
    <w:rsid w:val="00A8311C"/>
    <w:rsid w:val="00A8689E"/>
    <w:rsid w:val="00AA1E5B"/>
    <w:rsid w:val="00AC4ED0"/>
    <w:rsid w:val="00AE02F0"/>
    <w:rsid w:val="00AE61FA"/>
    <w:rsid w:val="00AF30E9"/>
    <w:rsid w:val="00B03A5D"/>
    <w:rsid w:val="00B76D86"/>
    <w:rsid w:val="00B85E72"/>
    <w:rsid w:val="00BB19BC"/>
    <w:rsid w:val="00BB2800"/>
    <w:rsid w:val="00BC617B"/>
    <w:rsid w:val="00BC7A70"/>
    <w:rsid w:val="00BD2547"/>
    <w:rsid w:val="00BD4DA6"/>
    <w:rsid w:val="00BF5AE4"/>
    <w:rsid w:val="00BF7D6A"/>
    <w:rsid w:val="00C05969"/>
    <w:rsid w:val="00C23969"/>
    <w:rsid w:val="00C351E2"/>
    <w:rsid w:val="00C42D0C"/>
    <w:rsid w:val="00C45404"/>
    <w:rsid w:val="00C533CE"/>
    <w:rsid w:val="00C76870"/>
    <w:rsid w:val="00C774C1"/>
    <w:rsid w:val="00C846BC"/>
    <w:rsid w:val="00CC7E2B"/>
    <w:rsid w:val="00CD5457"/>
    <w:rsid w:val="00CE5FC5"/>
    <w:rsid w:val="00D22718"/>
    <w:rsid w:val="00D275D0"/>
    <w:rsid w:val="00D316EF"/>
    <w:rsid w:val="00D43212"/>
    <w:rsid w:val="00D73F57"/>
    <w:rsid w:val="00D84A30"/>
    <w:rsid w:val="00DC1218"/>
    <w:rsid w:val="00DE2701"/>
    <w:rsid w:val="00DE5692"/>
    <w:rsid w:val="00DF4FCD"/>
    <w:rsid w:val="00E12EA3"/>
    <w:rsid w:val="00E635C7"/>
    <w:rsid w:val="00E66A8C"/>
    <w:rsid w:val="00E66D82"/>
    <w:rsid w:val="00E81303"/>
    <w:rsid w:val="00E939A5"/>
    <w:rsid w:val="00EA338E"/>
    <w:rsid w:val="00EB2D60"/>
    <w:rsid w:val="00EB642F"/>
    <w:rsid w:val="00EC77B1"/>
    <w:rsid w:val="00ED2C82"/>
    <w:rsid w:val="00ED35B2"/>
    <w:rsid w:val="00ED5A7D"/>
    <w:rsid w:val="00EF3E7F"/>
    <w:rsid w:val="00F00173"/>
    <w:rsid w:val="00F02703"/>
    <w:rsid w:val="00F077B0"/>
    <w:rsid w:val="00F24873"/>
    <w:rsid w:val="00F92C37"/>
    <w:rsid w:val="00F93111"/>
    <w:rsid w:val="00FF5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01B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4A6E"/>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E66A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4A6E"/>
    <w:pPr>
      <w:tabs>
        <w:tab w:val="center" w:pos="4153"/>
        <w:tab w:val="right" w:pos="8306"/>
      </w:tabs>
    </w:pPr>
  </w:style>
  <w:style w:type="character" w:customStyle="1" w:styleId="HeaderChar">
    <w:name w:val="Header Char"/>
    <w:basedOn w:val="DefaultParagraphFont"/>
    <w:link w:val="Header"/>
    <w:rsid w:val="00444A6E"/>
    <w:rPr>
      <w:rFonts w:ascii="Times New Roman" w:eastAsia="Times New Roman" w:hAnsi="Times New Roman" w:cs="Times New Roman"/>
      <w:sz w:val="24"/>
      <w:szCs w:val="24"/>
      <w:lang w:eastAsia="en-GB"/>
    </w:rPr>
  </w:style>
  <w:style w:type="paragraph" w:styleId="Footer">
    <w:name w:val="footer"/>
    <w:basedOn w:val="Normal"/>
    <w:link w:val="FooterChar"/>
    <w:rsid w:val="00444A6E"/>
    <w:pPr>
      <w:tabs>
        <w:tab w:val="center" w:pos="4153"/>
        <w:tab w:val="right" w:pos="8306"/>
      </w:tabs>
    </w:pPr>
  </w:style>
  <w:style w:type="character" w:customStyle="1" w:styleId="FooterChar">
    <w:name w:val="Footer Char"/>
    <w:basedOn w:val="DefaultParagraphFont"/>
    <w:link w:val="Footer"/>
    <w:rsid w:val="00444A6E"/>
    <w:rPr>
      <w:rFonts w:ascii="Times New Roman" w:eastAsia="Times New Roman" w:hAnsi="Times New Roman" w:cs="Times New Roman"/>
      <w:sz w:val="24"/>
      <w:szCs w:val="24"/>
      <w:lang w:eastAsia="en-GB"/>
    </w:rPr>
  </w:style>
  <w:style w:type="character" w:styleId="PageNumber">
    <w:name w:val="page number"/>
    <w:basedOn w:val="DefaultParagraphFont"/>
    <w:rsid w:val="00444A6E"/>
  </w:style>
  <w:style w:type="paragraph" w:customStyle="1" w:styleId="Level1">
    <w:name w:val="Level 1"/>
    <w:basedOn w:val="Normal"/>
    <w:rsid w:val="00444A6E"/>
    <w:pPr>
      <w:widowControl w:val="0"/>
    </w:pPr>
    <w:rPr>
      <w:szCs w:val="20"/>
    </w:rPr>
  </w:style>
  <w:style w:type="paragraph" w:styleId="ListParagraph">
    <w:name w:val="List Paragraph"/>
    <w:basedOn w:val="Normal"/>
    <w:uiPriority w:val="34"/>
    <w:qFormat/>
    <w:rsid w:val="00444A6E"/>
    <w:pPr>
      <w:ind w:left="720"/>
    </w:pPr>
  </w:style>
  <w:style w:type="paragraph" w:styleId="BalloonText">
    <w:name w:val="Balloon Text"/>
    <w:basedOn w:val="Normal"/>
    <w:link w:val="BalloonTextChar"/>
    <w:uiPriority w:val="99"/>
    <w:semiHidden/>
    <w:unhideWhenUsed/>
    <w:rsid w:val="00116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12C"/>
    <w:rPr>
      <w:rFonts w:ascii="Segoe UI" w:eastAsia="Times New Roman" w:hAnsi="Segoe UI" w:cs="Segoe UI"/>
      <w:sz w:val="18"/>
      <w:szCs w:val="18"/>
      <w:lang w:eastAsia="en-GB"/>
    </w:rPr>
  </w:style>
  <w:style w:type="character" w:customStyle="1" w:styleId="Heading3Char">
    <w:name w:val="Heading 3 Char"/>
    <w:basedOn w:val="DefaultParagraphFont"/>
    <w:link w:val="Heading3"/>
    <w:uiPriority w:val="9"/>
    <w:rsid w:val="00E66A8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66A8C"/>
    <w:rPr>
      <w:color w:val="0000FF"/>
      <w:u w:val="single"/>
    </w:rPr>
  </w:style>
  <w:style w:type="character" w:customStyle="1" w:styleId="background">
    <w:name w:val="background"/>
    <w:basedOn w:val="DefaultParagraphFont"/>
    <w:rsid w:val="00E66A8C"/>
  </w:style>
  <w:style w:type="character" w:customStyle="1" w:styleId="legchangedelimiter">
    <w:name w:val="legchangedelimiter"/>
    <w:basedOn w:val="DefaultParagraphFont"/>
    <w:rsid w:val="00E66A8C"/>
  </w:style>
  <w:style w:type="character" w:customStyle="1" w:styleId="legaddition">
    <w:name w:val="legaddition"/>
    <w:basedOn w:val="DefaultParagraphFont"/>
    <w:rsid w:val="00E66A8C"/>
  </w:style>
  <w:style w:type="paragraph" w:customStyle="1" w:styleId="legp1paratext">
    <w:name w:val="legp1paratext"/>
    <w:basedOn w:val="Normal"/>
    <w:rsid w:val="00E66A8C"/>
    <w:pPr>
      <w:spacing w:before="100" w:beforeAutospacing="1" w:after="100" w:afterAutospacing="1"/>
    </w:pPr>
  </w:style>
  <w:style w:type="character" w:customStyle="1" w:styleId="legsubstitution">
    <w:name w:val="legsubstitution"/>
    <w:basedOn w:val="DefaultParagraphFont"/>
    <w:rsid w:val="00E66A8C"/>
  </w:style>
  <w:style w:type="paragraph" w:customStyle="1" w:styleId="legp2paratext">
    <w:name w:val="legp2paratext"/>
    <w:basedOn w:val="Normal"/>
    <w:rsid w:val="00E66A8C"/>
    <w:pPr>
      <w:spacing w:before="100" w:beforeAutospacing="1" w:after="100" w:afterAutospacing="1"/>
    </w:pPr>
  </w:style>
  <w:style w:type="paragraph" w:customStyle="1" w:styleId="legclearfix">
    <w:name w:val="legclearfix"/>
    <w:basedOn w:val="Normal"/>
    <w:rsid w:val="00E66A8C"/>
    <w:pPr>
      <w:spacing w:before="100" w:beforeAutospacing="1" w:after="100" w:afterAutospacing="1"/>
    </w:pPr>
  </w:style>
  <w:style w:type="character" w:customStyle="1" w:styleId="legds">
    <w:name w:val="legds"/>
    <w:basedOn w:val="DefaultParagraphFont"/>
    <w:rsid w:val="00E6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0506">
      <w:bodyDiv w:val="1"/>
      <w:marLeft w:val="0"/>
      <w:marRight w:val="0"/>
      <w:marTop w:val="0"/>
      <w:marBottom w:val="0"/>
      <w:divBdr>
        <w:top w:val="none" w:sz="0" w:space="0" w:color="auto"/>
        <w:left w:val="none" w:sz="0" w:space="0" w:color="auto"/>
        <w:bottom w:val="none" w:sz="0" w:space="0" w:color="auto"/>
        <w:right w:val="none" w:sz="0" w:space="0" w:color="auto"/>
      </w:divBdr>
    </w:div>
    <w:div w:id="852841049">
      <w:bodyDiv w:val="1"/>
      <w:marLeft w:val="0"/>
      <w:marRight w:val="0"/>
      <w:marTop w:val="0"/>
      <w:marBottom w:val="0"/>
      <w:divBdr>
        <w:top w:val="none" w:sz="0" w:space="0" w:color="auto"/>
        <w:left w:val="none" w:sz="0" w:space="0" w:color="auto"/>
        <w:bottom w:val="none" w:sz="0" w:space="0" w:color="auto"/>
        <w:right w:val="none" w:sz="0" w:space="0" w:color="auto"/>
      </w:divBdr>
      <w:divsChild>
        <w:div w:id="2042123935">
          <w:marLeft w:val="0"/>
          <w:marRight w:val="0"/>
          <w:marTop w:val="0"/>
          <w:marBottom w:val="0"/>
          <w:divBdr>
            <w:top w:val="none" w:sz="0" w:space="0" w:color="auto"/>
            <w:left w:val="none" w:sz="0" w:space="0" w:color="auto"/>
            <w:bottom w:val="none" w:sz="0" w:space="0" w:color="auto"/>
            <w:right w:val="none" w:sz="0" w:space="0" w:color="auto"/>
          </w:divBdr>
          <w:divsChild>
            <w:div w:id="1704138757">
              <w:marLeft w:val="0"/>
              <w:marRight w:val="0"/>
              <w:marTop w:val="0"/>
              <w:marBottom w:val="0"/>
              <w:divBdr>
                <w:top w:val="none" w:sz="0" w:space="0" w:color="auto"/>
                <w:left w:val="none" w:sz="0" w:space="0" w:color="auto"/>
                <w:bottom w:val="none" w:sz="0" w:space="0" w:color="auto"/>
                <w:right w:val="none" w:sz="0" w:space="0" w:color="auto"/>
              </w:divBdr>
            </w:div>
          </w:divsChild>
        </w:div>
        <w:div w:id="1348823656">
          <w:marLeft w:val="0"/>
          <w:marRight w:val="0"/>
          <w:marTop w:val="0"/>
          <w:marBottom w:val="0"/>
          <w:divBdr>
            <w:top w:val="none" w:sz="0" w:space="0" w:color="auto"/>
            <w:left w:val="none" w:sz="0" w:space="0" w:color="auto"/>
            <w:bottom w:val="none" w:sz="0" w:space="0" w:color="auto"/>
            <w:right w:val="none" w:sz="0" w:space="0" w:color="auto"/>
          </w:divBdr>
          <w:divsChild>
            <w:div w:id="667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233">
      <w:bodyDiv w:val="1"/>
      <w:marLeft w:val="0"/>
      <w:marRight w:val="0"/>
      <w:marTop w:val="0"/>
      <w:marBottom w:val="0"/>
      <w:divBdr>
        <w:top w:val="none" w:sz="0" w:space="0" w:color="auto"/>
        <w:left w:val="none" w:sz="0" w:space="0" w:color="auto"/>
        <w:bottom w:val="none" w:sz="0" w:space="0" w:color="auto"/>
        <w:right w:val="none" w:sz="0" w:space="0" w:color="auto"/>
      </w:divBdr>
    </w:div>
    <w:div w:id="200095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2018-10-05T09:40:00Z</dcterms:created>
  <dcterms:modified xsi:type="dcterms:W3CDTF">2018-10-05T09:40:00Z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