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BE6C8" w14:textId="77777777" w:rsidR="0024156E" w:rsidRPr="00B07E0B" w:rsidRDefault="0024156E" w:rsidP="0024156E">
      <w:pPr>
        <w:spacing w:after="0" w:line="240" w:lineRule="auto"/>
        <w:rPr>
          <w:rFonts w:eastAsia="Times New Roman" w:cs="Arial"/>
          <w:color w:val="000000"/>
          <w:sz w:val="16"/>
          <w:szCs w:val="16"/>
          <w:lang w:eastAsia="en-GB"/>
        </w:rPr>
      </w:pPr>
    </w:p>
    <w:p w14:paraId="13B15D34" w14:textId="77777777" w:rsidR="0024156E" w:rsidRPr="00B07E0B" w:rsidRDefault="0024156E" w:rsidP="0024156E">
      <w:pPr>
        <w:spacing w:after="0" w:line="240" w:lineRule="auto"/>
        <w:jc w:val="center"/>
        <w:rPr>
          <w:rFonts w:eastAsia="Times New Roman" w:cs="Arial"/>
          <w:color w:val="000000"/>
          <w:szCs w:val="24"/>
          <w:lang w:eastAsia="en-GB"/>
        </w:rPr>
      </w:pPr>
      <w:r w:rsidRPr="00B07E0B">
        <w:rPr>
          <w:rFonts w:ascii="Times New Roman" w:eastAsia="Times New Roman" w:hAnsi="Times New Roman"/>
          <w:noProof/>
          <w:szCs w:val="24"/>
          <w:lang w:eastAsia="en-GB"/>
        </w:rPr>
        <w:drawing>
          <wp:inline distT="0" distB="0" distL="0" distR="0" wp14:anchorId="64FE8E27" wp14:editId="14A06BE7">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16513F80" w14:textId="77777777" w:rsidR="0024156E" w:rsidRPr="00B07E0B" w:rsidRDefault="0024156E" w:rsidP="0024156E">
      <w:pPr>
        <w:tabs>
          <w:tab w:val="right" w:pos="9720"/>
        </w:tabs>
        <w:spacing w:after="0" w:line="240" w:lineRule="auto"/>
        <w:ind w:right="-82"/>
        <w:rPr>
          <w:rFonts w:eastAsia="Times New Roman" w:cs="Arial"/>
          <w:b/>
          <w:color w:val="000000"/>
          <w:szCs w:val="24"/>
          <w:lang w:eastAsia="en-GB"/>
        </w:rPr>
      </w:pPr>
      <w:r w:rsidRPr="00B07E0B">
        <w:rPr>
          <w:rFonts w:eastAsia="Times New Roman" w:cs="Arial"/>
          <w:b/>
          <w:color w:val="000000"/>
          <w:szCs w:val="24"/>
          <w:lang w:eastAsia="en-GB"/>
        </w:rPr>
        <w:t xml:space="preserve">Upper Tribunal </w:t>
      </w:r>
    </w:p>
    <w:p w14:paraId="45FDE066" w14:textId="77777777" w:rsidR="0024156E" w:rsidRDefault="0024156E" w:rsidP="0024156E">
      <w:pPr>
        <w:tabs>
          <w:tab w:val="right" w:pos="9720"/>
        </w:tabs>
        <w:spacing w:after="0" w:line="240" w:lineRule="auto"/>
        <w:ind w:right="-82"/>
        <w:rPr>
          <w:rFonts w:eastAsia="Times New Roman" w:cs="Arial"/>
          <w:caps/>
          <w:color w:val="000000"/>
          <w:szCs w:val="24"/>
          <w:lang w:eastAsia="en-GB"/>
        </w:rPr>
      </w:pPr>
      <w:r w:rsidRPr="00B07E0B">
        <w:rPr>
          <w:rFonts w:eastAsia="Times New Roman" w:cs="Arial"/>
          <w:b/>
          <w:color w:val="000000"/>
          <w:szCs w:val="24"/>
          <w:lang w:eastAsia="en-GB"/>
        </w:rPr>
        <w:t>(Immigration and Asylum Chamber)</w:t>
      </w:r>
      <w:r w:rsidRPr="00B07E0B">
        <w:rPr>
          <w:rFonts w:eastAsia="Times New Roman" w:cs="Arial"/>
          <w:b/>
          <w:color w:val="000000"/>
          <w:szCs w:val="24"/>
          <w:lang w:eastAsia="en-GB"/>
        </w:rPr>
        <w:tab/>
      </w:r>
      <w:r w:rsidRPr="00B07E0B">
        <w:rPr>
          <w:rFonts w:eastAsia="Times New Roman" w:cs="Arial"/>
          <w:color w:val="000000"/>
          <w:szCs w:val="24"/>
          <w:lang w:eastAsia="en-GB"/>
        </w:rPr>
        <w:t xml:space="preserve">Appeal Number: </w:t>
      </w:r>
      <w:r>
        <w:rPr>
          <w:rFonts w:eastAsia="Times New Roman" w:cs="Arial"/>
          <w:color w:val="000000"/>
          <w:szCs w:val="24"/>
          <w:lang w:eastAsia="en-GB"/>
        </w:rPr>
        <w:t xml:space="preserve"> </w:t>
      </w:r>
      <w:bookmarkStart w:id="0" w:name="_GoBack"/>
      <w:r>
        <w:rPr>
          <w:rFonts w:eastAsia="Times New Roman" w:cs="Arial"/>
          <w:color w:val="000000"/>
          <w:szCs w:val="24"/>
          <w:lang w:eastAsia="en-GB"/>
        </w:rPr>
        <w:t>EA</w:t>
      </w:r>
      <w:r w:rsidRPr="00B07E0B">
        <w:rPr>
          <w:rFonts w:eastAsia="Times New Roman" w:cs="Arial"/>
          <w:caps/>
          <w:color w:val="000000"/>
          <w:szCs w:val="24"/>
          <w:lang w:eastAsia="en-GB"/>
        </w:rPr>
        <w:t>/</w:t>
      </w:r>
      <w:r>
        <w:rPr>
          <w:rFonts w:eastAsia="Times New Roman" w:cs="Arial"/>
          <w:caps/>
          <w:color w:val="000000"/>
          <w:szCs w:val="24"/>
          <w:lang w:eastAsia="en-GB"/>
        </w:rPr>
        <w:t>01673</w:t>
      </w:r>
      <w:r w:rsidRPr="00B07E0B">
        <w:rPr>
          <w:rFonts w:eastAsia="Times New Roman" w:cs="Arial"/>
          <w:caps/>
          <w:color w:val="000000"/>
          <w:szCs w:val="24"/>
          <w:lang w:eastAsia="en-GB"/>
        </w:rPr>
        <w:t>/201</w:t>
      </w:r>
      <w:r>
        <w:rPr>
          <w:rFonts w:eastAsia="Times New Roman" w:cs="Arial"/>
          <w:caps/>
          <w:color w:val="000000"/>
          <w:szCs w:val="24"/>
          <w:lang w:eastAsia="en-GB"/>
        </w:rPr>
        <w:t>7</w:t>
      </w:r>
      <w:bookmarkEnd w:id="0"/>
    </w:p>
    <w:p w14:paraId="37968D29" w14:textId="20888E99" w:rsidR="0024156E" w:rsidRDefault="0024156E" w:rsidP="00093BC2">
      <w:pPr>
        <w:tabs>
          <w:tab w:val="right" w:pos="9720"/>
        </w:tabs>
        <w:spacing w:after="0" w:line="240" w:lineRule="auto"/>
        <w:ind w:right="-82"/>
        <w:jc w:val="center"/>
        <w:rPr>
          <w:rFonts w:eastAsia="Times New Roman" w:cs="Arial"/>
          <w:color w:val="000000"/>
          <w:szCs w:val="24"/>
          <w:lang w:eastAsia="en-GB"/>
        </w:rPr>
      </w:pPr>
    </w:p>
    <w:p w14:paraId="31D3539B" w14:textId="77777777" w:rsidR="00093BC2" w:rsidRPr="00B07E0B" w:rsidRDefault="00093BC2" w:rsidP="00093BC2">
      <w:pPr>
        <w:tabs>
          <w:tab w:val="right" w:pos="9720"/>
        </w:tabs>
        <w:spacing w:after="0" w:line="240" w:lineRule="auto"/>
        <w:ind w:right="-82"/>
        <w:jc w:val="center"/>
        <w:rPr>
          <w:rFonts w:eastAsia="Times New Roman" w:cs="Arial"/>
          <w:color w:val="000000"/>
          <w:szCs w:val="24"/>
          <w:lang w:eastAsia="en-GB"/>
        </w:rPr>
      </w:pPr>
    </w:p>
    <w:p w14:paraId="25B22B26" w14:textId="77777777" w:rsidR="0024156E" w:rsidRPr="00B07E0B" w:rsidRDefault="0024156E" w:rsidP="00093BC2">
      <w:pPr>
        <w:spacing w:after="0" w:line="240" w:lineRule="auto"/>
        <w:jc w:val="center"/>
        <w:rPr>
          <w:rFonts w:eastAsia="Times New Roman" w:cs="Arial"/>
          <w:b/>
          <w:color w:val="000000"/>
          <w:szCs w:val="24"/>
          <w:u w:val="single"/>
          <w:lang w:eastAsia="en-GB"/>
        </w:rPr>
      </w:pPr>
      <w:r w:rsidRPr="00B07E0B">
        <w:rPr>
          <w:rFonts w:eastAsia="Times New Roman" w:cs="Arial"/>
          <w:b/>
          <w:color w:val="000000"/>
          <w:szCs w:val="24"/>
          <w:u w:val="single"/>
          <w:lang w:eastAsia="en-GB"/>
        </w:rPr>
        <w:t>THE IMMIGRATION ACTS</w:t>
      </w:r>
    </w:p>
    <w:p w14:paraId="3F2E0EB2" w14:textId="1BAC0C57" w:rsidR="0024156E" w:rsidRDefault="0024156E" w:rsidP="00093BC2">
      <w:pPr>
        <w:spacing w:after="0" w:line="240" w:lineRule="auto"/>
        <w:jc w:val="center"/>
        <w:rPr>
          <w:rFonts w:eastAsia="Times New Roman" w:cs="Arial"/>
          <w:b/>
          <w:szCs w:val="24"/>
          <w:u w:val="single"/>
          <w:lang w:eastAsia="en-GB"/>
        </w:rPr>
      </w:pPr>
    </w:p>
    <w:p w14:paraId="32622871" w14:textId="47D9C24E" w:rsidR="00093BC2" w:rsidRDefault="00093BC2" w:rsidP="00093BC2">
      <w:pPr>
        <w:spacing w:after="0" w:line="240" w:lineRule="auto"/>
        <w:jc w:val="center"/>
        <w:rPr>
          <w:rFonts w:eastAsia="Times New Roman" w:cs="Arial"/>
          <w:b/>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093BC2" w:rsidRPr="00093BC2" w14:paraId="6E8D11FD" w14:textId="77777777" w:rsidTr="00093BC2">
        <w:tc>
          <w:tcPr>
            <w:tcW w:w="4814" w:type="dxa"/>
          </w:tcPr>
          <w:p w14:paraId="25098F7C" w14:textId="4F885426" w:rsidR="00093BC2" w:rsidRPr="00093BC2" w:rsidRDefault="00093BC2" w:rsidP="00093BC2">
            <w:pPr>
              <w:rPr>
                <w:rFonts w:ascii="Book Antiqua" w:hAnsi="Book Antiqua" w:cs="Arial"/>
                <w:b/>
                <w:sz w:val="24"/>
                <w:szCs w:val="24"/>
                <w:u w:val="single"/>
              </w:rPr>
            </w:pPr>
            <w:r w:rsidRPr="00093BC2">
              <w:rPr>
                <w:rFonts w:ascii="Book Antiqua" w:hAnsi="Book Antiqua" w:cs="Arial"/>
                <w:b/>
                <w:sz w:val="24"/>
                <w:szCs w:val="24"/>
              </w:rPr>
              <w:t>Heard at Field House</w:t>
            </w:r>
          </w:p>
        </w:tc>
        <w:tc>
          <w:tcPr>
            <w:tcW w:w="4814" w:type="dxa"/>
          </w:tcPr>
          <w:p w14:paraId="7AD23D78" w14:textId="35F1B6AC" w:rsidR="00093BC2" w:rsidRPr="00093BC2" w:rsidRDefault="00093BC2" w:rsidP="00093BC2">
            <w:pPr>
              <w:jc w:val="right"/>
              <w:rPr>
                <w:rFonts w:ascii="Book Antiqua" w:hAnsi="Book Antiqua" w:cs="Arial"/>
                <w:b/>
                <w:sz w:val="24"/>
                <w:szCs w:val="24"/>
                <w:u w:val="single"/>
              </w:rPr>
            </w:pPr>
            <w:r w:rsidRPr="00093BC2">
              <w:rPr>
                <w:rFonts w:ascii="Book Antiqua" w:hAnsi="Book Antiqua" w:cs="Arial"/>
                <w:b/>
                <w:sz w:val="24"/>
                <w:szCs w:val="24"/>
              </w:rPr>
              <w:t>Decision &amp; Reasons Promulgated</w:t>
            </w:r>
          </w:p>
        </w:tc>
      </w:tr>
      <w:tr w:rsidR="00093BC2" w:rsidRPr="00093BC2" w14:paraId="4BD0C4C1" w14:textId="77777777" w:rsidTr="00093BC2">
        <w:tc>
          <w:tcPr>
            <w:tcW w:w="4814" w:type="dxa"/>
          </w:tcPr>
          <w:p w14:paraId="1FDA7BF0" w14:textId="32A72720" w:rsidR="00093BC2" w:rsidRPr="00093BC2" w:rsidRDefault="00093BC2" w:rsidP="00093BC2">
            <w:pPr>
              <w:rPr>
                <w:rFonts w:ascii="Book Antiqua" w:hAnsi="Book Antiqua" w:cs="Arial"/>
                <w:b/>
                <w:sz w:val="24"/>
                <w:szCs w:val="24"/>
                <w:u w:val="single"/>
              </w:rPr>
            </w:pPr>
            <w:r w:rsidRPr="00093BC2">
              <w:rPr>
                <w:rFonts w:ascii="Book Antiqua" w:hAnsi="Book Antiqua" w:cs="Arial"/>
                <w:b/>
                <w:sz w:val="24"/>
                <w:szCs w:val="24"/>
              </w:rPr>
              <w:t>On 6 September 2018</w:t>
            </w:r>
          </w:p>
        </w:tc>
        <w:tc>
          <w:tcPr>
            <w:tcW w:w="4814" w:type="dxa"/>
          </w:tcPr>
          <w:p w14:paraId="1BD169B3" w14:textId="3D4203C2" w:rsidR="00093BC2" w:rsidRPr="00093BC2" w:rsidRDefault="00093BC2" w:rsidP="00093BC2">
            <w:pPr>
              <w:jc w:val="right"/>
              <w:rPr>
                <w:rFonts w:ascii="Book Antiqua" w:hAnsi="Book Antiqua" w:cs="Arial"/>
                <w:b/>
                <w:sz w:val="24"/>
                <w:szCs w:val="24"/>
                <w:u w:val="single"/>
              </w:rPr>
            </w:pPr>
            <w:r w:rsidRPr="00093BC2">
              <w:rPr>
                <w:rFonts w:ascii="Book Antiqua" w:hAnsi="Book Antiqua" w:cs="Arial"/>
                <w:b/>
                <w:sz w:val="24"/>
                <w:szCs w:val="24"/>
              </w:rPr>
              <w:t>On 13 September 2018</w:t>
            </w:r>
          </w:p>
        </w:tc>
      </w:tr>
    </w:tbl>
    <w:p w14:paraId="37331D31" w14:textId="68BFB4DA" w:rsidR="0024156E" w:rsidRDefault="0024156E" w:rsidP="0024156E">
      <w:pPr>
        <w:spacing w:after="0" w:line="240" w:lineRule="auto"/>
        <w:jc w:val="center"/>
        <w:rPr>
          <w:rFonts w:eastAsia="Times New Roman" w:cs="Arial"/>
          <w:sz w:val="22"/>
          <w:lang w:eastAsia="en-GB"/>
        </w:rPr>
      </w:pPr>
    </w:p>
    <w:p w14:paraId="1D8A03C9" w14:textId="77777777" w:rsidR="00093BC2" w:rsidRPr="00B07E0B" w:rsidRDefault="00093BC2" w:rsidP="0024156E">
      <w:pPr>
        <w:spacing w:after="0" w:line="240" w:lineRule="auto"/>
        <w:jc w:val="center"/>
        <w:rPr>
          <w:rFonts w:eastAsia="Times New Roman" w:cs="Arial"/>
          <w:sz w:val="22"/>
          <w:lang w:eastAsia="en-GB"/>
        </w:rPr>
      </w:pPr>
    </w:p>
    <w:p w14:paraId="3EF3B5C5" w14:textId="77777777" w:rsidR="0024156E" w:rsidRPr="00B07E0B" w:rsidRDefault="0024156E" w:rsidP="0024156E">
      <w:pPr>
        <w:spacing w:after="0" w:line="240" w:lineRule="auto"/>
        <w:jc w:val="center"/>
        <w:rPr>
          <w:rFonts w:eastAsia="Times New Roman" w:cs="Arial"/>
          <w:b/>
          <w:szCs w:val="24"/>
          <w:lang w:eastAsia="en-GB"/>
        </w:rPr>
      </w:pPr>
      <w:r w:rsidRPr="00B07E0B">
        <w:rPr>
          <w:rFonts w:eastAsia="Times New Roman" w:cs="Arial"/>
          <w:b/>
          <w:szCs w:val="24"/>
          <w:lang w:eastAsia="en-GB"/>
        </w:rPr>
        <w:t>Before</w:t>
      </w:r>
    </w:p>
    <w:p w14:paraId="26911FA8" w14:textId="77777777" w:rsidR="0024156E" w:rsidRPr="00B07E0B" w:rsidRDefault="0024156E" w:rsidP="0024156E">
      <w:pPr>
        <w:spacing w:after="0" w:line="240" w:lineRule="auto"/>
        <w:jc w:val="center"/>
        <w:rPr>
          <w:rFonts w:eastAsia="Times New Roman" w:cs="Arial"/>
          <w:b/>
          <w:szCs w:val="24"/>
          <w:lang w:eastAsia="en-GB"/>
        </w:rPr>
      </w:pPr>
    </w:p>
    <w:p w14:paraId="287848C0" w14:textId="77777777" w:rsidR="0024156E" w:rsidRPr="00B07E0B" w:rsidRDefault="0024156E" w:rsidP="0024156E">
      <w:pPr>
        <w:spacing w:after="0" w:line="240" w:lineRule="auto"/>
        <w:jc w:val="center"/>
        <w:rPr>
          <w:rFonts w:eastAsia="Times New Roman" w:cs="Arial"/>
          <w:b/>
          <w:color w:val="000000"/>
          <w:szCs w:val="24"/>
          <w:lang w:eastAsia="en-GB"/>
        </w:rPr>
      </w:pPr>
      <w:r w:rsidRPr="00B07E0B">
        <w:rPr>
          <w:rFonts w:eastAsia="Times New Roman" w:cs="Arial"/>
          <w:b/>
          <w:color w:val="000000"/>
          <w:szCs w:val="24"/>
          <w:lang w:eastAsia="en-GB"/>
        </w:rPr>
        <w:t xml:space="preserve">UPPER TRIBUNAL JUDGE KEKIĆ  </w:t>
      </w:r>
    </w:p>
    <w:p w14:paraId="298BA3A0" w14:textId="77777777" w:rsidR="0024156E" w:rsidRPr="00B07E0B" w:rsidRDefault="0024156E" w:rsidP="0024156E">
      <w:pPr>
        <w:spacing w:after="0" w:line="240" w:lineRule="auto"/>
        <w:jc w:val="center"/>
        <w:rPr>
          <w:rFonts w:eastAsia="Times New Roman" w:cs="Arial"/>
          <w:b/>
          <w:color w:val="000000"/>
          <w:szCs w:val="24"/>
          <w:lang w:eastAsia="en-GB"/>
        </w:rPr>
      </w:pPr>
    </w:p>
    <w:p w14:paraId="3F9131EA" w14:textId="77777777" w:rsidR="0024156E" w:rsidRPr="00B07E0B" w:rsidRDefault="0024156E" w:rsidP="0024156E">
      <w:pPr>
        <w:spacing w:after="0" w:line="240" w:lineRule="auto"/>
        <w:jc w:val="center"/>
        <w:rPr>
          <w:rFonts w:eastAsia="Times New Roman" w:cs="Arial"/>
          <w:b/>
          <w:szCs w:val="24"/>
          <w:lang w:eastAsia="en-GB"/>
        </w:rPr>
      </w:pPr>
    </w:p>
    <w:p w14:paraId="4034B84C" w14:textId="77777777" w:rsidR="0024156E" w:rsidRPr="00B07E0B" w:rsidRDefault="0024156E" w:rsidP="0024156E">
      <w:pPr>
        <w:spacing w:after="0" w:line="240" w:lineRule="auto"/>
        <w:jc w:val="center"/>
        <w:rPr>
          <w:rFonts w:eastAsia="Times New Roman" w:cs="Arial"/>
          <w:b/>
          <w:szCs w:val="24"/>
          <w:lang w:eastAsia="en-GB"/>
        </w:rPr>
      </w:pPr>
      <w:r w:rsidRPr="00B07E0B">
        <w:rPr>
          <w:rFonts w:eastAsia="Times New Roman" w:cs="Arial"/>
          <w:b/>
          <w:szCs w:val="24"/>
          <w:lang w:eastAsia="en-GB"/>
        </w:rPr>
        <w:t>Between</w:t>
      </w:r>
    </w:p>
    <w:p w14:paraId="418F10BA" w14:textId="77777777" w:rsidR="0024156E" w:rsidRPr="00B07E0B" w:rsidRDefault="0024156E" w:rsidP="0024156E">
      <w:pPr>
        <w:spacing w:after="0" w:line="240" w:lineRule="auto"/>
        <w:jc w:val="center"/>
        <w:rPr>
          <w:rFonts w:eastAsia="Times New Roman" w:cs="Arial"/>
          <w:b/>
          <w:szCs w:val="24"/>
          <w:lang w:eastAsia="en-GB"/>
        </w:rPr>
      </w:pPr>
    </w:p>
    <w:p w14:paraId="28819699" w14:textId="77777777" w:rsidR="0024156E" w:rsidRPr="00B07E0B" w:rsidRDefault="0024156E" w:rsidP="0024156E">
      <w:pPr>
        <w:spacing w:after="0" w:line="240" w:lineRule="auto"/>
        <w:jc w:val="center"/>
        <w:rPr>
          <w:rFonts w:eastAsia="Times New Roman" w:cs="Arial"/>
          <w:b/>
          <w:caps/>
          <w:szCs w:val="24"/>
          <w:lang w:eastAsia="en-GB"/>
        </w:rPr>
      </w:pPr>
      <w:r>
        <w:rPr>
          <w:rFonts w:eastAsia="Times New Roman" w:cs="Arial"/>
          <w:b/>
          <w:caps/>
          <w:szCs w:val="24"/>
          <w:lang w:eastAsia="en-GB"/>
        </w:rPr>
        <w:t>KAMRAN AWAN</w:t>
      </w:r>
    </w:p>
    <w:p w14:paraId="0E7B3C0F" w14:textId="77777777" w:rsidR="0024156E" w:rsidRPr="00093BC2" w:rsidRDefault="0024156E" w:rsidP="0024156E">
      <w:pPr>
        <w:spacing w:after="0" w:line="240" w:lineRule="auto"/>
        <w:jc w:val="center"/>
        <w:rPr>
          <w:rFonts w:eastAsia="Times New Roman" w:cs="Arial"/>
          <w:b/>
          <w:caps/>
          <w:sz w:val="22"/>
          <w:szCs w:val="24"/>
          <w:lang w:eastAsia="en-GB"/>
        </w:rPr>
      </w:pPr>
      <w:r w:rsidRPr="00093BC2">
        <w:rPr>
          <w:rFonts w:eastAsia="Times New Roman" w:cs="Arial"/>
          <w:b/>
          <w:caps/>
          <w:sz w:val="22"/>
          <w:szCs w:val="24"/>
          <w:lang w:eastAsia="en-GB"/>
        </w:rPr>
        <w:t>(anonymity order NOT made)</w:t>
      </w:r>
    </w:p>
    <w:p w14:paraId="28BBC213" w14:textId="77777777" w:rsidR="0024156E" w:rsidRPr="00B07E0B" w:rsidRDefault="0024156E" w:rsidP="0024156E">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Appellant</w:t>
      </w:r>
    </w:p>
    <w:p w14:paraId="46111656" w14:textId="77777777" w:rsidR="0024156E" w:rsidRPr="00B07E0B" w:rsidRDefault="0024156E" w:rsidP="0024156E">
      <w:pPr>
        <w:spacing w:after="0" w:line="240" w:lineRule="auto"/>
        <w:jc w:val="center"/>
        <w:rPr>
          <w:rFonts w:eastAsia="Times New Roman" w:cs="Arial"/>
          <w:b/>
          <w:szCs w:val="24"/>
          <w:lang w:eastAsia="en-GB"/>
        </w:rPr>
      </w:pPr>
      <w:r w:rsidRPr="00B07E0B">
        <w:rPr>
          <w:rFonts w:eastAsia="Times New Roman" w:cs="Arial"/>
          <w:b/>
          <w:szCs w:val="24"/>
          <w:lang w:eastAsia="en-GB"/>
        </w:rPr>
        <w:t>and</w:t>
      </w:r>
    </w:p>
    <w:p w14:paraId="1892CD5E" w14:textId="77777777" w:rsidR="0024156E" w:rsidRPr="00B07E0B" w:rsidRDefault="0024156E" w:rsidP="0024156E">
      <w:pPr>
        <w:spacing w:after="0" w:line="240" w:lineRule="auto"/>
        <w:jc w:val="center"/>
        <w:rPr>
          <w:rFonts w:eastAsia="Times New Roman" w:cs="Arial"/>
          <w:b/>
          <w:szCs w:val="24"/>
          <w:lang w:eastAsia="en-GB"/>
        </w:rPr>
      </w:pPr>
    </w:p>
    <w:p w14:paraId="52DD46BF" w14:textId="77777777" w:rsidR="0024156E" w:rsidRDefault="0024156E" w:rsidP="0024156E">
      <w:pPr>
        <w:spacing w:after="0" w:line="240" w:lineRule="auto"/>
        <w:jc w:val="center"/>
        <w:rPr>
          <w:rFonts w:eastAsia="Times New Roman" w:cs="Arial"/>
          <w:b/>
          <w:szCs w:val="24"/>
          <w:lang w:eastAsia="en-GB"/>
        </w:rPr>
      </w:pPr>
      <w:r>
        <w:rPr>
          <w:rFonts w:eastAsia="Times New Roman" w:cs="Arial"/>
          <w:b/>
          <w:szCs w:val="24"/>
          <w:lang w:eastAsia="en-GB"/>
        </w:rPr>
        <w:t xml:space="preserve">SECRETARY OF STATE FOR THE HOME DEPARTMENT </w:t>
      </w:r>
    </w:p>
    <w:p w14:paraId="463EBC7C" w14:textId="77777777" w:rsidR="0024156E" w:rsidRPr="00B07E0B" w:rsidRDefault="0024156E" w:rsidP="0024156E">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Respondent</w:t>
      </w:r>
    </w:p>
    <w:p w14:paraId="3C77ACAF" w14:textId="77777777" w:rsidR="00093BC2" w:rsidRDefault="00093BC2" w:rsidP="0024156E">
      <w:pPr>
        <w:spacing w:after="0" w:line="240" w:lineRule="auto"/>
        <w:rPr>
          <w:rFonts w:eastAsia="Times New Roman" w:cs="Arial"/>
          <w:b/>
          <w:szCs w:val="24"/>
          <w:u w:val="single"/>
          <w:lang w:eastAsia="en-GB"/>
        </w:rPr>
      </w:pPr>
    </w:p>
    <w:p w14:paraId="5666B0E9" w14:textId="77777777" w:rsidR="00093BC2" w:rsidRDefault="00093BC2" w:rsidP="0024156E">
      <w:pPr>
        <w:spacing w:after="0" w:line="240" w:lineRule="auto"/>
        <w:rPr>
          <w:rFonts w:eastAsia="Times New Roman" w:cs="Arial"/>
          <w:b/>
          <w:szCs w:val="24"/>
          <w:u w:val="single"/>
          <w:lang w:eastAsia="en-GB"/>
        </w:rPr>
      </w:pPr>
    </w:p>
    <w:p w14:paraId="6FD1C3E0" w14:textId="0A00A92C" w:rsidR="0024156E" w:rsidRPr="00B07E0B" w:rsidRDefault="0024156E" w:rsidP="0024156E">
      <w:pPr>
        <w:spacing w:after="0" w:line="240" w:lineRule="auto"/>
        <w:rPr>
          <w:rFonts w:eastAsia="Times New Roman" w:cs="Arial"/>
          <w:szCs w:val="24"/>
          <w:lang w:eastAsia="en-GB"/>
        </w:rPr>
      </w:pPr>
      <w:r w:rsidRPr="00B07E0B">
        <w:rPr>
          <w:rFonts w:eastAsia="Times New Roman" w:cs="Arial"/>
          <w:b/>
          <w:szCs w:val="24"/>
          <w:u w:val="single"/>
          <w:lang w:eastAsia="en-GB"/>
        </w:rPr>
        <w:t>Representation</w:t>
      </w:r>
      <w:r w:rsidRPr="00B07E0B">
        <w:rPr>
          <w:rFonts w:eastAsia="Times New Roman" w:cs="Arial"/>
          <w:b/>
          <w:szCs w:val="24"/>
          <w:lang w:eastAsia="en-GB"/>
        </w:rPr>
        <w:t>:</w:t>
      </w:r>
    </w:p>
    <w:p w14:paraId="07D88323" w14:textId="77777777" w:rsidR="0024156E" w:rsidRPr="00B07E0B" w:rsidRDefault="0024156E" w:rsidP="0024156E">
      <w:pPr>
        <w:tabs>
          <w:tab w:val="left" w:pos="2520"/>
        </w:tabs>
        <w:spacing w:after="0" w:line="240" w:lineRule="auto"/>
        <w:ind w:left="2520" w:hanging="2520"/>
        <w:rPr>
          <w:rFonts w:eastAsia="Times New Roman" w:cs="Arial"/>
          <w:szCs w:val="24"/>
          <w:lang w:eastAsia="en-GB"/>
        </w:rPr>
      </w:pPr>
      <w:r w:rsidRPr="00B07E0B">
        <w:rPr>
          <w:rFonts w:eastAsia="Times New Roman" w:cs="Arial"/>
          <w:szCs w:val="24"/>
          <w:lang w:eastAsia="en-GB"/>
        </w:rPr>
        <w:t>For the Appellant:</w:t>
      </w:r>
      <w:r w:rsidRPr="00B07E0B">
        <w:rPr>
          <w:rFonts w:eastAsia="Times New Roman" w:cs="Arial"/>
          <w:szCs w:val="24"/>
          <w:lang w:eastAsia="en-GB"/>
        </w:rPr>
        <w:tab/>
      </w:r>
      <w:r>
        <w:rPr>
          <w:rFonts w:eastAsia="Times New Roman" w:cs="Arial"/>
          <w:szCs w:val="24"/>
          <w:lang w:eastAsia="en-GB"/>
        </w:rPr>
        <w:t xml:space="preserve">Mr S Tariq of West London Solicitors  </w:t>
      </w:r>
    </w:p>
    <w:p w14:paraId="182B921C" w14:textId="77777777" w:rsidR="0024156E" w:rsidRPr="00B07E0B" w:rsidRDefault="0024156E" w:rsidP="0024156E">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Respondent:</w:t>
      </w:r>
      <w:r w:rsidRPr="00B07E0B">
        <w:rPr>
          <w:rFonts w:eastAsia="Times New Roman" w:cs="Arial"/>
          <w:szCs w:val="24"/>
          <w:lang w:eastAsia="en-GB"/>
        </w:rPr>
        <w:tab/>
        <w:t>M</w:t>
      </w:r>
      <w:r>
        <w:rPr>
          <w:rFonts w:eastAsia="Times New Roman" w:cs="Arial"/>
          <w:szCs w:val="24"/>
          <w:lang w:eastAsia="en-GB"/>
        </w:rPr>
        <w:t xml:space="preserve">r </w:t>
      </w:r>
      <w:r w:rsidR="007405AC">
        <w:rPr>
          <w:rFonts w:eastAsia="Times New Roman" w:cs="Arial"/>
          <w:szCs w:val="24"/>
          <w:lang w:eastAsia="en-GB"/>
        </w:rPr>
        <w:t>S Whitwell</w:t>
      </w:r>
      <w:r w:rsidRPr="00B07E0B">
        <w:rPr>
          <w:rFonts w:eastAsia="Times New Roman" w:cs="Arial"/>
          <w:szCs w:val="24"/>
          <w:lang w:eastAsia="en-GB"/>
        </w:rPr>
        <w:t>, Senior Home Office Presenting Officer</w:t>
      </w:r>
    </w:p>
    <w:p w14:paraId="5A90FF15" w14:textId="77777777" w:rsidR="0024156E" w:rsidRDefault="0024156E" w:rsidP="0024156E">
      <w:pPr>
        <w:tabs>
          <w:tab w:val="left" w:pos="2520"/>
        </w:tabs>
        <w:spacing w:after="0" w:line="240" w:lineRule="auto"/>
        <w:jc w:val="center"/>
        <w:rPr>
          <w:rFonts w:eastAsia="Times New Roman" w:cs="Arial"/>
          <w:szCs w:val="24"/>
          <w:lang w:eastAsia="en-GB"/>
        </w:rPr>
      </w:pPr>
    </w:p>
    <w:p w14:paraId="0796AA57" w14:textId="77777777" w:rsidR="0024156E" w:rsidRPr="00B07E0B" w:rsidRDefault="0024156E" w:rsidP="0024156E">
      <w:pPr>
        <w:tabs>
          <w:tab w:val="left" w:pos="2520"/>
        </w:tabs>
        <w:spacing w:after="0" w:line="240" w:lineRule="auto"/>
        <w:jc w:val="center"/>
        <w:rPr>
          <w:rFonts w:eastAsia="Times New Roman" w:cs="Arial"/>
          <w:szCs w:val="24"/>
          <w:lang w:eastAsia="en-GB"/>
        </w:rPr>
      </w:pPr>
    </w:p>
    <w:p w14:paraId="3A1179B0" w14:textId="77777777" w:rsidR="0024156E" w:rsidRPr="00B07E0B" w:rsidRDefault="0024156E" w:rsidP="0024156E">
      <w:pPr>
        <w:tabs>
          <w:tab w:val="left" w:pos="2520"/>
        </w:tabs>
        <w:spacing w:after="0" w:line="240" w:lineRule="auto"/>
        <w:jc w:val="center"/>
        <w:rPr>
          <w:rFonts w:eastAsia="Times New Roman" w:cs="Arial"/>
          <w:szCs w:val="24"/>
          <w:lang w:eastAsia="en-GB"/>
        </w:rPr>
      </w:pPr>
      <w:r w:rsidRPr="00B07E0B">
        <w:rPr>
          <w:rFonts w:eastAsia="Times New Roman" w:cs="Arial"/>
          <w:b/>
          <w:szCs w:val="24"/>
          <w:u w:val="single"/>
          <w:lang w:eastAsia="en-GB"/>
        </w:rPr>
        <w:t>DETERMINATION AND REASONS</w:t>
      </w:r>
    </w:p>
    <w:p w14:paraId="70A59069" w14:textId="77E56AFC" w:rsidR="0024156E" w:rsidRDefault="0024156E"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sidRPr="00D32AD4">
        <w:rPr>
          <w:rFonts w:eastAsia="Times New Roman" w:cs="Arial"/>
          <w:szCs w:val="24"/>
          <w:lang w:eastAsia="en-GB"/>
        </w:rPr>
        <w:t xml:space="preserve">The appellant challenges the determination of First-tier Tribunal Judge </w:t>
      </w:r>
      <w:r>
        <w:rPr>
          <w:rFonts w:eastAsia="Times New Roman" w:cs="Arial"/>
          <w:szCs w:val="24"/>
          <w:lang w:eastAsia="en-GB"/>
        </w:rPr>
        <w:t xml:space="preserve">Pacey </w:t>
      </w:r>
      <w:r w:rsidRPr="00D32AD4">
        <w:rPr>
          <w:rFonts w:eastAsia="Times New Roman" w:cs="Arial"/>
          <w:szCs w:val="24"/>
          <w:lang w:eastAsia="en-GB"/>
        </w:rPr>
        <w:t xml:space="preserve">promulgated on </w:t>
      </w:r>
      <w:r>
        <w:rPr>
          <w:rFonts w:eastAsia="Times New Roman" w:cs="Arial"/>
          <w:szCs w:val="24"/>
          <w:lang w:eastAsia="en-GB"/>
        </w:rPr>
        <w:t>16 March</w:t>
      </w:r>
      <w:r w:rsidRPr="00D32AD4">
        <w:rPr>
          <w:rFonts w:eastAsia="Times New Roman" w:cs="Arial"/>
          <w:szCs w:val="24"/>
          <w:lang w:eastAsia="en-GB"/>
        </w:rPr>
        <w:t xml:space="preserve"> 201</w:t>
      </w:r>
      <w:r>
        <w:rPr>
          <w:rFonts w:eastAsia="Times New Roman" w:cs="Arial"/>
          <w:szCs w:val="24"/>
          <w:lang w:eastAsia="en-GB"/>
        </w:rPr>
        <w:t>8</w:t>
      </w:r>
      <w:r w:rsidRPr="00D32AD4">
        <w:rPr>
          <w:rFonts w:eastAsia="Times New Roman" w:cs="Arial"/>
          <w:szCs w:val="24"/>
          <w:lang w:eastAsia="en-GB"/>
        </w:rPr>
        <w:t xml:space="preserve"> dismissing h</w:t>
      </w:r>
      <w:r>
        <w:rPr>
          <w:rFonts w:eastAsia="Times New Roman" w:cs="Arial"/>
          <w:szCs w:val="24"/>
          <w:lang w:eastAsia="en-GB"/>
        </w:rPr>
        <w:t>is</w:t>
      </w:r>
      <w:r w:rsidRPr="00D32AD4">
        <w:rPr>
          <w:rFonts w:eastAsia="Times New Roman" w:cs="Arial"/>
          <w:szCs w:val="24"/>
          <w:lang w:eastAsia="en-GB"/>
        </w:rPr>
        <w:t xml:space="preserve"> appeal against the respondent’s decision of </w:t>
      </w:r>
      <w:r>
        <w:rPr>
          <w:rFonts w:eastAsia="Times New Roman" w:cs="Arial"/>
          <w:szCs w:val="24"/>
          <w:lang w:eastAsia="en-GB"/>
        </w:rPr>
        <w:t xml:space="preserve">19 January 2017 to refuse to issue him with a permanent residence card under reg. 15(1)(b) of the EEA Regulations. </w:t>
      </w:r>
      <w:r w:rsidRPr="00D32AD4">
        <w:rPr>
          <w:rFonts w:eastAsia="Times New Roman" w:cs="Arial"/>
          <w:szCs w:val="24"/>
          <w:lang w:eastAsia="en-GB"/>
        </w:rPr>
        <w:t xml:space="preserve"> </w:t>
      </w:r>
    </w:p>
    <w:p w14:paraId="1AA1EF47" w14:textId="77777777" w:rsidR="0024156E" w:rsidRPr="00D32AD4" w:rsidRDefault="0024156E"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sidRPr="00D32AD4">
        <w:rPr>
          <w:rFonts w:eastAsia="Times New Roman" w:cs="Arial"/>
          <w:szCs w:val="24"/>
          <w:lang w:eastAsia="en-GB"/>
        </w:rPr>
        <w:t xml:space="preserve">The appellant is a national of </w:t>
      </w:r>
      <w:r>
        <w:rPr>
          <w:rFonts w:eastAsia="Times New Roman" w:cs="Arial"/>
          <w:szCs w:val="24"/>
          <w:lang w:eastAsia="en-GB"/>
        </w:rPr>
        <w:t>Pakistan</w:t>
      </w:r>
      <w:r w:rsidRPr="00D32AD4">
        <w:rPr>
          <w:rFonts w:eastAsia="Times New Roman" w:cs="Arial"/>
          <w:szCs w:val="24"/>
          <w:lang w:eastAsia="en-GB"/>
        </w:rPr>
        <w:t xml:space="preserve">, born on </w:t>
      </w:r>
      <w:r>
        <w:rPr>
          <w:rFonts w:eastAsia="Times New Roman" w:cs="Arial"/>
          <w:szCs w:val="24"/>
          <w:lang w:eastAsia="en-GB"/>
        </w:rPr>
        <w:t>4 December 1986</w:t>
      </w:r>
      <w:r w:rsidRPr="00D32AD4">
        <w:rPr>
          <w:rFonts w:eastAsia="Times New Roman" w:cs="Arial"/>
          <w:szCs w:val="24"/>
          <w:lang w:eastAsia="en-GB"/>
        </w:rPr>
        <w:t>.</w:t>
      </w:r>
      <w:r>
        <w:rPr>
          <w:rFonts w:eastAsia="Times New Roman" w:cs="Arial"/>
          <w:szCs w:val="24"/>
          <w:lang w:eastAsia="en-GB"/>
        </w:rPr>
        <w:t xml:space="preserve"> He arrived in the UK for studies in May 2009 and on 27 April 2011 he married a </w:t>
      </w:r>
      <w:r w:rsidR="00CE4EA3">
        <w:rPr>
          <w:rFonts w:eastAsia="Times New Roman" w:cs="Arial"/>
          <w:szCs w:val="24"/>
          <w:lang w:eastAsia="en-GB"/>
        </w:rPr>
        <w:t>Lithuanian</w:t>
      </w:r>
      <w:r>
        <w:rPr>
          <w:rFonts w:eastAsia="Times New Roman" w:cs="Arial"/>
          <w:szCs w:val="24"/>
          <w:lang w:eastAsia="en-GB"/>
        </w:rPr>
        <w:t xml:space="preserve"> </w:t>
      </w:r>
      <w:r>
        <w:rPr>
          <w:rFonts w:eastAsia="Times New Roman" w:cs="Arial"/>
          <w:szCs w:val="24"/>
          <w:lang w:eastAsia="en-GB"/>
        </w:rPr>
        <w:lastRenderedPageBreak/>
        <w:t>national and subsequently obtained a residence card on 2 August 2011, valid for five years. A subsequent application for a permanent residence card made on 16 April 2015 was refused on 18 September 2015. Although the appellant lodged an appeal against that decision, he later withdrew it and made a further application on 9 June 2016 on the basis of retained rights of residence following his divorce</w:t>
      </w:r>
      <w:r w:rsidR="00023DD5">
        <w:rPr>
          <w:rFonts w:eastAsia="Times New Roman" w:cs="Arial"/>
          <w:szCs w:val="24"/>
          <w:lang w:eastAsia="en-GB"/>
        </w:rPr>
        <w:t xml:space="preserve"> on 9 January 2015</w:t>
      </w:r>
      <w:r>
        <w:rPr>
          <w:rFonts w:eastAsia="Times New Roman" w:cs="Arial"/>
          <w:szCs w:val="24"/>
          <w:lang w:eastAsia="en-GB"/>
        </w:rPr>
        <w:t xml:space="preserve">; the refusal of that application gives rise to these proceedings. </w:t>
      </w:r>
      <w:r w:rsidR="00023DD5">
        <w:rPr>
          <w:rFonts w:eastAsia="Times New Roman" w:cs="Arial"/>
          <w:szCs w:val="24"/>
          <w:lang w:eastAsia="en-GB"/>
        </w:rPr>
        <w:t xml:space="preserve">It would appear that a further application was made on 19 October 2017 but had been refused on 22 January 2018 because the appellant had not enrolled his biometric date.  The appellant maintained this was because the respondent had sent correspondence to his representatives at the wrong address. </w:t>
      </w:r>
      <w:r w:rsidR="00CF138B">
        <w:rPr>
          <w:rFonts w:eastAsia="Times New Roman" w:cs="Arial"/>
          <w:szCs w:val="24"/>
          <w:lang w:eastAsia="en-GB"/>
        </w:rPr>
        <w:t>According to the skeleton argument prepared for the First-tier Tribunal hearing, that application has been re-submitted. I am not told whether a decision has been made.</w:t>
      </w:r>
    </w:p>
    <w:p w14:paraId="32DF560C" w14:textId="77777777" w:rsidR="00023DD5" w:rsidRDefault="00023DD5"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The respondent was not satisfied that any official documentary evidence had been provided to show that the appellant’s spouse had been exercising treaty rights up to the point of divorce. </w:t>
      </w:r>
    </w:p>
    <w:p w14:paraId="18BE1765" w14:textId="77777777" w:rsidR="0024156E" w:rsidRDefault="0024156E"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Judge Pacey </w:t>
      </w:r>
      <w:r w:rsidR="00023DD5">
        <w:rPr>
          <w:rFonts w:eastAsia="Times New Roman" w:cs="Arial"/>
          <w:szCs w:val="24"/>
          <w:lang w:eastAsia="en-GB"/>
        </w:rPr>
        <w:t xml:space="preserve">considered the evidence but whilst accepting that the appellant had had a right of residence prior to the divorce, </w:t>
      </w:r>
      <w:r>
        <w:rPr>
          <w:rFonts w:eastAsia="Times New Roman" w:cs="Arial"/>
          <w:szCs w:val="24"/>
          <w:lang w:eastAsia="en-GB"/>
        </w:rPr>
        <w:t xml:space="preserve">was not satisfied that </w:t>
      </w:r>
      <w:r w:rsidR="00023DD5">
        <w:rPr>
          <w:rFonts w:eastAsia="Times New Roman" w:cs="Arial"/>
          <w:szCs w:val="24"/>
          <w:lang w:eastAsia="en-GB"/>
        </w:rPr>
        <w:t xml:space="preserve">he had retained it. </w:t>
      </w:r>
      <w:r>
        <w:rPr>
          <w:rFonts w:eastAsia="Times New Roman" w:cs="Arial"/>
          <w:szCs w:val="24"/>
          <w:lang w:eastAsia="en-GB"/>
        </w:rPr>
        <w:t xml:space="preserve"> </w:t>
      </w:r>
      <w:r w:rsidR="00023DD5">
        <w:rPr>
          <w:rFonts w:eastAsia="Times New Roman" w:cs="Arial"/>
          <w:szCs w:val="24"/>
          <w:lang w:eastAsia="en-GB"/>
        </w:rPr>
        <w:t>Accordingly, she</w:t>
      </w:r>
      <w:r>
        <w:rPr>
          <w:rFonts w:eastAsia="Times New Roman" w:cs="Arial"/>
          <w:szCs w:val="24"/>
          <w:lang w:eastAsia="en-GB"/>
        </w:rPr>
        <w:t xml:space="preserve"> dismissed the appeal. </w:t>
      </w:r>
    </w:p>
    <w:p w14:paraId="02DE93EB" w14:textId="77777777" w:rsidR="0056510D" w:rsidRDefault="00023DD5"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The appellant sought permission to appeal. He argued that the respondent had acted perversely a</w:t>
      </w:r>
      <w:r w:rsidR="00CE4EA3">
        <w:rPr>
          <w:rFonts w:eastAsia="Times New Roman" w:cs="Arial"/>
          <w:szCs w:val="24"/>
          <w:lang w:eastAsia="en-GB"/>
        </w:rPr>
        <w:t>n</w:t>
      </w:r>
      <w:r>
        <w:rPr>
          <w:rFonts w:eastAsia="Times New Roman" w:cs="Arial"/>
          <w:szCs w:val="24"/>
          <w:lang w:eastAsia="en-GB"/>
        </w:rPr>
        <w:t xml:space="preserve">d had failed to follow her own policy in failing to acknowledge that where marriages had broken down, an appellant may find it difficult to obtain the required evidence. It is argued that the respondent’s guidance gave her the option of making enquiries with HMRC where such evidence had not been provided.  </w:t>
      </w:r>
    </w:p>
    <w:p w14:paraId="589403C4" w14:textId="77777777" w:rsidR="0056510D" w:rsidRDefault="0024156E"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Permission to appeal was granted by First-tier Tribunal Judge </w:t>
      </w:r>
      <w:r w:rsidR="0056510D">
        <w:rPr>
          <w:rFonts w:eastAsia="Times New Roman" w:cs="Arial"/>
          <w:szCs w:val="24"/>
          <w:lang w:eastAsia="en-GB"/>
        </w:rPr>
        <w:t>Nightingale</w:t>
      </w:r>
      <w:r>
        <w:rPr>
          <w:rFonts w:eastAsia="Times New Roman" w:cs="Arial"/>
          <w:szCs w:val="24"/>
          <w:lang w:eastAsia="en-GB"/>
        </w:rPr>
        <w:t xml:space="preserve"> on </w:t>
      </w:r>
      <w:r w:rsidR="0056510D">
        <w:rPr>
          <w:rFonts w:eastAsia="Times New Roman" w:cs="Arial"/>
          <w:szCs w:val="24"/>
          <w:lang w:eastAsia="en-GB"/>
        </w:rPr>
        <w:t>10 July 2018</w:t>
      </w:r>
      <w:r>
        <w:rPr>
          <w:rFonts w:eastAsia="Times New Roman" w:cs="Arial"/>
          <w:szCs w:val="24"/>
          <w:lang w:eastAsia="en-GB"/>
        </w:rPr>
        <w:t xml:space="preserve"> on the basis that the judge arguably </w:t>
      </w:r>
      <w:r w:rsidR="0056510D">
        <w:rPr>
          <w:rFonts w:eastAsia="Times New Roman" w:cs="Arial"/>
          <w:szCs w:val="24"/>
          <w:lang w:eastAsia="en-GB"/>
        </w:rPr>
        <w:t xml:space="preserve">fell into error in deciding that an Amos direction was not applicable. More importantly, although this was not raised by the appellant at all, it was considered that the judge wrongly considered the position as at the date of the divorce rather than the date of the commencement of divorce proceedings. </w:t>
      </w:r>
    </w:p>
    <w:p w14:paraId="4C2634BB" w14:textId="77777777" w:rsidR="0056510D" w:rsidRDefault="0056510D"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I have not had sight of a Rule 24 response from the Secretary of State.</w:t>
      </w:r>
    </w:p>
    <w:p w14:paraId="5391BF56" w14:textId="77777777" w:rsidR="0024156E" w:rsidRDefault="0024156E"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The matter then came before me</w:t>
      </w:r>
      <w:r w:rsidR="0056510D">
        <w:rPr>
          <w:rFonts w:eastAsia="Times New Roman" w:cs="Arial"/>
          <w:szCs w:val="24"/>
          <w:lang w:eastAsia="en-GB"/>
        </w:rPr>
        <w:t xml:space="preserve"> on 6 September 2018</w:t>
      </w:r>
      <w:r>
        <w:rPr>
          <w:rFonts w:eastAsia="Times New Roman" w:cs="Arial"/>
          <w:szCs w:val="24"/>
          <w:lang w:eastAsia="en-GB"/>
        </w:rPr>
        <w:t xml:space="preserve">. </w:t>
      </w:r>
    </w:p>
    <w:p w14:paraId="7D5F9D81" w14:textId="77777777" w:rsidR="0024156E" w:rsidRPr="00713349" w:rsidRDefault="0024156E" w:rsidP="00093BC2">
      <w:pPr>
        <w:numPr>
          <w:ilvl w:val="0"/>
          <w:numId w:val="1"/>
        </w:numPr>
        <w:tabs>
          <w:tab w:val="left" w:pos="567"/>
        </w:tabs>
        <w:spacing w:before="240" w:after="0" w:line="240" w:lineRule="auto"/>
        <w:ind w:left="1134" w:hanging="567"/>
        <w:jc w:val="both"/>
        <w:rPr>
          <w:rFonts w:eastAsia="Times New Roman" w:cs="Arial"/>
          <w:b/>
          <w:szCs w:val="24"/>
          <w:lang w:eastAsia="en-GB"/>
        </w:rPr>
      </w:pPr>
      <w:r w:rsidRPr="00713349">
        <w:rPr>
          <w:rFonts w:eastAsia="Times New Roman" w:cs="Arial"/>
          <w:b/>
          <w:szCs w:val="24"/>
          <w:lang w:eastAsia="en-GB"/>
        </w:rPr>
        <w:t xml:space="preserve">The Hearing </w:t>
      </w:r>
    </w:p>
    <w:p w14:paraId="6D3C3A5A" w14:textId="77777777" w:rsidR="0024156E" w:rsidRDefault="0024156E"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The appellant attended the hearing. </w:t>
      </w:r>
    </w:p>
    <w:p w14:paraId="5ED6F2D3" w14:textId="77777777" w:rsidR="0024156E" w:rsidRDefault="007832AB"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For the appellant, </w:t>
      </w:r>
      <w:r w:rsidR="0024156E">
        <w:rPr>
          <w:rFonts w:eastAsia="Times New Roman" w:cs="Arial"/>
          <w:szCs w:val="24"/>
          <w:lang w:eastAsia="en-GB"/>
        </w:rPr>
        <w:t>Mr</w:t>
      </w:r>
      <w:r>
        <w:rPr>
          <w:rFonts w:eastAsia="Times New Roman" w:cs="Arial"/>
          <w:szCs w:val="24"/>
          <w:lang w:eastAsia="en-GB"/>
        </w:rPr>
        <w:t xml:space="preserve"> Tariq referred me to the evidence and submitted that the divorce proceedings commenced on 19 September 2014 and that there was correspondence from HMRC to the sponsor at that time. He submitted that the evidence established that the sponsor had been a qualified person when divorce </w:t>
      </w:r>
      <w:r>
        <w:rPr>
          <w:rFonts w:eastAsia="Times New Roman" w:cs="Arial"/>
          <w:szCs w:val="24"/>
          <w:lang w:eastAsia="en-GB"/>
        </w:rPr>
        <w:lastRenderedPageBreak/>
        <w:t xml:space="preserve">proceedings were initiated. </w:t>
      </w:r>
      <w:r w:rsidR="0024156E">
        <w:rPr>
          <w:rFonts w:eastAsia="Times New Roman" w:cs="Arial"/>
          <w:szCs w:val="24"/>
          <w:lang w:eastAsia="en-GB"/>
        </w:rPr>
        <w:t xml:space="preserve"> </w:t>
      </w:r>
      <w:r>
        <w:rPr>
          <w:rFonts w:eastAsia="Times New Roman" w:cs="Arial"/>
          <w:szCs w:val="24"/>
          <w:lang w:eastAsia="en-GB"/>
        </w:rPr>
        <w:t xml:space="preserve">Mr Tariq then turned to the respondent’s guidance and submitted that </w:t>
      </w:r>
      <w:r w:rsidR="00585DD3">
        <w:rPr>
          <w:rFonts w:eastAsia="Times New Roman" w:cs="Arial"/>
          <w:szCs w:val="24"/>
          <w:lang w:eastAsia="en-GB"/>
        </w:rPr>
        <w:t xml:space="preserve">the respondent accepted therein that there may be cases when a person would be unable to produce evidence of a sponsor’s employment. The guidance showed that in such cases a caseworker was required to make enquiries of HMRC to gather information. He also relied on the judgment of </w:t>
      </w:r>
      <w:r w:rsidR="00585DD3" w:rsidRPr="00B411BF">
        <w:rPr>
          <w:rFonts w:eastAsia="Times New Roman" w:cs="Arial"/>
          <w:szCs w:val="24"/>
          <w:u w:val="single"/>
          <w:lang w:eastAsia="en-GB"/>
        </w:rPr>
        <w:t>Amos</w:t>
      </w:r>
      <w:r w:rsidR="00585DD3">
        <w:rPr>
          <w:rFonts w:eastAsia="Times New Roman" w:cs="Arial"/>
          <w:szCs w:val="24"/>
          <w:lang w:eastAsia="en-GB"/>
        </w:rPr>
        <w:t xml:space="preserve"> </w:t>
      </w:r>
      <w:r w:rsidR="00CF138B">
        <w:rPr>
          <w:rFonts w:eastAsia="Times New Roman" w:cs="Arial"/>
          <w:szCs w:val="24"/>
          <w:lang w:eastAsia="en-GB"/>
        </w:rPr>
        <w:t xml:space="preserve">[2011] EWCA Civ 552 where the court held that the respondent should assist a claimant if requested to do so. Mr Tariq </w:t>
      </w:r>
      <w:r w:rsidR="00585DD3">
        <w:rPr>
          <w:rFonts w:eastAsia="Times New Roman" w:cs="Arial"/>
          <w:szCs w:val="24"/>
          <w:lang w:eastAsia="en-GB"/>
        </w:rPr>
        <w:t>argued</w:t>
      </w:r>
      <w:r w:rsidR="00CF138B">
        <w:rPr>
          <w:rFonts w:eastAsia="Times New Roman" w:cs="Arial"/>
          <w:szCs w:val="24"/>
          <w:lang w:eastAsia="en-GB"/>
        </w:rPr>
        <w:t>, however,</w:t>
      </w:r>
      <w:r w:rsidR="00585DD3">
        <w:rPr>
          <w:rFonts w:eastAsia="Times New Roman" w:cs="Arial"/>
          <w:szCs w:val="24"/>
          <w:lang w:eastAsia="en-GB"/>
        </w:rPr>
        <w:t xml:space="preserve"> that it was not necessary for a </w:t>
      </w:r>
      <w:r w:rsidR="00CF138B">
        <w:rPr>
          <w:rFonts w:eastAsia="Times New Roman" w:cs="Arial"/>
          <w:szCs w:val="24"/>
          <w:lang w:eastAsia="en-GB"/>
        </w:rPr>
        <w:t xml:space="preserve">claimant </w:t>
      </w:r>
      <w:r w:rsidR="00585DD3">
        <w:rPr>
          <w:rFonts w:eastAsia="Times New Roman" w:cs="Arial"/>
          <w:szCs w:val="24"/>
          <w:lang w:eastAsia="en-GB"/>
        </w:rPr>
        <w:t>to request directions under Rule 45 from a court as the respondent was already under a duty to obtain information. He submitted that the decision should be set aside, re-made and the appeal should be allowed.</w:t>
      </w:r>
    </w:p>
    <w:p w14:paraId="4E67B530" w14:textId="77777777" w:rsidR="0024156E" w:rsidRDefault="00585DD3"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In response, Mr Whitwell </w:t>
      </w:r>
      <w:r w:rsidR="006F700A">
        <w:rPr>
          <w:rFonts w:eastAsia="Times New Roman" w:cs="Arial"/>
          <w:szCs w:val="24"/>
          <w:lang w:eastAsia="en-GB"/>
        </w:rPr>
        <w:t xml:space="preserve">submitted that the appellant had already submitted some evidence in respect of the sponsor’s employment and so there had been no reason for the respondent to make his own enquiries of HMRC as there was no reason why he should have taken the view that the appellant was unable to obtain evidence himself. He argued that the policy did not suggest that the respondent was under a duty to obtain evidence in all cases and it did not go as far as the appellant suggested. He submitted that no submissions had been made on why the judge is said to have erred in respect of her conclusions on the evidence.  </w:t>
      </w:r>
    </w:p>
    <w:p w14:paraId="1790C023" w14:textId="77777777" w:rsidR="0024156E" w:rsidRDefault="0024156E"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Mr </w:t>
      </w:r>
      <w:r w:rsidR="006F700A">
        <w:rPr>
          <w:rFonts w:eastAsia="Times New Roman" w:cs="Arial"/>
          <w:szCs w:val="24"/>
          <w:lang w:eastAsia="en-GB"/>
        </w:rPr>
        <w:t xml:space="preserve">Tariq submitted that the judge had focused on the date of the divorce and had not considered the other evidence. Her findings were therefore flawed. </w:t>
      </w:r>
      <w:r w:rsidR="00574642">
        <w:rPr>
          <w:rFonts w:eastAsia="Times New Roman" w:cs="Arial"/>
          <w:szCs w:val="24"/>
          <w:lang w:eastAsia="en-GB"/>
        </w:rPr>
        <w:t xml:space="preserve">The appellant had been working and this was accepted so Mr Tariq questioned why he would suddenly stop. He submitted that a pragmatic approach should be taken. The appellant had asked the respondent to contact HMRC and the respondent should have inferred from that request that there had been a problem in obtaining evidence. </w:t>
      </w:r>
    </w:p>
    <w:p w14:paraId="3C55AC28" w14:textId="77777777" w:rsidR="0024156E" w:rsidRDefault="0024156E"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At the conclusion of the hearing I reserved my determination which I now give with reasons. </w:t>
      </w:r>
    </w:p>
    <w:p w14:paraId="322C3C33" w14:textId="77777777" w:rsidR="0024156E" w:rsidRDefault="0024156E" w:rsidP="00093BC2">
      <w:pPr>
        <w:numPr>
          <w:ilvl w:val="0"/>
          <w:numId w:val="1"/>
        </w:numPr>
        <w:tabs>
          <w:tab w:val="left" w:pos="567"/>
        </w:tabs>
        <w:spacing w:before="240" w:after="0" w:line="240" w:lineRule="auto"/>
        <w:ind w:left="1134" w:hanging="567"/>
        <w:jc w:val="both"/>
        <w:rPr>
          <w:rFonts w:eastAsia="Times New Roman" w:cs="Arial"/>
          <w:b/>
          <w:szCs w:val="24"/>
          <w:lang w:eastAsia="en-GB"/>
        </w:rPr>
      </w:pPr>
      <w:r>
        <w:rPr>
          <w:rFonts w:eastAsia="Times New Roman" w:cs="Arial"/>
          <w:b/>
          <w:szCs w:val="24"/>
          <w:lang w:eastAsia="en-GB"/>
        </w:rPr>
        <w:t xml:space="preserve">Findings and </w:t>
      </w:r>
      <w:r w:rsidRPr="002B355E">
        <w:rPr>
          <w:rFonts w:eastAsia="Times New Roman" w:cs="Arial"/>
          <w:b/>
          <w:szCs w:val="24"/>
          <w:lang w:eastAsia="en-GB"/>
        </w:rPr>
        <w:t>Conclusions</w:t>
      </w:r>
    </w:p>
    <w:p w14:paraId="4BB55BED" w14:textId="77777777" w:rsidR="00574642" w:rsidRDefault="00574642"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Reg. 10 (5) states:</w:t>
      </w:r>
    </w:p>
    <w:p w14:paraId="644C430C" w14:textId="63400295" w:rsidR="00574642" w:rsidRPr="00574642" w:rsidRDefault="00574642" w:rsidP="00093BC2">
      <w:pPr>
        <w:pStyle w:val="ListParagraph"/>
        <w:shd w:val="clear" w:color="auto" w:fill="FFFFFF"/>
        <w:spacing w:before="120" w:after="0" w:line="240" w:lineRule="auto"/>
        <w:ind w:left="1701"/>
        <w:contextualSpacing w:val="0"/>
        <w:jc w:val="both"/>
        <w:rPr>
          <w:rFonts w:eastAsia="Times New Roman" w:cs="Arial"/>
          <w:i/>
          <w:color w:val="494949"/>
          <w:szCs w:val="24"/>
          <w:lang w:eastAsia="en-GB"/>
        </w:rPr>
      </w:pPr>
      <w:r>
        <w:rPr>
          <w:rFonts w:eastAsia="Times New Roman" w:cs="Arial"/>
          <w:i/>
          <w:color w:val="494949"/>
          <w:szCs w:val="24"/>
          <w:lang w:eastAsia="en-GB"/>
        </w:rPr>
        <w:t>“</w:t>
      </w:r>
      <w:r w:rsidRPr="00574642">
        <w:rPr>
          <w:rFonts w:eastAsia="Times New Roman" w:cs="Arial"/>
          <w:i/>
          <w:color w:val="494949"/>
          <w:szCs w:val="24"/>
          <w:lang w:eastAsia="en-GB"/>
        </w:rPr>
        <w:t>The condition in this paragraph is that the person (“A”)—</w:t>
      </w:r>
    </w:p>
    <w:p w14:paraId="5CB50FC7" w14:textId="3FC9FD14" w:rsidR="00574642" w:rsidRPr="00574642" w:rsidRDefault="00574642" w:rsidP="00093BC2">
      <w:pPr>
        <w:pStyle w:val="ListParagraph"/>
        <w:shd w:val="clear" w:color="auto" w:fill="FFFFFF"/>
        <w:tabs>
          <w:tab w:val="left" w:pos="2268"/>
        </w:tabs>
        <w:spacing w:before="120" w:after="0" w:line="240" w:lineRule="auto"/>
        <w:ind w:left="1701"/>
        <w:contextualSpacing w:val="0"/>
        <w:jc w:val="both"/>
        <w:rPr>
          <w:rFonts w:eastAsia="Times New Roman" w:cs="Arial"/>
          <w:i/>
          <w:color w:val="494949"/>
          <w:szCs w:val="24"/>
          <w:lang w:eastAsia="en-GB"/>
        </w:rPr>
      </w:pPr>
      <w:r w:rsidRPr="00574642">
        <w:rPr>
          <w:rFonts w:eastAsia="Times New Roman" w:cs="Arial"/>
          <w:i/>
          <w:color w:val="494949"/>
          <w:szCs w:val="24"/>
          <w:lang w:eastAsia="en-GB"/>
        </w:rPr>
        <w:t>(a)</w:t>
      </w:r>
      <w:r w:rsidR="00093BC2">
        <w:rPr>
          <w:rFonts w:eastAsia="Times New Roman" w:cs="Arial"/>
          <w:i/>
          <w:color w:val="494949"/>
          <w:szCs w:val="24"/>
          <w:lang w:eastAsia="en-GB"/>
        </w:rPr>
        <w:tab/>
      </w:r>
      <w:r w:rsidRPr="00574642">
        <w:rPr>
          <w:rFonts w:eastAsia="Times New Roman" w:cs="Arial"/>
          <w:i/>
          <w:color w:val="494949"/>
          <w:szCs w:val="24"/>
          <w:lang w:eastAsia="en-GB"/>
        </w:rPr>
        <w:t xml:space="preserve">ceased to be a family member of a qualified person or an EEA national with a right of permanent residence </w:t>
      </w:r>
      <w:r w:rsidRPr="00574642">
        <w:rPr>
          <w:rFonts w:eastAsia="Times New Roman" w:cs="Arial"/>
          <w:b/>
          <w:i/>
          <w:color w:val="494949"/>
          <w:szCs w:val="24"/>
          <w:u w:val="single"/>
          <w:lang w:eastAsia="en-GB"/>
        </w:rPr>
        <w:t>on the termination of the marriage</w:t>
      </w:r>
      <w:r w:rsidRPr="00574642">
        <w:rPr>
          <w:rFonts w:eastAsia="Times New Roman" w:cs="Arial"/>
          <w:i/>
          <w:color w:val="494949"/>
          <w:szCs w:val="24"/>
          <w:lang w:eastAsia="en-GB"/>
        </w:rPr>
        <w:t xml:space="preserve"> or civil partnership of A;</w:t>
      </w:r>
    </w:p>
    <w:p w14:paraId="292B3F21" w14:textId="09A3FA98" w:rsidR="00574642" w:rsidRPr="00574642" w:rsidRDefault="00574642" w:rsidP="00093BC2">
      <w:pPr>
        <w:pStyle w:val="ListParagraph"/>
        <w:shd w:val="clear" w:color="auto" w:fill="FFFFFF"/>
        <w:tabs>
          <w:tab w:val="left" w:pos="2268"/>
        </w:tabs>
        <w:spacing w:before="120" w:after="0" w:line="240" w:lineRule="auto"/>
        <w:ind w:left="1701"/>
        <w:contextualSpacing w:val="0"/>
        <w:jc w:val="both"/>
        <w:rPr>
          <w:rFonts w:eastAsia="Times New Roman" w:cs="Arial"/>
          <w:i/>
          <w:color w:val="494949"/>
          <w:szCs w:val="24"/>
          <w:lang w:eastAsia="en-GB"/>
        </w:rPr>
      </w:pPr>
      <w:r w:rsidRPr="00574642">
        <w:rPr>
          <w:rFonts w:eastAsia="Times New Roman" w:cs="Arial"/>
          <w:i/>
          <w:color w:val="494949"/>
          <w:szCs w:val="24"/>
          <w:lang w:eastAsia="en-GB"/>
        </w:rPr>
        <w:t>(b)</w:t>
      </w:r>
      <w:r w:rsidR="00093BC2">
        <w:rPr>
          <w:rFonts w:eastAsia="Times New Roman" w:cs="Arial"/>
          <w:i/>
          <w:color w:val="494949"/>
          <w:szCs w:val="24"/>
          <w:lang w:eastAsia="en-GB"/>
        </w:rPr>
        <w:tab/>
      </w:r>
      <w:r w:rsidRPr="00574642">
        <w:rPr>
          <w:rFonts w:eastAsia="Times New Roman" w:cs="Arial"/>
          <w:b/>
          <w:i/>
          <w:color w:val="494949"/>
          <w:szCs w:val="24"/>
          <w:u w:val="single"/>
          <w:lang w:eastAsia="en-GB"/>
        </w:rPr>
        <w:t>was residing in the United Kingdom in accordance with these Regulations at the date of the termination</w:t>
      </w:r>
      <w:r w:rsidRPr="00574642">
        <w:rPr>
          <w:rFonts w:eastAsia="Times New Roman" w:cs="Arial"/>
          <w:i/>
          <w:color w:val="494949"/>
          <w:szCs w:val="24"/>
          <w:lang w:eastAsia="en-GB"/>
        </w:rPr>
        <w:t>;</w:t>
      </w:r>
    </w:p>
    <w:p w14:paraId="7B2195CC" w14:textId="45D6953A" w:rsidR="00574642" w:rsidRPr="00574642" w:rsidRDefault="00574642" w:rsidP="00093BC2">
      <w:pPr>
        <w:pStyle w:val="ListParagraph"/>
        <w:shd w:val="clear" w:color="auto" w:fill="FFFFFF"/>
        <w:tabs>
          <w:tab w:val="left" w:pos="2268"/>
        </w:tabs>
        <w:spacing w:before="120" w:after="0" w:line="240" w:lineRule="auto"/>
        <w:ind w:left="1701"/>
        <w:contextualSpacing w:val="0"/>
        <w:jc w:val="both"/>
        <w:rPr>
          <w:rFonts w:eastAsia="Times New Roman" w:cs="Arial"/>
          <w:i/>
          <w:color w:val="494949"/>
          <w:szCs w:val="24"/>
          <w:lang w:eastAsia="en-GB"/>
        </w:rPr>
      </w:pPr>
      <w:r w:rsidRPr="00574642">
        <w:rPr>
          <w:rFonts w:eastAsia="Times New Roman" w:cs="Arial"/>
          <w:i/>
          <w:color w:val="494949"/>
          <w:szCs w:val="24"/>
          <w:lang w:eastAsia="en-GB"/>
        </w:rPr>
        <w:t>(c)</w:t>
      </w:r>
      <w:r w:rsidR="00093BC2">
        <w:rPr>
          <w:rFonts w:eastAsia="Times New Roman" w:cs="Arial"/>
          <w:i/>
          <w:color w:val="494949"/>
          <w:szCs w:val="24"/>
          <w:lang w:eastAsia="en-GB"/>
        </w:rPr>
        <w:tab/>
      </w:r>
      <w:r w:rsidRPr="00574642">
        <w:rPr>
          <w:rFonts w:eastAsia="Times New Roman" w:cs="Arial"/>
          <w:i/>
          <w:color w:val="494949"/>
          <w:szCs w:val="24"/>
          <w:lang w:eastAsia="en-GB"/>
        </w:rPr>
        <w:t>satisfies the condition in paragraph (6); and</w:t>
      </w:r>
    </w:p>
    <w:p w14:paraId="527CB7E2" w14:textId="4F29D20A" w:rsidR="00574642" w:rsidRPr="00574642" w:rsidRDefault="00574642" w:rsidP="00093BC2">
      <w:pPr>
        <w:pStyle w:val="ListParagraph"/>
        <w:shd w:val="clear" w:color="auto" w:fill="FFFFFF"/>
        <w:tabs>
          <w:tab w:val="left" w:pos="2268"/>
        </w:tabs>
        <w:spacing w:before="120" w:after="0" w:line="240" w:lineRule="auto"/>
        <w:ind w:left="1701"/>
        <w:contextualSpacing w:val="0"/>
        <w:jc w:val="both"/>
        <w:rPr>
          <w:rFonts w:eastAsia="Times New Roman" w:cs="Arial"/>
          <w:i/>
          <w:color w:val="494949"/>
          <w:szCs w:val="24"/>
          <w:lang w:eastAsia="en-GB"/>
        </w:rPr>
      </w:pPr>
      <w:r w:rsidRPr="00574642">
        <w:rPr>
          <w:rFonts w:eastAsia="Times New Roman" w:cs="Arial"/>
          <w:i/>
          <w:color w:val="494949"/>
          <w:szCs w:val="24"/>
          <w:lang w:eastAsia="en-GB"/>
        </w:rPr>
        <w:t>(d)</w:t>
      </w:r>
      <w:r w:rsidR="00093BC2">
        <w:rPr>
          <w:rFonts w:eastAsia="Times New Roman" w:cs="Arial"/>
          <w:i/>
          <w:color w:val="494949"/>
          <w:szCs w:val="24"/>
          <w:lang w:eastAsia="en-GB"/>
        </w:rPr>
        <w:tab/>
      </w:r>
      <w:r w:rsidRPr="00574642">
        <w:rPr>
          <w:rFonts w:eastAsia="Times New Roman" w:cs="Arial"/>
          <w:i/>
          <w:color w:val="494949"/>
          <w:szCs w:val="24"/>
          <w:lang w:eastAsia="en-GB"/>
        </w:rPr>
        <w:t>either—</w:t>
      </w:r>
    </w:p>
    <w:p w14:paraId="15A72DD9" w14:textId="688FE22B" w:rsidR="00574642" w:rsidRPr="00574642" w:rsidRDefault="00574642" w:rsidP="00093BC2">
      <w:pPr>
        <w:pStyle w:val="ListParagraph"/>
        <w:shd w:val="clear" w:color="auto" w:fill="FFFFFF"/>
        <w:tabs>
          <w:tab w:val="left" w:pos="2835"/>
        </w:tabs>
        <w:spacing w:before="120" w:after="0" w:line="240" w:lineRule="auto"/>
        <w:ind w:left="2268"/>
        <w:contextualSpacing w:val="0"/>
        <w:jc w:val="both"/>
        <w:rPr>
          <w:rFonts w:eastAsia="Times New Roman" w:cs="Arial"/>
          <w:i/>
          <w:color w:val="494949"/>
          <w:szCs w:val="24"/>
          <w:lang w:eastAsia="en-GB"/>
        </w:rPr>
      </w:pPr>
      <w:r w:rsidRPr="00574642">
        <w:rPr>
          <w:rFonts w:eastAsia="Times New Roman" w:cs="Arial"/>
          <w:i/>
          <w:color w:val="494949"/>
          <w:szCs w:val="24"/>
          <w:lang w:eastAsia="en-GB"/>
        </w:rPr>
        <w:lastRenderedPageBreak/>
        <w:t>(</w:t>
      </w:r>
      <w:proofErr w:type="spellStart"/>
      <w:r w:rsidRPr="00574642">
        <w:rPr>
          <w:rFonts w:eastAsia="Times New Roman" w:cs="Arial"/>
          <w:i/>
          <w:color w:val="494949"/>
          <w:szCs w:val="24"/>
          <w:lang w:eastAsia="en-GB"/>
        </w:rPr>
        <w:t>i</w:t>
      </w:r>
      <w:proofErr w:type="spellEnd"/>
      <w:r w:rsidRPr="00574642">
        <w:rPr>
          <w:rFonts w:eastAsia="Times New Roman" w:cs="Arial"/>
          <w:i/>
          <w:color w:val="494949"/>
          <w:szCs w:val="24"/>
          <w:lang w:eastAsia="en-GB"/>
        </w:rPr>
        <w:t>)</w:t>
      </w:r>
      <w:r w:rsidR="00093BC2">
        <w:rPr>
          <w:rFonts w:eastAsia="Times New Roman" w:cs="Arial"/>
          <w:i/>
          <w:color w:val="494949"/>
          <w:szCs w:val="24"/>
          <w:lang w:eastAsia="en-GB"/>
        </w:rPr>
        <w:tab/>
      </w:r>
      <w:r w:rsidRPr="00574642">
        <w:rPr>
          <w:rFonts w:eastAsia="Times New Roman" w:cs="Arial"/>
          <w:b/>
          <w:i/>
          <w:color w:val="494949"/>
          <w:szCs w:val="24"/>
          <w:u w:val="single"/>
          <w:lang w:eastAsia="en-GB"/>
        </w:rPr>
        <w:t>prior to the initiation of the proceedings for the termination of the marriage</w:t>
      </w:r>
      <w:r w:rsidRPr="00574642">
        <w:rPr>
          <w:rFonts w:eastAsia="Times New Roman" w:cs="Arial"/>
          <w:i/>
          <w:color w:val="494949"/>
          <w:szCs w:val="24"/>
          <w:lang w:eastAsia="en-GB"/>
        </w:rPr>
        <w:t xml:space="preserve"> or the civil partnership, the marriage or civil partnership had lasted for at least three years and the parties to the marriage or civil partnership had resided in the United Kingdom for at least one year during its duration;</w:t>
      </w:r>
      <w:r w:rsidR="00093BC2">
        <w:rPr>
          <w:rFonts w:eastAsia="Times New Roman" w:cs="Arial"/>
          <w:i/>
          <w:color w:val="494949"/>
          <w:szCs w:val="24"/>
          <w:lang w:eastAsia="en-GB"/>
        </w:rPr>
        <w:t xml:space="preserve"> </w:t>
      </w:r>
      <w:r>
        <w:rPr>
          <w:rFonts w:eastAsia="Times New Roman" w:cs="Arial"/>
          <w:i/>
          <w:color w:val="494949"/>
          <w:szCs w:val="24"/>
          <w:lang w:eastAsia="en-GB"/>
        </w:rPr>
        <w:t>…”</w:t>
      </w:r>
    </w:p>
    <w:p w14:paraId="32D25888" w14:textId="77777777" w:rsidR="00574642" w:rsidRDefault="00574642"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Reg. 6 states:</w:t>
      </w:r>
    </w:p>
    <w:p w14:paraId="4A9B3485" w14:textId="77777777" w:rsidR="00574642" w:rsidRPr="00574642" w:rsidRDefault="00574642" w:rsidP="00093BC2">
      <w:pPr>
        <w:pStyle w:val="ListParagraph"/>
        <w:shd w:val="clear" w:color="auto" w:fill="FFFFFF"/>
        <w:spacing w:before="120" w:after="0" w:line="240" w:lineRule="auto"/>
        <w:ind w:left="1701"/>
        <w:contextualSpacing w:val="0"/>
        <w:jc w:val="both"/>
        <w:rPr>
          <w:rFonts w:eastAsia="Times New Roman" w:cs="Arial"/>
          <w:i/>
          <w:color w:val="494949"/>
          <w:szCs w:val="24"/>
          <w:lang w:eastAsia="en-GB"/>
        </w:rPr>
      </w:pPr>
      <w:r>
        <w:rPr>
          <w:rFonts w:eastAsia="Times New Roman" w:cs="Arial"/>
          <w:i/>
          <w:color w:val="494949"/>
          <w:szCs w:val="24"/>
          <w:lang w:eastAsia="en-GB"/>
        </w:rPr>
        <w:t>“</w:t>
      </w:r>
      <w:r w:rsidRPr="00574642">
        <w:rPr>
          <w:rFonts w:eastAsia="Times New Roman" w:cs="Arial"/>
          <w:i/>
          <w:color w:val="494949"/>
          <w:szCs w:val="24"/>
          <w:lang w:eastAsia="en-GB"/>
        </w:rPr>
        <w:t>The condition in this paragraph is that the person—</w:t>
      </w:r>
    </w:p>
    <w:p w14:paraId="3F3AA75C" w14:textId="49F2D71A" w:rsidR="00574642" w:rsidRDefault="00574642" w:rsidP="00093BC2">
      <w:pPr>
        <w:pStyle w:val="ListParagraph"/>
        <w:tabs>
          <w:tab w:val="left" w:pos="2268"/>
        </w:tabs>
        <w:spacing w:before="120" w:after="0" w:line="240" w:lineRule="auto"/>
        <w:ind w:left="1701"/>
        <w:contextualSpacing w:val="0"/>
        <w:jc w:val="both"/>
        <w:rPr>
          <w:rFonts w:eastAsia="Times New Roman" w:cs="Arial"/>
          <w:color w:val="494949"/>
          <w:szCs w:val="24"/>
          <w:lang w:eastAsia="en-GB"/>
        </w:rPr>
      </w:pPr>
      <w:r w:rsidRPr="00574642">
        <w:rPr>
          <w:rFonts w:eastAsia="Times New Roman" w:cs="Arial"/>
          <w:i/>
          <w:color w:val="494949"/>
          <w:szCs w:val="24"/>
          <w:lang w:eastAsia="en-GB"/>
        </w:rPr>
        <w:t>(a)</w:t>
      </w:r>
      <w:r w:rsidR="00093BC2">
        <w:rPr>
          <w:rFonts w:eastAsia="Times New Roman" w:cs="Arial"/>
          <w:i/>
          <w:color w:val="494949"/>
          <w:szCs w:val="24"/>
          <w:lang w:eastAsia="en-GB"/>
        </w:rPr>
        <w:tab/>
      </w:r>
      <w:r w:rsidRPr="00574642">
        <w:rPr>
          <w:rFonts w:eastAsia="Times New Roman" w:cs="Arial"/>
          <w:i/>
          <w:color w:val="494949"/>
          <w:szCs w:val="24"/>
          <w:lang w:eastAsia="en-GB"/>
        </w:rPr>
        <w:t>is not an EEA national but would, if the person were an EEA national, be a worker, a self-employed person or a self-sufficient person under regulation 6</w:t>
      </w:r>
      <w:r w:rsidR="00B411BF">
        <w:rPr>
          <w:rFonts w:eastAsia="Times New Roman" w:cs="Arial"/>
          <w:i/>
          <w:color w:val="494949"/>
          <w:szCs w:val="24"/>
          <w:lang w:eastAsia="en-GB"/>
        </w:rPr>
        <w:t xml:space="preserve">…” </w:t>
      </w:r>
      <w:r w:rsidR="00B411BF">
        <w:rPr>
          <w:rFonts w:eastAsia="Times New Roman" w:cs="Arial"/>
          <w:color w:val="494949"/>
          <w:szCs w:val="24"/>
          <w:lang w:eastAsia="en-GB"/>
        </w:rPr>
        <w:t>(added emphasis).</w:t>
      </w:r>
    </w:p>
    <w:p w14:paraId="743CC746" w14:textId="77777777" w:rsidR="00B411BF" w:rsidRPr="00B411BF" w:rsidRDefault="00574642"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Whilst there does appear to be a lack of clarity as to whether it is the date of the termination of the marriage that should be taken into account or the commencement of the divorce proceedings, this matter </w:t>
      </w:r>
      <w:r w:rsidR="00B411BF">
        <w:rPr>
          <w:rFonts w:eastAsia="Times New Roman" w:cs="Arial"/>
          <w:szCs w:val="24"/>
          <w:lang w:eastAsia="en-GB"/>
        </w:rPr>
        <w:t>w</w:t>
      </w:r>
      <w:r>
        <w:rPr>
          <w:rFonts w:eastAsia="Times New Roman" w:cs="Arial"/>
          <w:szCs w:val="24"/>
          <w:lang w:eastAsia="en-GB"/>
        </w:rPr>
        <w:t xml:space="preserve">as clarified </w:t>
      </w:r>
      <w:r w:rsidR="00B411BF">
        <w:rPr>
          <w:rFonts w:eastAsia="Times New Roman" w:cs="Arial"/>
          <w:szCs w:val="24"/>
          <w:lang w:eastAsia="en-GB"/>
        </w:rPr>
        <w:t xml:space="preserve">by </w:t>
      </w:r>
      <w:r w:rsidR="00B411BF" w:rsidRPr="005F0C7A">
        <w:rPr>
          <w:rFonts w:eastAsia="Times New Roman"/>
          <w:color w:val="333333"/>
          <w:szCs w:val="24"/>
          <w:lang w:eastAsia="en-GB"/>
        </w:rPr>
        <w:t>the Court of Appeal</w:t>
      </w:r>
      <w:r w:rsidR="00B411BF">
        <w:rPr>
          <w:rFonts w:eastAsia="Times New Roman" w:cs="Arial"/>
          <w:szCs w:val="24"/>
          <w:lang w:eastAsia="en-GB"/>
        </w:rPr>
        <w:t xml:space="preserve"> </w:t>
      </w:r>
      <w:r>
        <w:rPr>
          <w:rFonts w:eastAsia="Times New Roman" w:cs="Arial"/>
          <w:szCs w:val="24"/>
          <w:lang w:eastAsia="en-GB"/>
        </w:rPr>
        <w:t xml:space="preserve">in </w:t>
      </w:r>
      <w:proofErr w:type="spellStart"/>
      <w:r w:rsidR="00B411BF" w:rsidRPr="005F0C7A">
        <w:rPr>
          <w:rFonts w:eastAsia="Times New Roman"/>
          <w:bCs/>
          <w:iCs/>
          <w:color w:val="333333"/>
          <w:szCs w:val="24"/>
          <w:u w:val="single"/>
          <w:lang w:eastAsia="en-GB"/>
        </w:rPr>
        <w:t>Baigazieva</w:t>
      </w:r>
      <w:proofErr w:type="spellEnd"/>
      <w:r w:rsidR="00B411BF" w:rsidRPr="005F0C7A">
        <w:rPr>
          <w:rFonts w:eastAsia="Times New Roman"/>
          <w:bCs/>
          <w:iCs/>
          <w:color w:val="333333"/>
          <w:szCs w:val="24"/>
          <w:u w:val="single"/>
          <w:lang w:eastAsia="en-GB"/>
        </w:rPr>
        <w:t xml:space="preserve"> v Secretary of State for the Home </w:t>
      </w:r>
      <w:r w:rsidR="00B411BF" w:rsidRPr="005F0C7A">
        <w:rPr>
          <w:rFonts w:eastAsia="Times New Roman"/>
          <w:bCs/>
          <w:iCs/>
          <w:szCs w:val="24"/>
          <w:u w:val="single"/>
          <w:lang w:eastAsia="en-GB"/>
        </w:rPr>
        <w:t>Department</w:t>
      </w:r>
      <w:r w:rsidR="00B411BF" w:rsidRPr="005F0C7A">
        <w:rPr>
          <w:rFonts w:eastAsia="Times New Roman"/>
          <w:bCs/>
          <w:i/>
          <w:iCs/>
          <w:szCs w:val="24"/>
          <w:lang w:eastAsia="en-GB"/>
        </w:rPr>
        <w:t> </w:t>
      </w:r>
      <w:hyperlink r:id="rId8" w:history="1">
        <w:r w:rsidR="00B411BF" w:rsidRPr="005F0C7A">
          <w:rPr>
            <w:rFonts w:eastAsia="Times New Roman"/>
            <w:bCs/>
            <w:szCs w:val="24"/>
            <w:lang w:eastAsia="en-GB"/>
          </w:rPr>
          <w:t>[2018] EWCA Civ 1088</w:t>
        </w:r>
      </w:hyperlink>
      <w:r w:rsidR="00B411BF">
        <w:rPr>
          <w:rFonts w:eastAsia="Times New Roman"/>
          <w:szCs w:val="24"/>
          <w:lang w:eastAsia="en-GB"/>
        </w:rPr>
        <w:t xml:space="preserve"> so that </w:t>
      </w:r>
      <w:r w:rsidR="00B411BF" w:rsidRPr="005F0C7A">
        <w:rPr>
          <w:rFonts w:eastAsia="Times New Roman"/>
          <w:color w:val="333333"/>
          <w:szCs w:val="24"/>
          <w:lang w:eastAsia="en-GB"/>
        </w:rPr>
        <w:t>the right to reside is only retained on the termination of the marriage, but the criteria for retention are to be considered at the time of the initiation of divorce proceedings</w:t>
      </w:r>
      <w:r w:rsidR="00B411BF">
        <w:rPr>
          <w:rFonts w:eastAsia="Times New Roman"/>
          <w:color w:val="333333"/>
          <w:szCs w:val="24"/>
          <w:lang w:eastAsia="en-GB"/>
        </w:rPr>
        <w:t xml:space="preserve">. </w:t>
      </w:r>
    </w:p>
    <w:p w14:paraId="0B491BBE" w14:textId="77777777" w:rsidR="00574642" w:rsidRPr="00B411BF" w:rsidRDefault="00B411BF"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olor w:val="333333"/>
          <w:szCs w:val="24"/>
          <w:lang w:eastAsia="en-GB"/>
        </w:rPr>
        <w:t xml:space="preserve">As pointed out by Mr Tariq, and not disputed by Mr Whitwell, the appellant’s rights of residence were recognised by the Secretary of State on 2 August 2011 when he was issued with a </w:t>
      </w:r>
      <w:proofErr w:type="gramStart"/>
      <w:r>
        <w:rPr>
          <w:rFonts w:eastAsia="Times New Roman"/>
          <w:color w:val="333333"/>
          <w:szCs w:val="24"/>
          <w:lang w:eastAsia="en-GB"/>
        </w:rPr>
        <w:t>five year</w:t>
      </w:r>
      <w:proofErr w:type="gramEnd"/>
      <w:r>
        <w:rPr>
          <w:rFonts w:eastAsia="Times New Roman"/>
          <w:color w:val="333333"/>
          <w:szCs w:val="24"/>
          <w:lang w:eastAsia="en-GB"/>
        </w:rPr>
        <w:t xml:space="preserve"> residence card. He had thus to show whether he met the criteria for retention of those rights at the date divorce proceedings were initiated; i.e. 10 September 2014. It follows that Judge Pacey erred when she found that the relevant date was that of the divorce; i.e. 9 January 2015. However, that is not the end of the matter as I must consider whether her error was material. </w:t>
      </w:r>
    </w:p>
    <w:p w14:paraId="10064E45" w14:textId="77777777" w:rsidR="00C800CC" w:rsidRDefault="00C800CC"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Before I consider the materiality of the judge’s error, I would make the following observations. </w:t>
      </w:r>
    </w:p>
    <w:p w14:paraId="4DE15685" w14:textId="77777777" w:rsidR="00B411BF" w:rsidRDefault="00C800CC"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T</w:t>
      </w:r>
      <w:r w:rsidR="00B12B76">
        <w:rPr>
          <w:rFonts w:eastAsia="Times New Roman" w:cs="Arial"/>
          <w:szCs w:val="24"/>
          <w:lang w:eastAsia="en-GB"/>
        </w:rPr>
        <w:t xml:space="preserve">here has been an attempt </w:t>
      </w:r>
      <w:r>
        <w:rPr>
          <w:rFonts w:eastAsia="Times New Roman" w:cs="Arial"/>
          <w:szCs w:val="24"/>
          <w:lang w:eastAsia="en-GB"/>
        </w:rPr>
        <w:t xml:space="preserve">by the appellant </w:t>
      </w:r>
      <w:r w:rsidR="00B12B76">
        <w:rPr>
          <w:rFonts w:eastAsia="Times New Roman" w:cs="Arial"/>
          <w:szCs w:val="24"/>
          <w:lang w:eastAsia="en-GB"/>
        </w:rPr>
        <w:t xml:space="preserve">to rely on matters in connection with </w:t>
      </w:r>
      <w:r>
        <w:rPr>
          <w:rFonts w:eastAsia="Times New Roman" w:cs="Arial"/>
          <w:szCs w:val="24"/>
          <w:lang w:eastAsia="en-GB"/>
        </w:rPr>
        <w:t>his recent</w:t>
      </w:r>
      <w:r w:rsidR="00B12B76">
        <w:rPr>
          <w:rFonts w:eastAsia="Times New Roman" w:cs="Arial"/>
          <w:szCs w:val="24"/>
          <w:lang w:eastAsia="en-GB"/>
        </w:rPr>
        <w:t xml:space="preserve"> re-made application</w:t>
      </w:r>
      <w:r>
        <w:rPr>
          <w:rFonts w:eastAsia="Times New Roman" w:cs="Arial"/>
          <w:szCs w:val="24"/>
          <w:lang w:eastAsia="en-GB"/>
        </w:rPr>
        <w:t>, which is not the subject of this appeal,</w:t>
      </w:r>
      <w:r w:rsidR="00B12B76">
        <w:rPr>
          <w:rFonts w:eastAsia="Times New Roman" w:cs="Arial"/>
          <w:szCs w:val="24"/>
          <w:lang w:eastAsia="en-GB"/>
        </w:rPr>
        <w:t xml:space="preserve"> and to argue that matters raised after the decision in the present matter should have been considered with respect to this application/appeal. Plainly the respondent could not have taken account of the appellant’s request to make enquiries of HMRC when he reached the decision which gave rise to this appeal as this was made after the decision was taken (confirmed at paragraph 11 of the skeleton argument of 9 March 2017</w:t>
      </w:r>
      <w:r w:rsidR="00A866DD">
        <w:rPr>
          <w:rFonts w:eastAsia="Times New Roman" w:cs="Arial"/>
          <w:szCs w:val="24"/>
          <w:lang w:eastAsia="en-GB"/>
        </w:rPr>
        <w:t xml:space="preserve"> and at paragraphs 6-7 of the determination</w:t>
      </w:r>
      <w:r w:rsidR="00B12B76">
        <w:rPr>
          <w:rFonts w:eastAsia="Times New Roman" w:cs="Arial"/>
          <w:szCs w:val="24"/>
          <w:lang w:eastAsia="en-GB"/>
        </w:rPr>
        <w:t xml:space="preserve">). It is difficult to see, therefore, how it can be argued that the respondent was wrong not to have taken this into account. </w:t>
      </w:r>
      <w:r w:rsidR="00220C77">
        <w:rPr>
          <w:rFonts w:eastAsia="Times New Roman" w:cs="Arial"/>
          <w:szCs w:val="24"/>
          <w:lang w:eastAsia="en-GB"/>
        </w:rPr>
        <w:t xml:space="preserve">The judge was entitled to make similar observations at paragraph 12. </w:t>
      </w:r>
      <w:r w:rsidR="00B12B76">
        <w:rPr>
          <w:rFonts w:eastAsia="Times New Roman" w:cs="Arial"/>
          <w:szCs w:val="24"/>
          <w:lang w:eastAsia="en-GB"/>
        </w:rPr>
        <w:t xml:space="preserve">No doubt it is, however, a matter that will be considered in any decision made in respect of the pending application. </w:t>
      </w:r>
    </w:p>
    <w:p w14:paraId="00079EDB" w14:textId="77777777" w:rsidR="00B12B76" w:rsidRDefault="00B12B76"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I also note that contrary to Mr Tariq’s submission that Judge Pacey had made a finding that the appellant continued to be a worker himself, no such finding was </w:t>
      </w:r>
      <w:r>
        <w:rPr>
          <w:rFonts w:eastAsia="Times New Roman" w:cs="Arial"/>
          <w:szCs w:val="24"/>
          <w:lang w:eastAsia="en-GB"/>
        </w:rPr>
        <w:lastRenderedPageBreak/>
        <w:t>made</w:t>
      </w:r>
      <w:r w:rsidR="00C800CC">
        <w:rPr>
          <w:rFonts w:eastAsia="Times New Roman" w:cs="Arial"/>
          <w:szCs w:val="24"/>
          <w:lang w:eastAsia="en-GB"/>
        </w:rPr>
        <w:t>,</w:t>
      </w:r>
      <w:r>
        <w:rPr>
          <w:rFonts w:eastAsia="Times New Roman" w:cs="Arial"/>
          <w:szCs w:val="24"/>
          <w:lang w:eastAsia="en-GB"/>
        </w:rPr>
        <w:t xml:space="preserve"> and Mr Tariq conceded that was the case when this was pointed out to him. Although he rhetorically questioned why the appellant should stop working when there had been earlier evidence of his employment,</w:t>
      </w:r>
      <w:r w:rsidR="00C800CC">
        <w:rPr>
          <w:rFonts w:eastAsia="Times New Roman" w:cs="Arial"/>
          <w:szCs w:val="24"/>
          <w:lang w:eastAsia="en-GB"/>
        </w:rPr>
        <w:t xml:space="preserve"> the answer is provided in the skeleton argument itself (at paragraph 24) when it is stated that the appellant ceased employment as he no longer had the right to work. </w:t>
      </w:r>
    </w:p>
    <w:p w14:paraId="413C095F" w14:textId="77777777" w:rsidR="008A3D09" w:rsidRDefault="00C800CC"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I also find </w:t>
      </w:r>
      <w:r w:rsidRPr="00C800CC">
        <w:rPr>
          <w:rFonts w:eastAsia="Times New Roman" w:cs="Arial"/>
          <w:szCs w:val="24"/>
          <w:u w:val="single"/>
          <w:lang w:eastAsia="en-GB"/>
        </w:rPr>
        <w:t>Amos</w:t>
      </w:r>
      <w:r>
        <w:rPr>
          <w:rFonts w:eastAsia="Times New Roman" w:cs="Arial"/>
          <w:szCs w:val="24"/>
          <w:lang w:eastAsia="en-GB"/>
        </w:rPr>
        <w:t xml:space="preserve"> to be of limited assistance in this case. It was a judgment made before the respondent’s guidance on retained rights of residence was issued and </w:t>
      </w:r>
      <w:r w:rsidR="00A270D7">
        <w:rPr>
          <w:rFonts w:eastAsia="Times New Roman" w:cs="Arial"/>
          <w:szCs w:val="24"/>
          <w:lang w:eastAsia="en-GB"/>
        </w:rPr>
        <w:t xml:space="preserve">I have not been referred to any part of it which supports the submissions now made. </w:t>
      </w:r>
      <w:r w:rsidR="008A3D09">
        <w:rPr>
          <w:rFonts w:eastAsia="Times New Roman" w:cs="Arial"/>
          <w:szCs w:val="24"/>
          <w:lang w:eastAsia="en-GB"/>
        </w:rPr>
        <w:t xml:space="preserve">At paragraph 19, the court was unable to accept the contentions of the appellants. There was some criticism of the Tribunal’s failure to investigate matters (at paragraph 33) but the court rejected the contention that the respondent was required to assist the appellants and take steps to prove that his own decision was wrong (at 34). The citation from </w:t>
      </w:r>
      <w:r w:rsidR="008A3D09" w:rsidRPr="008A3D09">
        <w:rPr>
          <w:rFonts w:eastAsia="Times New Roman" w:cs="Arial"/>
          <w:szCs w:val="24"/>
          <w:u w:val="single"/>
          <w:lang w:eastAsia="en-GB"/>
        </w:rPr>
        <w:t>Kerr</w:t>
      </w:r>
      <w:r w:rsidR="008A3D09">
        <w:rPr>
          <w:rFonts w:eastAsia="Times New Roman" w:cs="Arial"/>
          <w:szCs w:val="24"/>
          <w:lang w:eastAsia="en-GB"/>
        </w:rPr>
        <w:t xml:space="preserve"> [2004] UKHL 23 cited at paragraph 41 of </w:t>
      </w:r>
      <w:r w:rsidR="008A3D09" w:rsidRPr="008A3D09">
        <w:rPr>
          <w:rFonts w:eastAsia="Times New Roman" w:cs="Arial"/>
          <w:szCs w:val="24"/>
          <w:u w:val="single"/>
          <w:lang w:eastAsia="en-GB"/>
        </w:rPr>
        <w:t>Amos</w:t>
      </w:r>
      <w:r w:rsidR="008A3D09">
        <w:rPr>
          <w:rFonts w:eastAsia="Times New Roman" w:cs="Arial"/>
          <w:szCs w:val="24"/>
          <w:lang w:eastAsia="en-GB"/>
        </w:rPr>
        <w:t xml:space="preserve"> and relied on emphatically by Mr Tariq is rejected at paragraph 42 where the court held that it was not authority for the proposition that the Home Secretary was bound to make enquiries of other government departments for information. </w:t>
      </w:r>
      <w:r w:rsidR="000A2679">
        <w:rPr>
          <w:rFonts w:eastAsia="Times New Roman" w:cs="Arial"/>
          <w:szCs w:val="24"/>
          <w:lang w:eastAsia="en-GB"/>
        </w:rPr>
        <w:t xml:space="preserve">At best Amos provides some support for the option of an appellant making an application to the Tribunal for a witness summons under Reg. 50 requiring the EEA spouse to attend and give evidence or a direction under Rule 45 requiring the Secretary of State to provide any information necessary for the appeal. However, no formal application under either provision was made to the First-tier Tribunal Judge.  </w:t>
      </w:r>
      <w:r w:rsidR="006064AC">
        <w:rPr>
          <w:rFonts w:eastAsia="Times New Roman" w:cs="Arial"/>
          <w:szCs w:val="24"/>
          <w:lang w:eastAsia="en-GB"/>
        </w:rPr>
        <w:t xml:space="preserve">In any event, the respondent produced guidance on this issue </w:t>
      </w:r>
      <w:r w:rsidR="00A866DD">
        <w:rPr>
          <w:rFonts w:eastAsia="Times New Roman" w:cs="Arial"/>
          <w:szCs w:val="24"/>
          <w:lang w:eastAsia="en-GB"/>
        </w:rPr>
        <w:t xml:space="preserve">on 19 February 2015 </w:t>
      </w:r>
      <w:r w:rsidR="006064AC">
        <w:rPr>
          <w:rFonts w:eastAsia="Times New Roman" w:cs="Arial"/>
          <w:szCs w:val="24"/>
          <w:lang w:eastAsia="en-GB"/>
        </w:rPr>
        <w:t xml:space="preserve">which was in force when the </w:t>
      </w:r>
      <w:r w:rsidR="00A866DD">
        <w:rPr>
          <w:rFonts w:eastAsia="Times New Roman" w:cs="Arial"/>
          <w:szCs w:val="24"/>
          <w:lang w:eastAsia="en-GB"/>
        </w:rPr>
        <w:t xml:space="preserve">decision was made on the </w:t>
      </w:r>
      <w:r w:rsidR="006064AC">
        <w:rPr>
          <w:rFonts w:eastAsia="Times New Roman" w:cs="Arial"/>
          <w:szCs w:val="24"/>
          <w:lang w:eastAsia="en-GB"/>
        </w:rPr>
        <w:t>appellant</w:t>
      </w:r>
      <w:r w:rsidR="00A866DD">
        <w:rPr>
          <w:rFonts w:eastAsia="Times New Roman" w:cs="Arial"/>
          <w:szCs w:val="24"/>
          <w:lang w:eastAsia="en-GB"/>
        </w:rPr>
        <w:t>’s</w:t>
      </w:r>
      <w:r w:rsidR="006064AC">
        <w:rPr>
          <w:rFonts w:eastAsia="Times New Roman" w:cs="Arial"/>
          <w:szCs w:val="24"/>
          <w:lang w:eastAsia="en-GB"/>
        </w:rPr>
        <w:t xml:space="preserve"> application. That </w:t>
      </w:r>
      <w:r w:rsidR="00F826B8">
        <w:rPr>
          <w:rFonts w:eastAsia="Times New Roman" w:cs="Arial"/>
          <w:szCs w:val="24"/>
          <w:lang w:eastAsia="en-GB"/>
        </w:rPr>
        <w:t xml:space="preserve">may have been </w:t>
      </w:r>
      <w:r w:rsidR="006064AC">
        <w:rPr>
          <w:rFonts w:eastAsia="Times New Roman" w:cs="Arial"/>
          <w:szCs w:val="24"/>
          <w:lang w:eastAsia="en-GB"/>
        </w:rPr>
        <w:t>more helpful</w:t>
      </w:r>
      <w:r w:rsidR="00A866DD">
        <w:rPr>
          <w:rFonts w:eastAsia="Times New Roman" w:cs="Arial"/>
          <w:szCs w:val="24"/>
          <w:lang w:eastAsia="en-GB"/>
        </w:rPr>
        <w:t xml:space="preserve"> to the current issue</w:t>
      </w:r>
      <w:r w:rsidR="00F826B8">
        <w:rPr>
          <w:rFonts w:eastAsia="Times New Roman" w:cs="Arial"/>
          <w:szCs w:val="24"/>
          <w:lang w:eastAsia="en-GB"/>
        </w:rPr>
        <w:t xml:space="preserve"> but it does not appear to have been brought to the judge’s attention</w:t>
      </w:r>
      <w:r w:rsidR="006064AC">
        <w:rPr>
          <w:rFonts w:eastAsia="Times New Roman" w:cs="Arial"/>
          <w:szCs w:val="24"/>
          <w:lang w:eastAsia="en-GB"/>
        </w:rPr>
        <w:t xml:space="preserve">. </w:t>
      </w:r>
    </w:p>
    <w:p w14:paraId="37CFE1F8" w14:textId="77777777" w:rsidR="00220C77" w:rsidRDefault="00A866DD"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I now turn to whether Judge Pacey’s error of the date of consideration is material. I note that </w:t>
      </w:r>
      <w:r w:rsidR="00220C77">
        <w:rPr>
          <w:rFonts w:eastAsia="Times New Roman" w:cs="Arial"/>
          <w:szCs w:val="24"/>
          <w:lang w:eastAsia="en-GB"/>
        </w:rPr>
        <w:t xml:space="preserve">the appeal was presented to her on the basis that the appellant had established that his sponsor was a qualified person (at paragraph 8) and Mr Whitwell used that as support for his submission that the respondent had no reason to believe that evidence would not have been forthcoming. </w:t>
      </w:r>
    </w:p>
    <w:p w14:paraId="0F9EAAFA" w14:textId="77777777" w:rsidR="00220C77" w:rsidRDefault="00220C77"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sidRPr="007F2C07">
        <w:rPr>
          <w:rFonts w:eastAsia="Times New Roman" w:cs="Arial"/>
          <w:szCs w:val="24"/>
          <w:lang w:eastAsia="en-GB"/>
        </w:rPr>
        <w:t>Mr Tariq submitted that the judge restricted herself to documents at the date of the divorce. I, therefore, consider the documents she took into account a</w:t>
      </w:r>
      <w:r w:rsidR="00F826B8">
        <w:rPr>
          <w:rFonts w:eastAsia="Times New Roman" w:cs="Arial"/>
          <w:szCs w:val="24"/>
          <w:lang w:eastAsia="en-GB"/>
        </w:rPr>
        <w:t xml:space="preserve">s well as any others </w:t>
      </w:r>
      <w:r w:rsidRPr="007F2C07">
        <w:rPr>
          <w:rFonts w:eastAsia="Times New Roman" w:cs="Arial"/>
          <w:szCs w:val="24"/>
          <w:lang w:eastAsia="en-GB"/>
        </w:rPr>
        <w:t xml:space="preserve">which were included in the evidence before her. </w:t>
      </w:r>
      <w:r w:rsidR="002A1D00">
        <w:rPr>
          <w:rFonts w:eastAsia="Times New Roman" w:cs="Arial"/>
          <w:szCs w:val="24"/>
          <w:lang w:eastAsia="en-GB"/>
        </w:rPr>
        <w:t>R</w:t>
      </w:r>
      <w:r w:rsidR="00372255" w:rsidRPr="007F2C07">
        <w:rPr>
          <w:rFonts w:eastAsia="Times New Roman" w:cs="Arial"/>
          <w:szCs w:val="24"/>
          <w:lang w:eastAsia="en-GB"/>
        </w:rPr>
        <w:t xml:space="preserve">egrettably no schedule of documents has been provided to assist the Tribunal. </w:t>
      </w:r>
      <w:r w:rsidR="00F826B8">
        <w:rPr>
          <w:rFonts w:eastAsia="Times New Roman" w:cs="Arial"/>
          <w:szCs w:val="24"/>
          <w:lang w:eastAsia="en-GB"/>
        </w:rPr>
        <w:t xml:space="preserve">In such cases where there is a random array of documents covering various time periods, a schedule would be good practice. </w:t>
      </w:r>
    </w:p>
    <w:p w14:paraId="2F26A8CE" w14:textId="77777777" w:rsidR="00CE4EA3" w:rsidRDefault="00CE4EA3"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The judge refers to </w:t>
      </w:r>
      <w:r w:rsidRPr="00F826B8">
        <w:rPr>
          <w:rFonts w:eastAsia="Times New Roman" w:cs="Arial"/>
          <w:i/>
          <w:szCs w:val="24"/>
          <w:lang w:eastAsia="en-GB"/>
        </w:rPr>
        <w:t>“a number of financial documents relating to, inter alia, her pay slips</w:t>
      </w:r>
      <w:r w:rsidR="00BB7504" w:rsidRPr="00F826B8">
        <w:rPr>
          <w:rFonts w:eastAsia="Times New Roman" w:cs="Arial"/>
          <w:i/>
          <w:szCs w:val="24"/>
          <w:lang w:eastAsia="en-GB"/>
        </w:rPr>
        <w:t xml:space="preserve"> and accounts”</w:t>
      </w:r>
      <w:r w:rsidR="00BB7504">
        <w:rPr>
          <w:rFonts w:eastAsia="Times New Roman" w:cs="Arial"/>
          <w:szCs w:val="24"/>
          <w:lang w:eastAsia="en-GB"/>
        </w:rPr>
        <w:t xml:space="preserve"> (at 15)</w:t>
      </w:r>
      <w:r w:rsidR="007C5B97">
        <w:rPr>
          <w:rFonts w:eastAsia="Times New Roman" w:cs="Arial"/>
          <w:szCs w:val="24"/>
          <w:lang w:eastAsia="en-GB"/>
        </w:rPr>
        <w:t xml:space="preserve"> but </w:t>
      </w:r>
      <w:r w:rsidR="00F826B8">
        <w:rPr>
          <w:rFonts w:eastAsia="Times New Roman" w:cs="Arial"/>
          <w:szCs w:val="24"/>
          <w:lang w:eastAsia="en-GB"/>
        </w:rPr>
        <w:t>there is no further</w:t>
      </w:r>
      <w:r w:rsidR="007C5B97">
        <w:rPr>
          <w:rFonts w:eastAsia="Times New Roman" w:cs="Arial"/>
          <w:szCs w:val="24"/>
          <w:lang w:eastAsia="en-GB"/>
        </w:rPr>
        <w:t xml:space="preserve"> </w:t>
      </w:r>
      <w:r w:rsidR="00F826B8">
        <w:rPr>
          <w:rFonts w:eastAsia="Times New Roman" w:cs="Arial"/>
          <w:szCs w:val="24"/>
          <w:lang w:eastAsia="en-GB"/>
        </w:rPr>
        <w:t>discussion of these other than a brief reference to</w:t>
      </w:r>
      <w:r w:rsidR="00BB7504">
        <w:rPr>
          <w:rFonts w:eastAsia="Times New Roman" w:cs="Arial"/>
          <w:szCs w:val="24"/>
          <w:lang w:eastAsia="en-GB"/>
        </w:rPr>
        <w:t xml:space="preserve"> </w:t>
      </w:r>
      <w:r>
        <w:rPr>
          <w:rFonts w:eastAsia="Times New Roman" w:cs="Arial"/>
          <w:szCs w:val="24"/>
          <w:lang w:eastAsia="en-GB"/>
        </w:rPr>
        <w:t>P60s</w:t>
      </w:r>
      <w:r w:rsidR="00F826B8">
        <w:rPr>
          <w:rFonts w:eastAsia="Times New Roman" w:cs="Arial"/>
          <w:szCs w:val="24"/>
          <w:lang w:eastAsia="en-GB"/>
        </w:rPr>
        <w:t xml:space="preserve"> and</w:t>
      </w:r>
      <w:r>
        <w:rPr>
          <w:rFonts w:eastAsia="Times New Roman" w:cs="Arial"/>
          <w:szCs w:val="24"/>
          <w:lang w:eastAsia="en-GB"/>
        </w:rPr>
        <w:t xml:space="preserve"> letter</w:t>
      </w:r>
      <w:r w:rsidR="00BB7504">
        <w:rPr>
          <w:rFonts w:eastAsia="Times New Roman" w:cs="Arial"/>
          <w:szCs w:val="24"/>
          <w:lang w:eastAsia="en-GB"/>
        </w:rPr>
        <w:t>s</w:t>
      </w:r>
      <w:r>
        <w:rPr>
          <w:rFonts w:eastAsia="Times New Roman" w:cs="Arial"/>
          <w:szCs w:val="24"/>
          <w:lang w:eastAsia="en-GB"/>
        </w:rPr>
        <w:t xml:space="preserve"> from the sponsor’s accountant</w:t>
      </w:r>
      <w:r w:rsidR="00BB7504" w:rsidRPr="00BB7504">
        <w:rPr>
          <w:rFonts w:eastAsia="Times New Roman" w:cs="Arial"/>
          <w:szCs w:val="24"/>
          <w:lang w:eastAsia="en-GB"/>
        </w:rPr>
        <w:t xml:space="preserve"> </w:t>
      </w:r>
      <w:r w:rsidR="00BB7504">
        <w:rPr>
          <w:rFonts w:eastAsia="Times New Roman" w:cs="Arial"/>
          <w:szCs w:val="24"/>
          <w:lang w:eastAsia="en-GB"/>
        </w:rPr>
        <w:t>dated 22 October 2015 and 24 April 2017 both relating to her self-employment for the tax years 2014</w:t>
      </w:r>
      <w:r w:rsidR="00A40A56">
        <w:rPr>
          <w:rFonts w:eastAsia="Times New Roman" w:cs="Arial"/>
          <w:szCs w:val="24"/>
          <w:lang w:eastAsia="en-GB"/>
        </w:rPr>
        <w:t xml:space="preserve">-2015. </w:t>
      </w:r>
      <w:r w:rsidR="00F826B8">
        <w:rPr>
          <w:rFonts w:eastAsia="Times New Roman" w:cs="Arial"/>
          <w:szCs w:val="24"/>
          <w:lang w:eastAsia="en-GB"/>
        </w:rPr>
        <w:t>The judge</w:t>
      </w:r>
      <w:r w:rsidR="00A40A56">
        <w:rPr>
          <w:rFonts w:eastAsia="Times New Roman" w:cs="Arial"/>
          <w:szCs w:val="24"/>
          <w:lang w:eastAsia="en-GB"/>
        </w:rPr>
        <w:t xml:space="preserve"> concludes that </w:t>
      </w:r>
      <w:r w:rsidR="006E04A0">
        <w:rPr>
          <w:rFonts w:eastAsia="Times New Roman" w:cs="Arial"/>
          <w:szCs w:val="24"/>
          <w:lang w:eastAsia="en-GB"/>
        </w:rPr>
        <w:t>the post</w:t>
      </w:r>
      <w:r w:rsidR="007C5B97">
        <w:rPr>
          <w:rFonts w:eastAsia="Times New Roman" w:cs="Arial"/>
          <w:szCs w:val="24"/>
          <w:lang w:eastAsia="en-GB"/>
        </w:rPr>
        <w:t>-</w:t>
      </w:r>
      <w:r w:rsidR="006E04A0">
        <w:rPr>
          <w:rFonts w:eastAsia="Times New Roman" w:cs="Arial"/>
          <w:szCs w:val="24"/>
          <w:lang w:eastAsia="en-GB"/>
        </w:rPr>
        <w:t xml:space="preserve"> divorce letters demonstrate that, contrary to what the appellant asserts, his former spouse has co-operated with </w:t>
      </w:r>
      <w:r w:rsidR="006E04A0">
        <w:rPr>
          <w:rFonts w:eastAsia="Times New Roman" w:cs="Arial"/>
          <w:szCs w:val="24"/>
          <w:lang w:eastAsia="en-GB"/>
        </w:rPr>
        <w:lastRenderedPageBreak/>
        <w:t xml:space="preserve">him and has produced evidence. </w:t>
      </w:r>
      <w:r w:rsidR="007C5B97">
        <w:rPr>
          <w:rFonts w:eastAsia="Times New Roman" w:cs="Arial"/>
          <w:szCs w:val="24"/>
          <w:lang w:eastAsia="en-GB"/>
        </w:rPr>
        <w:t>That is a valid finding and no submissions were made to counter it but it does not preclude the judge from then going on to consider that evidence. I note that a large amount of additional documentary evidence was contained in the appellant’s appeal’s bundle. Whilst no explanation was offered as to how the appellant had been able to adduce further documentary evidence if he was no longer on speaking terms with his sponsor, the judge was obliged to consider it. Other than making the comments above, she did not proceed to analyse any of it. On that basis, therefore, I find that her error was material and a full consideration of all the evidence adduced may have led to a different outcome.  I</w:t>
      </w:r>
      <w:r w:rsidR="00F826B8">
        <w:rPr>
          <w:rFonts w:eastAsia="Times New Roman" w:cs="Arial"/>
          <w:szCs w:val="24"/>
          <w:lang w:eastAsia="en-GB"/>
        </w:rPr>
        <w:t>,</w:t>
      </w:r>
      <w:r w:rsidR="007C5B97">
        <w:rPr>
          <w:rFonts w:eastAsia="Times New Roman" w:cs="Arial"/>
          <w:szCs w:val="24"/>
          <w:lang w:eastAsia="en-GB"/>
        </w:rPr>
        <w:t xml:space="preserve"> therefore</w:t>
      </w:r>
      <w:r w:rsidR="00F826B8">
        <w:rPr>
          <w:rFonts w:eastAsia="Times New Roman" w:cs="Arial"/>
          <w:szCs w:val="24"/>
          <w:lang w:eastAsia="en-GB"/>
        </w:rPr>
        <w:t>,</w:t>
      </w:r>
      <w:r w:rsidR="007C5B97">
        <w:rPr>
          <w:rFonts w:eastAsia="Times New Roman" w:cs="Arial"/>
          <w:szCs w:val="24"/>
          <w:lang w:eastAsia="en-GB"/>
        </w:rPr>
        <w:t xml:space="preserve"> set aside her decision. </w:t>
      </w:r>
    </w:p>
    <w:p w14:paraId="5B14488D" w14:textId="77777777" w:rsidR="00BB7504" w:rsidRPr="000277A9" w:rsidRDefault="007C5B97"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sidRPr="000277A9">
        <w:rPr>
          <w:rFonts w:eastAsia="Times New Roman" w:cs="Arial"/>
          <w:szCs w:val="24"/>
          <w:lang w:eastAsia="en-GB"/>
        </w:rPr>
        <w:t xml:space="preserve">Mr Tariq asked that I re-make the decision on the basis of the available evidence. I now turn to consider it. </w:t>
      </w:r>
      <w:r w:rsidR="000277A9" w:rsidRPr="000277A9">
        <w:rPr>
          <w:rFonts w:eastAsia="Times New Roman" w:cs="Arial"/>
          <w:szCs w:val="24"/>
          <w:lang w:eastAsia="en-GB"/>
        </w:rPr>
        <w:t xml:space="preserve">The evidence consists of a letter dated December 2012 from HMRC requesting that the sponsor complete a self-assessment form. </w:t>
      </w:r>
    </w:p>
    <w:p w14:paraId="352E34F4" w14:textId="77777777" w:rsidR="00BB7504" w:rsidRDefault="000277A9"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There are HMRC statements in respect of tax paid for the year ending 2012, 2013 and 2014. There are statements showing National Insurance contributions due for April – October 2013, October 2013 - April 2014, April 2014 - August 2014.</w:t>
      </w:r>
      <w:r w:rsidR="00EB7572">
        <w:rPr>
          <w:rFonts w:eastAsia="Times New Roman" w:cs="Arial"/>
          <w:szCs w:val="24"/>
          <w:lang w:eastAsia="en-GB"/>
        </w:rPr>
        <w:t xml:space="preserve"> There are tax returns for 2011-2012, 2012-2013 and 2013 –2014.</w:t>
      </w:r>
      <w:r w:rsidR="00EB7572" w:rsidRPr="00EB7572">
        <w:rPr>
          <w:rFonts w:eastAsia="Times New Roman" w:cs="Arial"/>
          <w:szCs w:val="24"/>
          <w:lang w:eastAsia="en-GB"/>
        </w:rPr>
        <w:t xml:space="preserve"> </w:t>
      </w:r>
      <w:r w:rsidR="00EB7572">
        <w:rPr>
          <w:rFonts w:eastAsia="Times New Roman" w:cs="Arial"/>
          <w:szCs w:val="24"/>
          <w:lang w:eastAsia="en-GB"/>
        </w:rPr>
        <w:t xml:space="preserve">I also have tax calculations for 2012, 2013 and 2014. </w:t>
      </w:r>
    </w:p>
    <w:p w14:paraId="77CAC0C5" w14:textId="77777777" w:rsidR="00EB7572" w:rsidRDefault="00EB7572"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Several letters from the sponsor’s a</w:t>
      </w:r>
      <w:r w:rsidR="006C15E9">
        <w:rPr>
          <w:rFonts w:eastAsia="Times New Roman" w:cs="Arial"/>
          <w:szCs w:val="24"/>
          <w:lang w:eastAsia="en-GB"/>
        </w:rPr>
        <w:t>ccountants</w:t>
      </w:r>
      <w:r>
        <w:rPr>
          <w:rFonts w:eastAsia="Times New Roman" w:cs="Arial"/>
          <w:szCs w:val="24"/>
          <w:lang w:eastAsia="en-GB"/>
        </w:rPr>
        <w:t xml:space="preserve"> have been adduced. I have seen</w:t>
      </w:r>
      <w:r w:rsidR="006C15E9">
        <w:rPr>
          <w:rFonts w:eastAsia="Times New Roman" w:cs="Arial"/>
          <w:szCs w:val="24"/>
          <w:lang w:eastAsia="en-GB"/>
        </w:rPr>
        <w:t xml:space="preserve"> letters dated 13 March 2017</w:t>
      </w:r>
      <w:r>
        <w:rPr>
          <w:rFonts w:eastAsia="Times New Roman" w:cs="Arial"/>
          <w:szCs w:val="24"/>
          <w:lang w:eastAsia="en-GB"/>
        </w:rPr>
        <w:t xml:space="preserve"> </w:t>
      </w:r>
      <w:r w:rsidR="006C15E9">
        <w:rPr>
          <w:rFonts w:eastAsia="Times New Roman" w:cs="Arial"/>
          <w:szCs w:val="24"/>
          <w:lang w:eastAsia="en-GB"/>
        </w:rPr>
        <w:t xml:space="preserve">x 3 (for </w:t>
      </w:r>
      <w:r>
        <w:rPr>
          <w:rFonts w:eastAsia="Times New Roman" w:cs="Arial"/>
          <w:szCs w:val="24"/>
          <w:lang w:eastAsia="en-GB"/>
        </w:rPr>
        <w:t xml:space="preserve">April </w:t>
      </w:r>
      <w:r w:rsidR="006C15E9">
        <w:rPr>
          <w:rFonts w:eastAsia="Times New Roman" w:cs="Arial"/>
          <w:szCs w:val="24"/>
          <w:lang w:eastAsia="en-GB"/>
        </w:rPr>
        <w:t>2011-</w:t>
      </w:r>
      <w:r>
        <w:rPr>
          <w:rFonts w:eastAsia="Times New Roman" w:cs="Arial"/>
          <w:szCs w:val="24"/>
          <w:lang w:eastAsia="en-GB"/>
        </w:rPr>
        <w:t xml:space="preserve"> April </w:t>
      </w:r>
      <w:r w:rsidR="006C15E9">
        <w:rPr>
          <w:rFonts w:eastAsia="Times New Roman" w:cs="Arial"/>
          <w:szCs w:val="24"/>
          <w:lang w:eastAsia="en-GB"/>
        </w:rPr>
        <w:t>2012</w:t>
      </w:r>
      <w:r>
        <w:rPr>
          <w:rFonts w:eastAsia="Times New Roman" w:cs="Arial"/>
          <w:szCs w:val="24"/>
          <w:lang w:eastAsia="en-GB"/>
        </w:rPr>
        <w:t>,</w:t>
      </w:r>
      <w:r w:rsidR="006C15E9">
        <w:rPr>
          <w:rFonts w:eastAsia="Times New Roman" w:cs="Arial"/>
          <w:szCs w:val="24"/>
          <w:lang w:eastAsia="en-GB"/>
        </w:rPr>
        <w:t xml:space="preserve"> April 2012 – 2013 and April 2013</w:t>
      </w:r>
      <w:r>
        <w:rPr>
          <w:rFonts w:eastAsia="Times New Roman" w:cs="Arial"/>
          <w:szCs w:val="24"/>
          <w:lang w:eastAsia="en-GB"/>
        </w:rPr>
        <w:t xml:space="preserve"> </w:t>
      </w:r>
      <w:r w:rsidR="006C15E9">
        <w:rPr>
          <w:rFonts w:eastAsia="Times New Roman" w:cs="Arial"/>
          <w:szCs w:val="24"/>
          <w:lang w:eastAsia="en-GB"/>
        </w:rPr>
        <w:t>-</w:t>
      </w:r>
      <w:r>
        <w:rPr>
          <w:rFonts w:eastAsia="Times New Roman" w:cs="Arial"/>
          <w:szCs w:val="24"/>
          <w:lang w:eastAsia="en-GB"/>
        </w:rPr>
        <w:t xml:space="preserve"> </w:t>
      </w:r>
      <w:r w:rsidR="006C15E9">
        <w:rPr>
          <w:rFonts w:eastAsia="Times New Roman" w:cs="Arial"/>
          <w:szCs w:val="24"/>
          <w:lang w:eastAsia="en-GB"/>
        </w:rPr>
        <w:t>April 2014), 2 February 2014 x 2 (for January 2012</w:t>
      </w:r>
      <w:r>
        <w:rPr>
          <w:rFonts w:eastAsia="Times New Roman" w:cs="Arial"/>
          <w:szCs w:val="24"/>
          <w:lang w:eastAsia="en-GB"/>
        </w:rPr>
        <w:t xml:space="preserve"> </w:t>
      </w:r>
      <w:r w:rsidR="006C15E9">
        <w:rPr>
          <w:rFonts w:eastAsia="Times New Roman" w:cs="Arial"/>
          <w:szCs w:val="24"/>
          <w:lang w:eastAsia="en-GB"/>
        </w:rPr>
        <w:t>-</w:t>
      </w:r>
      <w:r>
        <w:rPr>
          <w:rFonts w:eastAsia="Times New Roman" w:cs="Arial"/>
          <w:szCs w:val="24"/>
          <w:lang w:eastAsia="en-GB"/>
        </w:rPr>
        <w:t xml:space="preserve"> </w:t>
      </w:r>
      <w:r w:rsidR="006C15E9">
        <w:rPr>
          <w:rFonts w:eastAsia="Times New Roman" w:cs="Arial"/>
          <w:szCs w:val="24"/>
          <w:lang w:eastAsia="en-GB"/>
        </w:rPr>
        <w:t>April 2012 and April 2012 – April 2013), 5 May 2014 (for April 2013 – April 2014), 24 April 2017 (for April 2014 – April 2015)</w:t>
      </w:r>
      <w:r w:rsidR="00A40A56">
        <w:rPr>
          <w:rFonts w:eastAsia="Times New Roman" w:cs="Arial"/>
          <w:szCs w:val="24"/>
          <w:lang w:eastAsia="en-GB"/>
        </w:rPr>
        <w:t xml:space="preserve">. </w:t>
      </w:r>
      <w:r>
        <w:rPr>
          <w:rFonts w:eastAsia="Times New Roman" w:cs="Arial"/>
          <w:szCs w:val="24"/>
          <w:lang w:eastAsia="en-GB"/>
        </w:rPr>
        <w:t>There are t</w:t>
      </w:r>
      <w:r w:rsidR="00A40A56">
        <w:rPr>
          <w:rFonts w:eastAsia="Times New Roman" w:cs="Arial"/>
          <w:szCs w:val="24"/>
          <w:lang w:eastAsia="en-GB"/>
        </w:rPr>
        <w:t xml:space="preserve">ax invoices for 2015 and one for 2014. </w:t>
      </w:r>
      <w:r>
        <w:rPr>
          <w:rFonts w:eastAsia="Times New Roman" w:cs="Arial"/>
          <w:szCs w:val="24"/>
          <w:lang w:eastAsia="en-GB"/>
        </w:rPr>
        <w:t>Finally, there are a</w:t>
      </w:r>
      <w:r w:rsidR="00A40A56">
        <w:rPr>
          <w:rFonts w:eastAsia="Times New Roman" w:cs="Arial"/>
          <w:szCs w:val="24"/>
          <w:lang w:eastAsia="en-GB"/>
        </w:rPr>
        <w:t>ccountants</w:t>
      </w:r>
      <w:r>
        <w:rPr>
          <w:rFonts w:eastAsia="Times New Roman" w:cs="Arial"/>
          <w:szCs w:val="24"/>
          <w:lang w:eastAsia="en-GB"/>
        </w:rPr>
        <w:t>’</w:t>
      </w:r>
      <w:r w:rsidR="00A40A56">
        <w:rPr>
          <w:rFonts w:eastAsia="Times New Roman" w:cs="Arial"/>
          <w:szCs w:val="24"/>
          <w:lang w:eastAsia="en-GB"/>
        </w:rPr>
        <w:t xml:space="preserve"> reports for year</w:t>
      </w:r>
      <w:r>
        <w:rPr>
          <w:rFonts w:eastAsia="Times New Roman" w:cs="Arial"/>
          <w:szCs w:val="24"/>
          <w:lang w:eastAsia="en-GB"/>
        </w:rPr>
        <w:t>s</w:t>
      </w:r>
      <w:r w:rsidR="00A40A56">
        <w:rPr>
          <w:rFonts w:eastAsia="Times New Roman" w:cs="Arial"/>
          <w:szCs w:val="24"/>
          <w:lang w:eastAsia="en-GB"/>
        </w:rPr>
        <w:t xml:space="preserve"> ending April 2014 and 2015</w:t>
      </w:r>
      <w:r>
        <w:rPr>
          <w:rFonts w:eastAsia="Times New Roman" w:cs="Arial"/>
          <w:szCs w:val="24"/>
          <w:lang w:eastAsia="en-GB"/>
        </w:rPr>
        <w:t xml:space="preserve">. </w:t>
      </w:r>
    </w:p>
    <w:p w14:paraId="48931992" w14:textId="77777777" w:rsidR="006C15E9" w:rsidRDefault="00EB7572"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This seems to me to be adequate evidence that the sponsor was exercising treaty rights up until the date that divorce proceedings commenced. </w:t>
      </w:r>
      <w:r w:rsidR="00F826B8">
        <w:rPr>
          <w:rFonts w:eastAsia="Times New Roman" w:cs="Arial"/>
          <w:szCs w:val="24"/>
          <w:lang w:eastAsia="en-GB"/>
        </w:rPr>
        <w:t xml:space="preserve">Specifically, as the judge herself noted (at paragraph 18), there was evidence of effective self -employment covering the relevant period as now agreed. </w:t>
      </w:r>
      <w:r>
        <w:rPr>
          <w:rFonts w:eastAsia="Times New Roman" w:cs="Arial"/>
          <w:szCs w:val="24"/>
          <w:lang w:eastAsia="en-GB"/>
        </w:rPr>
        <w:t xml:space="preserve">Mr Tariq pointed out that no issue was raised about the authenticity of any of this evidence and </w:t>
      </w:r>
      <w:r w:rsidR="00F826B8">
        <w:rPr>
          <w:rFonts w:eastAsia="Times New Roman" w:cs="Arial"/>
          <w:szCs w:val="24"/>
          <w:lang w:eastAsia="en-GB"/>
        </w:rPr>
        <w:t xml:space="preserve">so I accept it at face value. </w:t>
      </w:r>
      <w:r w:rsidR="006521CB">
        <w:rPr>
          <w:rFonts w:eastAsia="Times New Roman" w:cs="Arial"/>
          <w:szCs w:val="24"/>
          <w:lang w:eastAsia="en-GB"/>
        </w:rPr>
        <w:t xml:space="preserve">It may be completely manufactured but the respondent did not argue that, nor did he raise any issues about the genuineness of the marriage. </w:t>
      </w:r>
      <w:r w:rsidR="00F826B8">
        <w:rPr>
          <w:rFonts w:eastAsia="Times New Roman" w:cs="Arial"/>
          <w:szCs w:val="24"/>
          <w:lang w:eastAsia="en-GB"/>
        </w:rPr>
        <w:t xml:space="preserve">I have seen no evidence of the appellant’s employment but that was not raised as an issue. I am satisfied that the appellant has adduced adequate documentary evidence to show that his sponsor was a qualified person at the time the divorce proceedings commenced. It follows that in the absence of any other issue being raised, he is entitled to retain his rights of residence. </w:t>
      </w:r>
    </w:p>
    <w:p w14:paraId="59EBA174" w14:textId="77777777" w:rsidR="00F826B8" w:rsidRDefault="00F826B8"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Pr>
          <w:rFonts w:eastAsia="Times New Roman" w:cs="Arial"/>
          <w:szCs w:val="24"/>
          <w:lang w:eastAsia="en-GB"/>
        </w:rPr>
        <w:t xml:space="preserve">As I have found in the appellant’s favour on the basis of the documentary evidence, there is no need for me to consider the respondent’s guidance with regard to her role in the procurement of missing evidence. </w:t>
      </w:r>
    </w:p>
    <w:p w14:paraId="21D3DB17" w14:textId="77777777" w:rsidR="0024156E" w:rsidRPr="00B07E0B" w:rsidRDefault="0024156E" w:rsidP="00093BC2">
      <w:pPr>
        <w:numPr>
          <w:ilvl w:val="0"/>
          <w:numId w:val="1"/>
        </w:numPr>
        <w:tabs>
          <w:tab w:val="left" w:pos="567"/>
        </w:tabs>
        <w:spacing w:before="240" w:after="0" w:line="240" w:lineRule="auto"/>
        <w:ind w:left="1134" w:hanging="567"/>
        <w:jc w:val="both"/>
        <w:rPr>
          <w:rFonts w:eastAsia="Times New Roman" w:cs="Arial"/>
          <w:b/>
          <w:szCs w:val="24"/>
          <w:u w:val="single"/>
          <w:lang w:eastAsia="en-GB"/>
        </w:rPr>
      </w:pPr>
      <w:r w:rsidRPr="00B07E0B">
        <w:rPr>
          <w:rFonts w:eastAsia="Times New Roman" w:cs="Arial"/>
          <w:b/>
          <w:szCs w:val="24"/>
          <w:u w:val="single"/>
          <w:lang w:eastAsia="en-GB"/>
        </w:rPr>
        <w:t xml:space="preserve">Decision </w:t>
      </w:r>
    </w:p>
    <w:p w14:paraId="33C772F5" w14:textId="6306098C" w:rsidR="0024156E" w:rsidRDefault="0024156E" w:rsidP="00093BC2">
      <w:pPr>
        <w:numPr>
          <w:ilvl w:val="0"/>
          <w:numId w:val="1"/>
        </w:numPr>
        <w:tabs>
          <w:tab w:val="left" w:pos="567"/>
        </w:tabs>
        <w:spacing w:before="240" w:after="0" w:line="240" w:lineRule="auto"/>
        <w:ind w:left="1134" w:hanging="567"/>
        <w:jc w:val="both"/>
        <w:rPr>
          <w:rFonts w:eastAsia="Times New Roman" w:cs="Arial"/>
          <w:szCs w:val="24"/>
          <w:lang w:eastAsia="en-GB"/>
        </w:rPr>
      </w:pPr>
      <w:r w:rsidRPr="0043495E">
        <w:rPr>
          <w:rFonts w:eastAsia="Times New Roman" w:cs="Arial"/>
          <w:szCs w:val="24"/>
          <w:lang w:eastAsia="en-GB"/>
        </w:rPr>
        <w:lastRenderedPageBreak/>
        <w:t xml:space="preserve">The First-tier Tribunal made errors of law </w:t>
      </w:r>
      <w:r>
        <w:rPr>
          <w:rFonts w:eastAsia="Times New Roman" w:cs="Arial"/>
          <w:szCs w:val="24"/>
          <w:lang w:eastAsia="en-GB"/>
        </w:rPr>
        <w:t xml:space="preserve">and I set aside that decision. I re-make the decision and allow the appeal under the EEA Regulations. </w:t>
      </w:r>
    </w:p>
    <w:p w14:paraId="79A9254F" w14:textId="77777777" w:rsidR="00575FFE" w:rsidRDefault="00575FFE" w:rsidP="00575FFE">
      <w:pPr>
        <w:tabs>
          <w:tab w:val="left" w:pos="567"/>
        </w:tabs>
        <w:spacing w:before="240" w:after="0" w:line="240" w:lineRule="auto"/>
        <w:ind w:left="1134"/>
        <w:jc w:val="both"/>
        <w:rPr>
          <w:rFonts w:eastAsia="Times New Roman" w:cs="Arial"/>
          <w:szCs w:val="24"/>
          <w:lang w:eastAsia="en-GB"/>
        </w:rPr>
      </w:pPr>
    </w:p>
    <w:p w14:paraId="482C51DD" w14:textId="77777777" w:rsidR="0024156E" w:rsidRDefault="0024156E" w:rsidP="00093BC2">
      <w:pPr>
        <w:numPr>
          <w:ilvl w:val="0"/>
          <w:numId w:val="1"/>
        </w:numPr>
        <w:tabs>
          <w:tab w:val="left" w:pos="567"/>
        </w:tabs>
        <w:spacing w:before="240" w:after="0" w:line="240" w:lineRule="auto"/>
        <w:ind w:left="1134" w:hanging="567"/>
        <w:jc w:val="both"/>
        <w:rPr>
          <w:rFonts w:eastAsia="Times New Roman" w:cs="Arial"/>
          <w:b/>
          <w:szCs w:val="24"/>
          <w:u w:val="single"/>
          <w:lang w:eastAsia="en-GB"/>
        </w:rPr>
      </w:pPr>
      <w:r w:rsidRPr="00132928">
        <w:rPr>
          <w:rFonts w:eastAsia="Times New Roman" w:cs="Arial"/>
          <w:b/>
          <w:szCs w:val="24"/>
          <w:u w:val="single"/>
          <w:lang w:eastAsia="en-GB"/>
        </w:rPr>
        <w:t xml:space="preserve">Anonymity </w:t>
      </w:r>
    </w:p>
    <w:p w14:paraId="1D084700" w14:textId="77777777" w:rsidR="0024156E" w:rsidRPr="00132928" w:rsidRDefault="0024156E" w:rsidP="00093BC2">
      <w:pPr>
        <w:numPr>
          <w:ilvl w:val="0"/>
          <w:numId w:val="1"/>
        </w:numPr>
        <w:tabs>
          <w:tab w:val="left" w:pos="567"/>
        </w:tabs>
        <w:spacing w:before="240" w:after="0" w:line="240" w:lineRule="auto"/>
        <w:ind w:left="1134" w:hanging="567"/>
        <w:jc w:val="both"/>
        <w:rPr>
          <w:rFonts w:eastAsia="Times New Roman" w:cs="Arial"/>
          <w:b/>
          <w:szCs w:val="24"/>
          <w:u w:val="single"/>
          <w:lang w:eastAsia="en-GB"/>
        </w:rPr>
      </w:pPr>
      <w:r>
        <w:rPr>
          <w:rFonts w:eastAsia="Times New Roman" w:cs="Arial"/>
          <w:szCs w:val="24"/>
          <w:lang w:eastAsia="en-GB"/>
        </w:rPr>
        <w:t xml:space="preserve">I was not asked to make an anonymity order and there is no reason to make one. </w:t>
      </w:r>
    </w:p>
    <w:p w14:paraId="619891E1" w14:textId="1BA91186" w:rsidR="0024156E" w:rsidRDefault="0024156E" w:rsidP="00093BC2">
      <w:pPr>
        <w:spacing w:after="0" w:line="240" w:lineRule="auto"/>
        <w:ind w:left="567"/>
        <w:rPr>
          <w:rFonts w:eastAsia="Times New Roman" w:cs="Arial"/>
          <w:szCs w:val="24"/>
          <w:lang w:eastAsia="en-GB"/>
        </w:rPr>
      </w:pPr>
    </w:p>
    <w:p w14:paraId="4011F348" w14:textId="77777777" w:rsidR="00575FFE" w:rsidRPr="00B07E0B" w:rsidRDefault="00575FFE" w:rsidP="00093BC2">
      <w:pPr>
        <w:spacing w:after="0" w:line="240" w:lineRule="auto"/>
        <w:ind w:left="567"/>
        <w:rPr>
          <w:rFonts w:eastAsia="Times New Roman" w:cs="Arial"/>
          <w:szCs w:val="24"/>
          <w:lang w:eastAsia="en-GB"/>
        </w:rPr>
      </w:pPr>
    </w:p>
    <w:p w14:paraId="35215E7F" w14:textId="77777777" w:rsidR="0024156E" w:rsidRPr="00B07E0B" w:rsidRDefault="0024156E" w:rsidP="00093BC2">
      <w:pPr>
        <w:spacing w:after="0" w:line="240" w:lineRule="auto"/>
        <w:ind w:left="567"/>
        <w:rPr>
          <w:rFonts w:eastAsia="Times New Roman" w:cs="Arial"/>
          <w:szCs w:val="24"/>
          <w:lang w:eastAsia="en-GB"/>
        </w:rPr>
      </w:pPr>
      <w:r w:rsidRPr="00B07E0B">
        <w:rPr>
          <w:rFonts w:eastAsia="Times New Roman" w:cs="Arial"/>
          <w:szCs w:val="24"/>
          <w:lang w:eastAsia="en-GB"/>
        </w:rPr>
        <w:t>Signed</w:t>
      </w:r>
    </w:p>
    <w:p w14:paraId="5C330E58" w14:textId="0109369B" w:rsidR="0024156E" w:rsidRDefault="0024156E" w:rsidP="00093BC2">
      <w:pPr>
        <w:spacing w:after="0" w:line="240" w:lineRule="auto"/>
        <w:ind w:left="567"/>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69582873" wp14:editId="7614B212">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084D1" w14:textId="77777777" w:rsidR="00093BC2" w:rsidRPr="00B07E0B" w:rsidRDefault="00093BC2" w:rsidP="00093BC2">
      <w:pPr>
        <w:spacing w:after="0" w:line="240" w:lineRule="auto"/>
        <w:ind w:left="567"/>
        <w:rPr>
          <w:rFonts w:eastAsia="Times New Roman" w:cs="Arial"/>
          <w:szCs w:val="24"/>
          <w:lang w:eastAsia="en-GB"/>
        </w:rPr>
      </w:pPr>
    </w:p>
    <w:p w14:paraId="2DBA2880" w14:textId="77777777" w:rsidR="0024156E" w:rsidRPr="00B07E0B" w:rsidRDefault="0024156E" w:rsidP="00093BC2">
      <w:pPr>
        <w:tabs>
          <w:tab w:val="left" w:pos="2520"/>
        </w:tabs>
        <w:spacing w:after="0" w:line="240" w:lineRule="auto"/>
        <w:ind w:left="567"/>
        <w:rPr>
          <w:rFonts w:eastAsia="Times New Roman" w:cs="Arial"/>
          <w:color w:val="000000"/>
          <w:szCs w:val="24"/>
          <w:lang w:eastAsia="en-GB"/>
        </w:rPr>
      </w:pPr>
    </w:p>
    <w:p w14:paraId="59B08ADE" w14:textId="77777777" w:rsidR="0024156E" w:rsidRPr="00B07E0B" w:rsidRDefault="0024156E" w:rsidP="00093BC2">
      <w:pPr>
        <w:tabs>
          <w:tab w:val="left" w:pos="2520"/>
        </w:tabs>
        <w:spacing w:after="0" w:line="240" w:lineRule="auto"/>
        <w:ind w:left="567"/>
        <w:rPr>
          <w:rFonts w:eastAsia="Times New Roman" w:cs="Arial"/>
          <w:color w:val="000000"/>
          <w:szCs w:val="24"/>
          <w:lang w:eastAsia="en-GB"/>
        </w:rPr>
      </w:pPr>
    </w:p>
    <w:p w14:paraId="64CC54B7" w14:textId="77777777" w:rsidR="0024156E" w:rsidRPr="00B07E0B" w:rsidRDefault="0024156E" w:rsidP="00093BC2">
      <w:pPr>
        <w:tabs>
          <w:tab w:val="left" w:pos="2520"/>
        </w:tabs>
        <w:spacing w:after="0" w:line="240" w:lineRule="auto"/>
        <w:ind w:left="567"/>
        <w:rPr>
          <w:rFonts w:eastAsia="Times New Roman" w:cs="Arial"/>
          <w:color w:val="000000"/>
          <w:szCs w:val="24"/>
          <w:lang w:eastAsia="en-GB"/>
        </w:rPr>
      </w:pPr>
    </w:p>
    <w:p w14:paraId="0DDAEA2B" w14:textId="3EFFE2B4" w:rsidR="0024156E" w:rsidRDefault="0024156E" w:rsidP="00093BC2">
      <w:pPr>
        <w:tabs>
          <w:tab w:val="left" w:pos="2520"/>
        </w:tabs>
        <w:spacing w:after="0" w:line="240" w:lineRule="auto"/>
        <w:ind w:left="567"/>
        <w:rPr>
          <w:rFonts w:eastAsia="Times New Roman" w:cs="Arial"/>
          <w:color w:val="000000"/>
          <w:szCs w:val="24"/>
          <w:lang w:eastAsia="en-GB"/>
        </w:rPr>
      </w:pPr>
      <w:r>
        <w:rPr>
          <w:rFonts w:eastAsia="Times New Roman" w:cs="Arial"/>
          <w:color w:val="000000"/>
          <w:szCs w:val="24"/>
          <w:u w:val="single"/>
          <w:lang w:eastAsia="en-GB"/>
        </w:rPr>
        <w:t xml:space="preserve">Upper Tribunal </w:t>
      </w:r>
      <w:r w:rsidRPr="008B2830">
        <w:rPr>
          <w:rFonts w:eastAsia="Times New Roman" w:cs="Arial"/>
          <w:color w:val="000000"/>
          <w:szCs w:val="24"/>
          <w:u w:val="single"/>
          <w:lang w:eastAsia="en-GB"/>
        </w:rPr>
        <w:t>Judge</w:t>
      </w:r>
    </w:p>
    <w:p w14:paraId="22562680" w14:textId="77777777" w:rsidR="0024156E" w:rsidRDefault="0024156E" w:rsidP="00093BC2">
      <w:pPr>
        <w:tabs>
          <w:tab w:val="left" w:pos="2520"/>
        </w:tabs>
        <w:spacing w:after="0" w:line="240" w:lineRule="auto"/>
        <w:ind w:left="567"/>
        <w:rPr>
          <w:rFonts w:ascii="Times New Roman" w:eastAsia="Times New Roman" w:hAnsi="Times New Roman"/>
          <w:szCs w:val="24"/>
          <w:lang w:eastAsia="en-GB"/>
        </w:rPr>
      </w:pPr>
    </w:p>
    <w:p w14:paraId="5E0FBCC9" w14:textId="44ED2942" w:rsidR="0024156E" w:rsidRPr="00DF3536" w:rsidRDefault="0024156E" w:rsidP="00093BC2">
      <w:pPr>
        <w:tabs>
          <w:tab w:val="left" w:pos="2520"/>
        </w:tabs>
        <w:spacing w:after="0" w:line="240" w:lineRule="auto"/>
        <w:ind w:left="567"/>
      </w:pPr>
      <w:r w:rsidRPr="00DF3536">
        <w:rPr>
          <w:rFonts w:eastAsia="Times New Roman"/>
          <w:szCs w:val="24"/>
          <w:lang w:eastAsia="en-GB"/>
        </w:rPr>
        <w:t xml:space="preserve">Date: </w:t>
      </w:r>
      <w:r>
        <w:rPr>
          <w:rFonts w:eastAsia="Times New Roman"/>
          <w:szCs w:val="24"/>
          <w:lang w:eastAsia="en-GB"/>
        </w:rPr>
        <w:t xml:space="preserve">10 September </w:t>
      </w:r>
      <w:r w:rsidRPr="00DF3536">
        <w:rPr>
          <w:rFonts w:eastAsia="Times New Roman"/>
          <w:szCs w:val="24"/>
          <w:lang w:eastAsia="en-GB"/>
        </w:rPr>
        <w:t>2018</w:t>
      </w:r>
    </w:p>
    <w:p w14:paraId="1CCA6561" w14:textId="77777777" w:rsidR="0024156E" w:rsidRDefault="0024156E" w:rsidP="00093BC2">
      <w:pPr>
        <w:spacing w:after="0" w:line="240" w:lineRule="auto"/>
        <w:ind w:left="567"/>
      </w:pPr>
    </w:p>
    <w:p w14:paraId="1BA00578" w14:textId="77777777" w:rsidR="007B1745" w:rsidRDefault="007B1745" w:rsidP="00093BC2">
      <w:pPr>
        <w:spacing w:after="0" w:line="240" w:lineRule="auto"/>
        <w:ind w:left="567"/>
      </w:pPr>
    </w:p>
    <w:sectPr w:rsidR="007B1745" w:rsidSect="00A270D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B6196" w14:textId="77777777" w:rsidR="00A42802" w:rsidRDefault="00A42802" w:rsidP="0024156E">
      <w:pPr>
        <w:spacing w:after="0" w:line="240" w:lineRule="auto"/>
      </w:pPr>
      <w:r>
        <w:separator/>
      </w:r>
    </w:p>
  </w:endnote>
  <w:endnote w:type="continuationSeparator" w:id="0">
    <w:p w14:paraId="003B7398" w14:textId="77777777" w:rsidR="00A42802" w:rsidRDefault="00A42802" w:rsidP="0024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45C2E" w14:textId="072AEE04" w:rsidR="00A270D7" w:rsidRPr="00593795" w:rsidRDefault="00A270D7" w:rsidP="00A270D7">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C7BE0">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931BD" w14:textId="77777777" w:rsidR="00A270D7" w:rsidRPr="00090CF9" w:rsidRDefault="00A270D7" w:rsidP="00A270D7">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7A3C9" w14:textId="77777777" w:rsidR="00A42802" w:rsidRDefault="00A42802" w:rsidP="0024156E">
      <w:pPr>
        <w:spacing w:after="0" w:line="240" w:lineRule="auto"/>
      </w:pPr>
      <w:r>
        <w:separator/>
      </w:r>
    </w:p>
  </w:footnote>
  <w:footnote w:type="continuationSeparator" w:id="0">
    <w:p w14:paraId="38BEB854" w14:textId="77777777" w:rsidR="00A42802" w:rsidRDefault="00A42802" w:rsidP="00241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028CA" w14:textId="77777777" w:rsidR="00A270D7" w:rsidRPr="003C5CE5" w:rsidRDefault="00A270D7" w:rsidP="00A270D7">
    <w:pPr>
      <w:pStyle w:val="Header"/>
      <w:jc w:val="right"/>
      <w:rPr>
        <w:rFonts w:ascii="Arial" w:hAnsi="Arial" w:cs="Arial"/>
        <w:sz w:val="16"/>
        <w:szCs w:val="16"/>
      </w:rPr>
    </w:pPr>
    <w:r>
      <w:rPr>
        <w:rFonts w:ascii="Arial" w:hAnsi="Arial" w:cs="Arial"/>
        <w:sz w:val="16"/>
        <w:szCs w:val="16"/>
      </w:rPr>
      <w:t>Appeal Number: EA/01673/2017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6040E38"/>
    <w:lvl w:ilvl="0" w:tplc="99AE425E">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4B7223CB"/>
    <w:multiLevelType w:val="hybridMultilevel"/>
    <w:tmpl w:val="C6F0706A"/>
    <w:lvl w:ilvl="0" w:tplc="08090001">
      <w:start w:val="1"/>
      <w:numFmt w:val="bullet"/>
      <w:lvlText w:val=""/>
      <w:lvlJc w:val="left"/>
      <w:pPr>
        <w:ind w:left="1857" w:hanging="360"/>
      </w:pPr>
      <w:rPr>
        <w:rFonts w:ascii="Symbol" w:hAnsi="Symbol" w:hint="default"/>
      </w:rPr>
    </w:lvl>
    <w:lvl w:ilvl="1" w:tplc="08090003" w:tentative="1">
      <w:start w:val="1"/>
      <w:numFmt w:val="bullet"/>
      <w:lvlText w:val="o"/>
      <w:lvlJc w:val="left"/>
      <w:pPr>
        <w:ind w:left="2577" w:hanging="360"/>
      </w:pPr>
      <w:rPr>
        <w:rFonts w:ascii="Courier New" w:hAnsi="Courier New" w:cs="Courier New" w:hint="default"/>
      </w:rPr>
    </w:lvl>
    <w:lvl w:ilvl="2" w:tplc="08090005" w:tentative="1">
      <w:start w:val="1"/>
      <w:numFmt w:val="bullet"/>
      <w:lvlText w:val=""/>
      <w:lvlJc w:val="left"/>
      <w:pPr>
        <w:ind w:left="3297" w:hanging="360"/>
      </w:pPr>
      <w:rPr>
        <w:rFonts w:ascii="Wingdings" w:hAnsi="Wingdings" w:hint="default"/>
      </w:rPr>
    </w:lvl>
    <w:lvl w:ilvl="3" w:tplc="08090001" w:tentative="1">
      <w:start w:val="1"/>
      <w:numFmt w:val="bullet"/>
      <w:lvlText w:val=""/>
      <w:lvlJc w:val="left"/>
      <w:pPr>
        <w:ind w:left="4017" w:hanging="360"/>
      </w:pPr>
      <w:rPr>
        <w:rFonts w:ascii="Symbol" w:hAnsi="Symbol" w:hint="default"/>
      </w:rPr>
    </w:lvl>
    <w:lvl w:ilvl="4" w:tplc="08090003" w:tentative="1">
      <w:start w:val="1"/>
      <w:numFmt w:val="bullet"/>
      <w:lvlText w:val="o"/>
      <w:lvlJc w:val="left"/>
      <w:pPr>
        <w:ind w:left="4737" w:hanging="360"/>
      </w:pPr>
      <w:rPr>
        <w:rFonts w:ascii="Courier New" w:hAnsi="Courier New" w:cs="Courier New" w:hint="default"/>
      </w:rPr>
    </w:lvl>
    <w:lvl w:ilvl="5" w:tplc="08090005" w:tentative="1">
      <w:start w:val="1"/>
      <w:numFmt w:val="bullet"/>
      <w:lvlText w:val=""/>
      <w:lvlJc w:val="left"/>
      <w:pPr>
        <w:ind w:left="5457" w:hanging="360"/>
      </w:pPr>
      <w:rPr>
        <w:rFonts w:ascii="Wingdings" w:hAnsi="Wingdings" w:hint="default"/>
      </w:rPr>
    </w:lvl>
    <w:lvl w:ilvl="6" w:tplc="08090001" w:tentative="1">
      <w:start w:val="1"/>
      <w:numFmt w:val="bullet"/>
      <w:lvlText w:val=""/>
      <w:lvlJc w:val="left"/>
      <w:pPr>
        <w:ind w:left="6177" w:hanging="360"/>
      </w:pPr>
      <w:rPr>
        <w:rFonts w:ascii="Symbol" w:hAnsi="Symbol" w:hint="default"/>
      </w:rPr>
    </w:lvl>
    <w:lvl w:ilvl="7" w:tplc="08090003" w:tentative="1">
      <w:start w:val="1"/>
      <w:numFmt w:val="bullet"/>
      <w:lvlText w:val="o"/>
      <w:lvlJc w:val="left"/>
      <w:pPr>
        <w:ind w:left="6897" w:hanging="360"/>
      </w:pPr>
      <w:rPr>
        <w:rFonts w:ascii="Courier New" w:hAnsi="Courier New" w:cs="Courier New" w:hint="default"/>
      </w:rPr>
    </w:lvl>
    <w:lvl w:ilvl="8" w:tplc="08090005" w:tentative="1">
      <w:start w:val="1"/>
      <w:numFmt w:val="bullet"/>
      <w:lvlText w:val=""/>
      <w:lvlJc w:val="left"/>
      <w:pPr>
        <w:ind w:left="7617" w:hanging="360"/>
      </w:pPr>
      <w:rPr>
        <w:rFonts w:ascii="Wingdings" w:hAnsi="Wingdings" w:hint="default"/>
      </w:rPr>
    </w:lvl>
  </w:abstractNum>
  <w:abstractNum w:abstractNumId="2" w15:restartNumberingAfterBreak="0">
    <w:nsid w:val="4CF359E9"/>
    <w:multiLevelType w:val="hybridMultilevel"/>
    <w:tmpl w:val="28ACB2CA"/>
    <w:lvl w:ilvl="0" w:tplc="08090001">
      <w:start w:val="1"/>
      <w:numFmt w:val="bullet"/>
      <w:lvlText w:val=""/>
      <w:lvlJc w:val="left"/>
      <w:pPr>
        <w:ind w:left="1857" w:hanging="360"/>
      </w:pPr>
      <w:rPr>
        <w:rFonts w:ascii="Symbol" w:hAnsi="Symbol" w:hint="default"/>
      </w:rPr>
    </w:lvl>
    <w:lvl w:ilvl="1" w:tplc="08090003" w:tentative="1">
      <w:start w:val="1"/>
      <w:numFmt w:val="bullet"/>
      <w:lvlText w:val="o"/>
      <w:lvlJc w:val="left"/>
      <w:pPr>
        <w:ind w:left="2577" w:hanging="360"/>
      </w:pPr>
      <w:rPr>
        <w:rFonts w:ascii="Courier New" w:hAnsi="Courier New" w:cs="Courier New" w:hint="default"/>
      </w:rPr>
    </w:lvl>
    <w:lvl w:ilvl="2" w:tplc="08090005" w:tentative="1">
      <w:start w:val="1"/>
      <w:numFmt w:val="bullet"/>
      <w:lvlText w:val=""/>
      <w:lvlJc w:val="left"/>
      <w:pPr>
        <w:ind w:left="3297" w:hanging="360"/>
      </w:pPr>
      <w:rPr>
        <w:rFonts w:ascii="Wingdings" w:hAnsi="Wingdings" w:hint="default"/>
      </w:rPr>
    </w:lvl>
    <w:lvl w:ilvl="3" w:tplc="08090001" w:tentative="1">
      <w:start w:val="1"/>
      <w:numFmt w:val="bullet"/>
      <w:lvlText w:val=""/>
      <w:lvlJc w:val="left"/>
      <w:pPr>
        <w:ind w:left="4017" w:hanging="360"/>
      </w:pPr>
      <w:rPr>
        <w:rFonts w:ascii="Symbol" w:hAnsi="Symbol" w:hint="default"/>
      </w:rPr>
    </w:lvl>
    <w:lvl w:ilvl="4" w:tplc="08090003" w:tentative="1">
      <w:start w:val="1"/>
      <w:numFmt w:val="bullet"/>
      <w:lvlText w:val="o"/>
      <w:lvlJc w:val="left"/>
      <w:pPr>
        <w:ind w:left="4737" w:hanging="360"/>
      </w:pPr>
      <w:rPr>
        <w:rFonts w:ascii="Courier New" w:hAnsi="Courier New" w:cs="Courier New" w:hint="default"/>
      </w:rPr>
    </w:lvl>
    <w:lvl w:ilvl="5" w:tplc="08090005" w:tentative="1">
      <w:start w:val="1"/>
      <w:numFmt w:val="bullet"/>
      <w:lvlText w:val=""/>
      <w:lvlJc w:val="left"/>
      <w:pPr>
        <w:ind w:left="5457" w:hanging="360"/>
      </w:pPr>
      <w:rPr>
        <w:rFonts w:ascii="Wingdings" w:hAnsi="Wingdings" w:hint="default"/>
      </w:rPr>
    </w:lvl>
    <w:lvl w:ilvl="6" w:tplc="08090001" w:tentative="1">
      <w:start w:val="1"/>
      <w:numFmt w:val="bullet"/>
      <w:lvlText w:val=""/>
      <w:lvlJc w:val="left"/>
      <w:pPr>
        <w:ind w:left="6177" w:hanging="360"/>
      </w:pPr>
      <w:rPr>
        <w:rFonts w:ascii="Symbol" w:hAnsi="Symbol" w:hint="default"/>
      </w:rPr>
    </w:lvl>
    <w:lvl w:ilvl="7" w:tplc="08090003" w:tentative="1">
      <w:start w:val="1"/>
      <w:numFmt w:val="bullet"/>
      <w:lvlText w:val="o"/>
      <w:lvlJc w:val="left"/>
      <w:pPr>
        <w:ind w:left="6897" w:hanging="360"/>
      </w:pPr>
      <w:rPr>
        <w:rFonts w:ascii="Courier New" w:hAnsi="Courier New" w:cs="Courier New" w:hint="default"/>
      </w:rPr>
    </w:lvl>
    <w:lvl w:ilvl="8" w:tplc="08090005" w:tentative="1">
      <w:start w:val="1"/>
      <w:numFmt w:val="bullet"/>
      <w:lvlText w:val=""/>
      <w:lvlJc w:val="left"/>
      <w:pPr>
        <w:ind w:left="7617" w:hanging="360"/>
      </w:pPr>
      <w:rPr>
        <w:rFonts w:ascii="Wingdings" w:hAnsi="Wingdings" w:hint="default"/>
      </w:rPr>
    </w:lvl>
  </w:abstractNum>
  <w:abstractNum w:abstractNumId="3" w15:restartNumberingAfterBreak="0">
    <w:nsid w:val="548D62BA"/>
    <w:multiLevelType w:val="hybridMultilevel"/>
    <w:tmpl w:val="750A8D58"/>
    <w:lvl w:ilvl="0" w:tplc="08090001">
      <w:start w:val="1"/>
      <w:numFmt w:val="bullet"/>
      <w:lvlText w:val=""/>
      <w:lvlJc w:val="left"/>
      <w:pPr>
        <w:ind w:left="1857" w:hanging="360"/>
      </w:pPr>
      <w:rPr>
        <w:rFonts w:ascii="Symbol" w:hAnsi="Symbol" w:hint="default"/>
      </w:rPr>
    </w:lvl>
    <w:lvl w:ilvl="1" w:tplc="08090003" w:tentative="1">
      <w:start w:val="1"/>
      <w:numFmt w:val="bullet"/>
      <w:lvlText w:val="o"/>
      <w:lvlJc w:val="left"/>
      <w:pPr>
        <w:ind w:left="2577" w:hanging="360"/>
      </w:pPr>
      <w:rPr>
        <w:rFonts w:ascii="Courier New" w:hAnsi="Courier New" w:cs="Courier New" w:hint="default"/>
      </w:rPr>
    </w:lvl>
    <w:lvl w:ilvl="2" w:tplc="08090005" w:tentative="1">
      <w:start w:val="1"/>
      <w:numFmt w:val="bullet"/>
      <w:lvlText w:val=""/>
      <w:lvlJc w:val="left"/>
      <w:pPr>
        <w:ind w:left="3297" w:hanging="360"/>
      </w:pPr>
      <w:rPr>
        <w:rFonts w:ascii="Wingdings" w:hAnsi="Wingdings" w:hint="default"/>
      </w:rPr>
    </w:lvl>
    <w:lvl w:ilvl="3" w:tplc="08090001" w:tentative="1">
      <w:start w:val="1"/>
      <w:numFmt w:val="bullet"/>
      <w:lvlText w:val=""/>
      <w:lvlJc w:val="left"/>
      <w:pPr>
        <w:ind w:left="4017" w:hanging="360"/>
      </w:pPr>
      <w:rPr>
        <w:rFonts w:ascii="Symbol" w:hAnsi="Symbol" w:hint="default"/>
      </w:rPr>
    </w:lvl>
    <w:lvl w:ilvl="4" w:tplc="08090003" w:tentative="1">
      <w:start w:val="1"/>
      <w:numFmt w:val="bullet"/>
      <w:lvlText w:val="o"/>
      <w:lvlJc w:val="left"/>
      <w:pPr>
        <w:ind w:left="4737" w:hanging="360"/>
      </w:pPr>
      <w:rPr>
        <w:rFonts w:ascii="Courier New" w:hAnsi="Courier New" w:cs="Courier New" w:hint="default"/>
      </w:rPr>
    </w:lvl>
    <w:lvl w:ilvl="5" w:tplc="08090005" w:tentative="1">
      <w:start w:val="1"/>
      <w:numFmt w:val="bullet"/>
      <w:lvlText w:val=""/>
      <w:lvlJc w:val="left"/>
      <w:pPr>
        <w:ind w:left="5457" w:hanging="360"/>
      </w:pPr>
      <w:rPr>
        <w:rFonts w:ascii="Wingdings" w:hAnsi="Wingdings" w:hint="default"/>
      </w:rPr>
    </w:lvl>
    <w:lvl w:ilvl="6" w:tplc="08090001" w:tentative="1">
      <w:start w:val="1"/>
      <w:numFmt w:val="bullet"/>
      <w:lvlText w:val=""/>
      <w:lvlJc w:val="left"/>
      <w:pPr>
        <w:ind w:left="6177" w:hanging="360"/>
      </w:pPr>
      <w:rPr>
        <w:rFonts w:ascii="Symbol" w:hAnsi="Symbol" w:hint="default"/>
      </w:rPr>
    </w:lvl>
    <w:lvl w:ilvl="7" w:tplc="08090003" w:tentative="1">
      <w:start w:val="1"/>
      <w:numFmt w:val="bullet"/>
      <w:lvlText w:val="o"/>
      <w:lvlJc w:val="left"/>
      <w:pPr>
        <w:ind w:left="6897" w:hanging="360"/>
      </w:pPr>
      <w:rPr>
        <w:rFonts w:ascii="Courier New" w:hAnsi="Courier New" w:cs="Courier New" w:hint="default"/>
      </w:rPr>
    </w:lvl>
    <w:lvl w:ilvl="8" w:tplc="08090005" w:tentative="1">
      <w:start w:val="1"/>
      <w:numFmt w:val="bullet"/>
      <w:lvlText w:val=""/>
      <w:lvlJc w:val="left"/>
      <w:pPr>
        <w:ind w:left="761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6E"/>
    <w:rsid w:val="00023DD5"/>
    <w:rsid w:val="000277A9"/>
    <w:rsid w:val="0005760C"/>
    <w:rsid w:val="00093BC2"/>
    <w:rsid w:val="00094F74"/>
    <w:rsid w:val="000A2679"/>
    <w:rsid w:val="00220C77"/>
    <w:rsid w:val="0024156E"/>
    <w:rsid w:val="002A1D00"/>
    <w:rsid w:val="00372255"/>
    <w:rsid w:val="0056510D"/>
    <w:rsid w:val="00574642"/>
    <w:rsid w:val="00575FFE"/>
    <w:rsid w:val="00585DD3"/>
    <w:rsid w:val="006064AC"/>
    <w:rsid w:val="00640274"/>
    <w:rsid w:val="006521CB"/>
    <w:rsid w:val="006C15E9"/>
    <w:rsid w:val="006E04A0"/>
    <w:rsid w:val="006F700A"/>
    <w:rsid w:val="006F7D18"/>
    <w:rsid w:val="007405AC"/>
    <w:rsid w:val="00746BB7"/>
    <w:rsid w:val="007832AB"/>
    <w:rsid w:val="007B1745"/>
    <w:rsid w:val="007C5B97"/>
    <w:rsid w:val="007C7BE0"/>
    <w:rsid w:val="007F2C07"/>
    <w:rsid w:val="0086494A"/>
    <w:rsid w:val="008A3D09"/>
    <w:rsid w:val="00A270D7"/>
    <w:rsid w:val="00A40A56"/>
    <w:rsid w:val="00A42802"/>
    <w:rsid w:val="00A866DD"/>
    <w:rsid w:val="00B12B76"/>
    <w:rsid w:val="00B411BF"/>
    <w:rsid w:val="00BB7504"/>
    <w:rsid w:val="00C800CC"/>
    <w:rsid w:val="00CE4EA3"/>
    <w:rsid w:val="00CF138B"/>
    <w:rsid w:val="00D36B1B"/>
    <w:rsid w:val="00EB7572"/>
    <w:rsid w:val="00F82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19D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56E"/>
  </w:style>
  <w:style w:type="paragraph" w:styleId="Heading3">
    <w:name w:val="heading 3"/>
    <w:basedOn w:val="Normal"/>
    <w:link w:val="Heading3Char"/>
    <w:uiPriority w:val="9"/>
    <w:qFormat/>
    <w:rsid w:val="00D36B1B"/>
    <w:pPr>
      <w:spacing w:before="100" w:beforeAutospacing="1" w:after="100" w:afterAutospacing="1" w:line="240" w:lineRule="auto"/>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5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56E"/>
  </w:style>
  <w:style w:type="paragraph" w:styleId="Footer">
    <w:name w:val="footer"/>
    <w:basedOn w:val="Normal"/>
    <w:link w:val="FooterChar"/>
    <w:uiPriority w:val="99"/>
    <w:unhideWhenUsed/>
    <w:rsid w:val="002415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56E"/>
  </w:style>
  <w:style w:type="character" w:styleId="PageNumber">
    <w:name w:val="page number"/>
    <w:basedOn w:val="DefaultParagraphFont"/>
    <w:rsid w:val="0024156E"/>
  </w:style>
  <w:style w:type="table" w:styleId="TableGrid">
    <w:name w:val="Table Grid"/>
    <w:basedOn w:val="TableNormal"/>
    <w:rsid w:val="0024156E"/>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156E"/>
    <w:pPr>
      <w:ind w:left="720"/>
      <w:contextualSpacing/>
    </w:pPr>
  </w:style>
  <w:style w:type="character" w:customStyle="1" w:styleId="Heading3Char">
    <w:name w:val="Heading 3 Char"/>
    <w:basedOn w:val="DefaultParagraphFont"/>
    <w:link w:val="Heading3"/>
    <w:uiPriority w:val="9"/>
    <w:rsid w:val="00D36B1B"/>
    <w:rPr>
      <w:rFonts w:ascii="Times New Roman" w:eastAsia="Times New Roman" w:hAnsi="Times New Roman"/>
      <w:b/>
      <w:bCs/>
      <w:sz w:val="27"/>
      <w:szCs w:val="27"/>
      <w:lang w:eastAsia="en-GB"/>
    </w:rPr>
  </w:style>
  <w:style w:type="paragraph" w:customStyle="1" w:styleId="legp1paratext">
    <w:name w:val="legp1paratext"/>
    <w:basedOn w:val="Normal"/>
    <w:rsid w:val="00D36B1B"/>
    <w:pPr>
      <w:spacing w:before="100" w:beforeAutospacing="1" w:after="100" w:afterAutospacing="1" w:line="240" w:lineRule="auto"/>
    </w:pPr>
    <w:rPr>
      <w:rFonts w:ascii="Times New Roman" w:eastAsia="Times New Roman" w:hAnsi="Times New Roman"/>
      <w:szCs w:val="24"/>
      <w:lang w:eastAsia="en-GB"/>
    </w:rPr>
  </w:style>
  <w:style w:type="character" w:customStyle="1" w:styleId="legp1no">
    <w:name w:val="legp1no"/>
    <w:basedOn w:val="DefaultParagraphFont"/>
    <w:rsid w:val="00D36B1B"/>
  </w:style>
  <w:style w:type="paragraph" w:customStyle="1" w:styleId="legp2paratext">
    <w:name w:val="legp2paratext"/>
    <w:basedOn w:val="Normal"/>
    <w:rsid w:val="00D36B1B"/>
    <w:pPr>
      <w:spacing w:before="100" w:beforeAutospacing="1" w:after="100" w:afterAutospacing="1" w:line="240" w:lineRule="auto"/>
    </w:pPr>
    <w:rPr>
      <w:rFonts w:ascii="Times New Roman" w:eastAsia="Times New Roman" w:hAnsi="Times New Roman"/>
      <w:szCs w:val="24"/>
      <w:lang w:eastAsia="en-GB"/>
    </w:rPr>
  </w:style>
  <w:style w:type="paragraph" w:customStyle="1" w:styleId="legclearfix">
    <w:name w:val="legclearfix"/>
    <w:basedOn w:val="Normal"/>
    <w:rsid w:val="00D36B1B"/>
    <w:pPr>
      <w:spacing w:before="100" w:beforeAutospacing="1" w:after="100" w:afterAutospacing="1" w:line="240" w:lineRule="auto"/>
    </w:pPr>
    <w:rPr>
      <w:rFonts w:ascii="Times New Roman" w:eastAsia="Times New Roman" w:hAnsi="Times New Roman"/>
      <w:szCs w:val="24"/>
      <w:lang w:eastAsia="en-GB"/>
    </w:rPr>
  </w:style>
  <w:style w:type="character" w:customStyle="1" w:styleId="legds">
    <w:name w:val="legds"/>
    <w:basedOn w:val="DefaultParagraphFont"/>
    <w:rsid w:val="00D36B1B"/>
  </w:style>
  <w:style w:type="character" w:styleId="HTMLAcronym">
    <w:name w:val="HTML Acronym"/>
    <w:basedOn w:val="DefaultParagraphFont"/>
    <w:uiPriority w:val="99"/>
    <w:semiHidden/>
    <w:unhideWhenUsed/>
    <w:rsid w:val="00D36B1B"/>
  </w:style>
  <w:style w:type="character" w:styleId="Hyperlink">
    <w:name w:val="Hyperlink"/>
    <w:basedOn w:val="DefaultParagraphFont"/>
    <w:uiPriority w:val="99"/>
    <w:semiHidden/>
    <w:unhideWhenUsed/>
    <w:rsid w:val="00D36B1B"/>
    <w:rPr>
      <w:color w:val="0000FF"/>
      <w:u w:val="single"/>
    </w:rPr>
  </w:style>
  <w:style w:type="paragraph" w:styleId="BalloonText">
    <w:name w:val="Balloon Text"/>
    <w:basedOn w:val="Normal"/>
    <w:link w:val="BalloonTextChar"/>
    <w:uiPriority w:val="99"/>
    <w:semiHidden/>
    <w:unhideWhenUsed/>
    <w:rsid w:val="00740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5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6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CA/Civ/2018/108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2314</Words>
  <Characters>13196</Characters>
  <Application>Microsoft Office Word</Application>
  <DocSecurity>0</DocSecurity>
  <Lines>109</Lines>
  <Paragraphs>30</Paragraphs>
  <ScaleCrop>false</ScaleCrop>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2018-09-28T15:44:00Z</dcterms:created>
  <dcterms:modified xsi:type="dcterms:W3CDTF">2018-09-28T15:44:00Z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