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D2CB0" w14:textId="77777777" w:rsidR="00C321B5" w:rsidRPr="00F5664C" w:rsidRDefault="005334F3" w:rsidP="00C321B5">
      <w:pPr>
        <w:jc w:val="center"/>
        <w:rPr>
          <w:rFonts w:ascii="Book Antiqua" w:hAnsi="Book Antiqua" w:cs="Arial"/>
          <w:sz w:val="16"/>
          <w:szCs w:val="16"/>
        </w:rPr>
      </w:pPr>
      <w:r>
        <w:rPr>
          <w:noProof/>
        </w:rPr>
        <w:drawing>
          <wp:inline distT="0" distB="0" distL="0" distR="0" wp14:anchorId="690A45B8" wp14:editId="4E3E077B">
            <wp:extent cx="1198800" cy="1036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8800" cy="1036800"/>
                    </a:xfrm>
                    <a:prstGeom prst="rect">
                      <a:avLst/>
                    </a:prstGeom>
                    <a:noFill/>
                    <a:ln>
                      <a:noFill/>
                    </a:ln>
                  </pic:spPr>
                </pic:pic>
              </a:graphicData>
            </a:graphic>
          </wp:inline>
        </w:drawing>
      </w:r>
    </w:p>
    <w:p w14:paraId="3B087835"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4EF8583A" w14:textId="130846C8" w:rsidR="007B0824" w:rsidRPr="00C515F0"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C515F0">
        <w:rPr>
          <w:rFonts w:ascii="Book Antiqua" w:hAnsi="Book Antiqua" w:cs="Arial"/>
          <w:b/>
        </w:rPr>
        <w:t xml:space="preserve">   </w:t>
      </w:r>
      <w:proofErr w:type="gramEnd"/>
      <w:r w:rsidR="00C515F0">
        <w:rPr>
          <w:rFonts w:ascii="Book Antiqua" w:hAnsi="Book Antiqua" w:cs="Arial"/>
          <w:b/>
        </w:rPr>
        <w:t xml:space="preserve">                     </w:t>
      </w:r>
      <w:r w:rsidR="00B3524D" w:rsidRPr="00C515F0">
        <w:rPr>
          <w:rFonts w:ascii="Book Antiqua" w:hAnsi="Book Antiqua" w:cs="Arial"/>
          <w:b/>
        </w:rPr>
        <w:t>Appeal Number</w:t>
      </w:r>
      <w:r w:rsidR="00D53769" w:rsidRPr="00C515F0">
        <w:rPr>
          <w:rFonts w:ascii="Book Antiqua" w:hAnsi="Book Antiqua" w:cs="Arial"/>
          <w:b/>
        </w:rPr>
        <w:t>:</w:t>
      </w:r>
      <w:r w:rsidR="00B3524D" w:rsidRPr="00C515F0">
        <w:rPr>
          <w:rFonts w:ascii="Book Antiqua" w:hAnsi="Book Antiqua" w:cs="Arial"/>
          <w:b/>
        </w:rPr>
        <w:t xml:space="preserve"> </w:t>
      </w:r>
      <w:r w:rsidR="00F3588A" w:rsidRPr="00C515F0">
        <w:rPr>
          <w:rFonts w:ascii="Book Antiqua" w:hAnsi="Book Antiqua" w:cs="Arial"/>
          <w:b/>
          <w:caps/>
        </w:rPr>
        <w:t>EA/01855/2017</w:t>
      </w:r>
    </w:p>
    <w:p w14:paraId="285D9425" w14:textId="77777777" w:rsidR="00C345E1" w:rsidRPr="00F5664C" w:rsidRDefault="00C345E1" w:rsidP="00C345E1">
      <w:pPr>
        <w:jc w:val="center"/>
        <w:rPr>
          <w:rFonts w:ascii="Book Antiqua" w:hAnsi="Book Antiqua" w:cs="Arial"/>
        </w:rPr>
      </w:pPr>
    </w:p>
    <w:p w14:paraId="5D007DAB"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52796CCA"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87"/>
        <w:gridCol w:w="661"/>
        <w:gridCol w:w="3960"/>
      </w:tblGrid>
      <w:tr w:rsidR="00D22636" w:rsidRPr="00F5664C" w14:paraId="28DD97BA" w14:textId="77777777" w:rsidTr="00C515F0">
        <w:tc>
          <w:tcPr>
            <w:tcW w:w="5387" w:type="dxa"/>
          </w:tcPr>
          <w:p w14:paraId="174F5F45"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F3588A">
              <w:rPr>
                <w:rFonts w:ascii="Book Antiqua" w:hAnsi="Book Antiqua" w:cs="Arial"/>
                <w:b/>
              </w:rPr>
              <w:t>The Royal Courts of Justice, Belfast</w:t>
            </w:r>
          </w:p>
        </w:tc>
        <w:tc>
          <w:tcPr>
            <w:tcW w:w="4621" w:type="dxa"/>
            <w:gridSpan w:val="2"/>
          </w:tcPr>
          <w:p w14:paraId="5B06A465" w14:textId="77777777" w:rsidR="00D22636" w:rsidRPr="00F5664C" w:rsidRDefault="008508AD"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782161B8" w14:textId="77777777" w:rsidTr="00C515F0">
        <w:tc>
          <w:tcPr>
            <w:tcW w:w="5387" w:type="dxa"/>
          </w:tcPr>
          <w:p w14:paraId="581276A9"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F3588A">
              <w:rPr>
                <w:rFonts w:ascii="Book Antiqua" w:hAnsi="Book Antiqua" w:cs="Arial"/>
                <w:b/>
              </w:rPr>
              <w:t>17 May 2018</w:t>
            </w:r>
          </w:p>
        </w:tc>
        <w:tc>
          <w:tcPr>
            <w:tcW w:w="4621" w:type="dxa"/>
            <w:gridSpan w:val="2"/>
          </w:tcPr>
          <w:p w14:paraId="575F2528" w14:textId="77777777" w:rsidR="00D22636" w:rsidRPr="00F5664C" w:rsidRDefault="00687505" w:rsidP="004A1848">
            <w:pPr>
              <w:jc w:val="both"/>
              <w:rPr>
                <w:rFonts w:ascii="Book Antiqua" w:hAnsi="Book Antiqua" w:cs="Arial"/>
                <w:b/>
              </w:rPr>
            </w:pPr>
            <w:r>
              <w:rPr>
                <w:rFonts w:ascii="Book Antiqua" w:hAnsi="Book Antiqua" w:cs="Arial"/>
                <w:b/>
              </w:rPr>
              <w:t>On 7 June 2018</w:t>
            </w:r>
          </w:p>
        </w:tc>
      </w:tr>
      <w:tr w:rsidR="00D22636" w:rsidRPr="00F5664C" w14:paraId="4D57943A" w14:textId="77777777" w:rsidTr="008508AD">
        <w:tc>
          <w:tcPr>
            <w:tcW w:w="6048" w:type="dxa"/>
            <w:gridSpan w:val="2"/>
          </w:tcPr>
          <w:p w14:paraId="33AEC927" w14:textId="77777777" w:rsidR="00D22636" w:rsidRPr="00F5664C" w:rsidRDefault="00D22636" w:rsidP="004A1848">
            <w:pPr>
              <w:jc w:val="both"/>
              <w:rPr>
                <w:rFonts w:ascii="Book Antiqua" w:hAnsi="Book Antiqua" w:cs="Arial"/>
                <w:b/>
              </w:rPr>
            </w:pPr>
          </w:p>
        </w:tc>
        <w:tc>
          <w:tcPr>
            <w:tcW w:w="3960" w:type="dxa"/>
          </w:tcPr>
          <w:p w14:paraId="5367BA01" w14:textId="77777777" w:rsidR="00D22636" w:rsidRPr="00F5664C" w:rsidRDefault="00D22636" w:rsidP="004A1848">
            <w:pPr>
              <w:jc w:val="both"/>
              <w:rPr>
                <w:rFonts w:ascii="Book Antiqua" w:hAnsi="Book Antiqua" w:cs="Arial"/>
                <w:b/>
              </w:rPr>
            </w:pPr>
          </w:p>
        </w:tc>
      </w:tr>
    </w:tbl>
    <w:p w14:paraId="33DE4312" w14:textId="77777777" w:rsidR="00A15234" w:rsidRPr="00F5664C" w:rsidRDefault="00A15234" w:rsidP="00A15234">
      <w:pPr>
        <w:jc w:val="center"/>
        <w:rPr>
          <w:rFonts w:ascii="Book Antiqua" w:hAnsi="Book Antiqua" w:cs="Arial"/>
        </w:rPr>
      </w:pPr>
    </w:p>
    <w:p w14:paraId="70BFE6BF" w14:textId="77777777" w:rsidR="00A15234" w:rsidRPr="00F5664C" w:rsidRDefault="00A15234" w:rsidP="00A15234">
      <w:pPr>
        <w:jc w:val="center"/>
        <w:rPr>
          <w:rFonts w:ascii="Book Antiqua" w:hAnsi="Book Antiqua" w:cs="Arial"/>
        </w:rPr>
      </w:pPr>
    </w:p>
    <w:p w14:paraId="0D042C18"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741C4E30" w14:textId="77777777" w:rsidR="00A15234" w:rsidRPr="00F5664C" w:rsidRDefault="00A15234" w:rsidP="00A15234">
      <w:pPr>
        <w:jc w:val="center"/>
        <w:rPr>
          <w:rFonts w:ascii="Book Antiqua" w:hAnsi="Book Antiqua" w:cs="Arial"/>
          <w:b/>
        </w:rPr>
      </w:pPr>
    </w:p>
    <w:p w14:paraId="7CF06D7D" w14:textId="77777777" w:rsidR="00A845DC" w:rsidRDefault="00155BA9" w:rsidP="00A15234">
      <w:pPr>
        <w:jc w:val="center"/>
        <w:rPr>
          <w:rFonts w:ascii="Book Antiqua" w:hAnsi="Book Antiqua" w:cs="Arial"/>
          <w:b/>
        </w:rPr>
      </w:pPr>
      <w:smartTag w:uri="urn:schemas-microsoft-com:office:smarttags" w:element="Street">
        <w:smartTag w:uri="urn:schemas-microsoft-com:office:smarttags" w:element="address">
          <w:r>
            <w:rPr>
              <w:rFonts w:ascii="Book Antiqua" w:hAnsi="Book Antiqua" w:cs="Arial"/>
              <w:b/>
            </w:rPr>
            <w:t>UPPER TRIBUNAL</w:t>
          </w:r>
          <w:r w:rsidR="00B16F58" w:rsidRPr="00F5664C">
            <w:rPr>
              <w:rFonts w:ascii="Book Antiqua" w:hAnsi="Book Antiqua" w:cs="Arial"/>
              <w:b/>
            </w:rPr>
            <w:t xml:space="preserve"> JUDGE </w:t>
          </w:r>
          <w:r w:rsidR="008639DC">
            <w:rPr>
              <w:rFonts w:ascii="Book Antiqua" w:hAnsi="Book Antiqua" w:cs="Arial"/>
              <w:b/>
            </w:rPr>
            <w:t>LANE</w:t>
          </w:r>
        </w:smartTag>
      </w:smartTag>
    </w:p>
    <w:p w14:paraId="2EA53D89" w14:textId="77777777" w:rsidR="00B16F58" w:rsidRPr="00F5664C" w:rsidRDefault="00B16F58" w:rsidP="00A15234">
      <w:pPr>
        <w:jc w:val="center"/>
        <w:rPr>
          <w:rFonts w:ascii="Book Antiqua" w:hAnsi="Book Antiqua" w:cs="Arial"/>
          <w:b/>
        </w:rPr>
      </w:pPr>
    </w:p>
    <w:p w14:paraId="1436849E"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0A8A5EB2" w14:textId="77777777" w:rsidR="00A845DC" w:rsidRPr="00F5664C" w:rsidRDefault="00A845DC" w:rsidP="00A15234">
      <w:pPr>
        <w:jc w:val="center"/>
        <w:rPr>
          <w:rFonts w:ascii="Book Antiqua" w:hAnsi="Book Antiqua" w:cs="Arial"/>
          <w:b/>
        </w:rPr>
      </w:pPr>
    </w:p>
    <w:p w14:paraId="795F761A" w14:textId="77777777" w:rsidR="00742A8D" w:rsidRDefault="00F3588A" w:rsidP="00742A8D">
      <w:pPr>
        <w:jc w:val="center"/>
        <w:rPr>
          <w:rFonts w:ascii="Book Antiqua" w:hAnsi="Book Antiqua" w:cs="Arial"/>
          <w:b/>
          <w:caps/>
        </w:rPr>
      </w:pPr>
      <w:r>
        <w:rPr>
          <w:rFonts w:ascii="Book Antiqua" w:hAnsi="Book Antiqua" w:cs="Arial"/>
          <w:b/>
          <w:caps/>
        </w:rPr>
        <w:t xml:space="preserve"> ahmed elbaghdady</w:t>
      </w:r>
    </w:p>
    <w:p w14:paraId="5E42C06D" w14:textId="77777777" w:rsidR="008508AD" w:rsidRPr="00C515F0" w:rsidRDefault="008508AD" w:rsidP="008508AD">
      <w:pPr>
        <w:jc w:val="center"/>
        <w:rPr>
          <w:rFonts w:ascii="Book Antiqua" w:hAnsi="Book Antiqua" w:cs="Arial"/>
          <w:caps/>
        </w:rPr>
      </w:pPr>
      <w:r w:rsidRPr="00C515F0">
        <w:rPr>
          <w:rFonts w:ascii="Book Antiqua" w:hAnsi="Book Antiqua" w:cs="Arial"/>
          <w:caps/>
        </w:rPr>
        <w:t xml:space="preserve">(ANONYMITY DIRECTION </w:t>
      </w:r>
      <w:r w:rsidR="009B3493" w:rsidRPr="00C515F0">
        <w:rPr>
          <w:rFonts w:ascii="Book Antiqua" w:hAnsi="Book Antiqua" w:cs="Arial"/>
          <w:caps/>
        </w:rPr>
        <w:t>not made</w:t>
      </w:r>
      <w:r w:rsidRPr="00C515F0">
        <w:rPr>
          <w:rFonts w:ascii="Book Antiqua" w:hAnsi="Book Antiqua" w:cs="Arial"/>
          <w:caps/>
        </w:rPr>
        <w:t>)</w:t>
      </w:r>
    </w:p>
    <w:p w14:paraId="53B7EEE9"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5255451F" w14:textId="77777777" w:rsidR="006D1DFA" w:rsidRPr="00F5664C" w:rsidRDefault="006D1DFA" w:rsidP="00704B61">
      <w:pPr>
        <w:jc w:val="center"/>
        <w:rPr>
          <w:rFonts w:ascii="Book Antiqua" w:hAnsi="Book Antiqua" w:cs="Arial"/>
          <w:b/>
        </w:rPr>
      </w:pPr>
    </w:p>
    <w:p w14:paraId="2C49A65B"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207FC0B6" w14:textId="595B6189" w:rsidR="00DD5071" w:rsidRDefault="00DD5071" w:rsidP="00704B61">
      <w:pPr>
        <w:jc w:val="center"/>
        <w:rPr>
          <w:rFonts w:ascii="Book Antiqua" w:hAnsi="Book Antiqua" w:cs="Arial"/>
          <w:b/>
        </w:rPr>
      </w:pPr>
    </w:p>
    <w:p w14:paraId="21B9AAD3" w14:textId="5725809F" w:rsidR="00C515F0" w:rsidRPr="00F5664C" w:rsidRDefault="00C515F0" w:rsidP="00704B61">
      <w:pPr>
        <w:jc w:val="center"/>
        <w:rPr>
          <w:rFonts w:ascii="Book Antiqua" w:hAnsi="Book Antiqua" w:cs="Arial"/>
          <w:b/>
        </w:rPr>
      </w:pPr>
      <w:r>
        <w:rPr>
          <w:rFonts w:ascii="Book Antiqua" w:hAnsi="Book Antiqua" w:cs="Arial"/>
          <w:b/>
        </w:rPr>
        <w:t>THE SECRETARY OF STATE FOR THE HOME DEPARTMENT</w:t>
      </w:r>
    </w:p>
    <w:p w14:paraId="12374685"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6D991449" w14:textId="77777777" w:rsidR="00DD5071" w:rsidRPr="00F5664C" w:rsidRDefault="00DD5071" w:rsidP="00DD5071">
      <w:pPr>
        <w:rPr>
          <w:rFonts w:ascii="Book Antiqua" w:hAnsi="Book Antiqua" w:cs="Arial"/>
          <w:u w:val="single"/>
        </w:rPr>
      </w:pPr>
    </w:p>
    <w:p w14:paraId="7BA0A3D9"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5CBAAE79" w14:textId="77777777" w:rsidR="00DE7DB7" w:rsidRPr="00F5664C" w:rsidRDefault="00DE7DB7" w:rsidP="00DD5071">
      <w:pPr>
        <w:rPr>
          <w:rFonts w:ascii="Book Antiqua" w:hAnsi="Book Antiqua" w:cs="Arial"/>
        </w:rPr>
      </w:pPr>
    </w:p>
    <w:p w14:paraId="00C42E81"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A</w:t>
      </w:r>
      <w:r w:rsidRPr="00F5664C">
        <w:rPr>
          <w:rFonts w:ascii="Book Antiqua" w:hAnsi="Book Antiqua" w:cs="Arial"/>
        </w:rPr>
        <w:t>ppellant:</w:t>
      </w:r>
      <w:r w:rsidRPr="00F5664C">
        <w:rPr>
          <w:rFonts w:ascii="Book Antiqua" w:hAnsi="Book Antiqua" w:cs="Arial"/>
        </w:rPr>
        <w:tab/>
      </w:r>
      <w:r w:rsidR="00F3588A">
        <w:rPr>
          <w:rFonts w:ascii="Book Antiqua" w:hAnsi="Book Antiqua" w:cs="Arial"/>
        </w:rPr>
        <w:t>Not present or represented</w:t>
      </w:r>
    </w:p>
    <w:p w14:paraId="0138B67A"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F3588A">
        <w:rPr>
          <w:rFonts w:ascii="Book Antiqua" w:hAnsi="Book Antiqua" w:cs="Arial"/>
        </w:rPr>
        <w:t>Ms O’Brien, Senior Home Office Presenting Officer</w:t>
      </w:r>
    </w:p>
    <w:p w14:paraId="77BD0EDB" w14:textId="77777777" w:rsidR="00DE7DB7" w:rsidRPr="00F5664C" w:rsidRDefault="00DE7DB7" w:rsidP="00402B9E">
      <w:pPr>
        <w:tabs>
          <w:tab w:val="left" w:pos="2520"/>
        </w:tabs>
        <w:jc w:val="center"/>
        <w:rPr>
          <w:rFonts w:ascii="Book Antiqua" w:hAnsi="Book Antiqua" w:cs="Arial"/>
        </w:rPr>
      </w:pPr>
    </w:p>
    <w:p w14:paraId="2AEFD72A" w14:textId="77777777" w:rsidR="00DE7DB7" w:rsidRPr="00F5664C" w:rsidRDefault="00DE7DB7" w:rsidP="00402B9E">
      <w:pPr>
        <w:tabs>
          <w:tab w:val="left" w:pos="2520"/>
        </w:tabs>
        <w:jc w:val="center"/>
        <w:rPr>
          <w:rFonts w:ascii="Book Antiqua" w:hAnsi="Book Antiqua" w:cs="Arial"/>
        </w:rPr>
      </w:pPr>
    </w:p>
    <w:p w14:paraId="4E1E2B44" w14:textId="77777777" w:rsidR="00DE7DB7" w:rsidRPr="00F5664C" w:rsidRDefault="008508A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766EB4B4" w14:textId="77777777" w:rsidR="00B626FA" w:rsidRPr="00F5664C" w:rsidRDefault="00B626FA" w:rsidP="00402B9E">
      <w:pPr>
        <w:tabs>
          <w:tab w:val="left" w:pos="2520"/>
        </w:tabs>
        <w:jc w:val="both"/>
        <w:rPr>
          <w:rFonts w:ascii="Book Antiqua" w:hAnsi="Book Antiqua" w:cs="Arial"/>
        </w:rPr>
      </w:pPr>
    </w:p>
    <w:p w14:paraId="101757E7" w14:textId="77777777" w:rsidR="000F76DE" w:rsidRDefault="00F3588A" w:rsidP="000F76DE">
      <w:pPr>
        <w:numPr>
          <w:ilvl w:val="0"/>
          <w:numId w:val="3"/>
        </w:numPr>
        <w:spacing w:before="240"/>
        <w:jc w:val="both"/>
        <w:rPr>
          <w:rFonts w:ascii="Book Antiqua" w:hAnsi="Book Antiqua" w:cs="Arial"/>
        </w:rPr>
      </w:pPr>
      <w:r>
        <w:rPr>
          <w:rFonts w:ascii="Book Antiqua" w:hAnsi="Book Antiqua" w:cs="Arial"/>
        </w:rPr>
        <w:t>The appellant, Ahmed Elbaghdady, was born on 26 October 1985 and is a male citizen of Egypt.  He appealed against a decision</w:t>
      </w:r>
      <w:r w:rsidR="00EF6C7F">
        <w:rPr>
          <w:rFonts w:ascii="Book Antiqua" w:hAnsi="Book Antiqua" w:cs="Arial"/>
        </w:rPr>
        <w:t xml:space="preserve"> dated 17 February 2017</w:t>
      </w:r>
      <w:r>
        <w:rPr>
          <w:rFonts w:ascii="Book Antiqua" w:hAnsi="Book Antiqua" w:cs="Arial"/>
        </w:rPr>
        <w:t xml:space="preserve"> to refuse to issue him with a residence card as confirmation of his right of residence under European Community Law and European Communities.  The appellant appealed to the First-tier Tribunal (Judge Doyle) which, in a decision promulgated on 3 October 2017, dismissed the appeal.  The appellant now appeals, with permission, to the Upper Tribunal.</w:t>
      </w:r>
    </w:p>
    <w:p w14:paraId="6A93EBCB" w14:textId="77777777" w:rsidR="00F3588A" w:rsidRDefault="00F3588A" w:rsidP="000F76DE">
      <w:pPr>
        <w:numPr>
          <w:ilvl w:val="0"/>
          <w:numId w:val="3"/>
        </w:numPr>
        <w:spacing w:before="240"/>
        <w:jc w:val="both"/>
        <w:rPr>
          <w:rFonts w:ascii="Book Antiqua" w:hAnsi="Book Antiqua" w:cs="Arial"/>
        </w:rPr>
      </w:pPr>
      <w:r>
        <w:rPr>
          <w:rFonts w:ascii="Book Antiqua" w:hAnsi="Book Antiqua" w:cs="Arial"/>
        </w:rPr>
        <w:lastRenderedPageBreak/>
        <w:t>At the outset of the hearing, I was addressed by Mr Hollywood of And</w:t>
      </w:r>
      <w:bookmarkStart w:id="0" w:name="_GoBack"/>
      <w:bookmarkEnd w:id="0"/>
      <w:r>
        <w:rPr>
          <w:rFonts w:ascii="Book Antiqua" w:hAnsi="Book Antiqua" w:cs="Arial"/>
        </w:rPr>
        <w:t xml:space="preserve">rew Russell &amp; Co Solicitors.  Mr Hollywood sought to terminate his firm’s retainer with the appellant.  The appellant had been returned to Egypt from the United Kingdom on 2 June 2017.  For </w:t>
      </w:r>
      <w:proofErr w:type="gramStart"/>
      <w:r>
        <w:rPr>
          <w:rFonts w:ascii="Book Antiqua" w:hAnsi="Book Antiqua" w:cs="Arial"/>
        </w:rPr>
        <w:t>a period of time</w:t>
      </w:r>
      <w:proofErr w:type="gramEnd"/>
      <w:r>
        <w:rPr>
          <w:rFonts w:ascii="Book Antiqua" w:hAnsi="Book Antiqua" w:cs="Arial"/>
        </w:rPr>
        <w:t xml:space="preserve"> Russell &amp; Co had maintained contact with the appellant via email but there no instructions</w:t>
      </w:r>
      <w:r w:rsidR="00EF6C7F">
        <w:rPr>
          <w:rFonts w:ascii="Book Antiqua" w:hAnsi="Book Antiqua" w:cs="Arial"/>
        </w:rPr>
        <w:t xml:space="preserve"> at all had been forthcoming in recent months</w:t>
      </w:r>
      <w:r>
        <w:rPr>
          <w:rFonts w:ascii="Book Antiqua" w:hAnsi="Book Antiqua" w:cs="Arial"/>
        </w:rPr>
        <w:t xml:space="preserve">.  In the circumstances, and notwithstanding that the appellant has given no notice that he is no longer represented (see Tribunal Procedure (Upper Tribunal) Rules 2008, paragraph 10(b)) I gave permission for Andrew Russell &amp; Co to withdraw as representatives for the appellant before the Upper Tribunal. </w:t>
      </w:r>
    </w:p>
    <w:p w14:paraId="47C9B166" w14:textId="77777777" w:rsidR="00F3588A" w:rsidRDefault="00F3588A" w:rsidP="000F76DE">
      <w:pPr>
        <w:numPr>
          <w:ilvl w:val="0"/>
          <w:numId w:val="3"/>
        </w:numPr>
        <w:spacing w:before="240"/>
        <w:jc w:val="both"/>
        <w:rPr>
          <w:rFonts w:ascii="Book Antiqua" w:hAnsi="Book Antiqua" w:cs="Arial"/>
        </w:rPr>
      </w:pPr>
      <w:r>
        <w:rPr>
          <w:rFonts w:ascii="Book Antiqua" w:hAnsi="Book Antiqua" w:cs="Arial"/>
        </w:rPr>
        <w:t xml:space="preserve">The </w:t>
      </w:r>
      <w:r w:rsidR="00582A37">
        <w:rPr>
          <w:rFonts w:ascii="Book Antiqua" w:hAnsi="Book Antiqua" w:cs="Arial"/>
        </w:rPr>
        <w:t>notice of hearing was served on the appellant’s last known address in Egypt as long ago as 26 February 2018.  I have no reason to suppose that the notice of hearing has failed to reach the appellant.  In the circumstances, I proceeded to determine the appeal in the absence of the appellant.</w:t>
      </w:r>
    </w:p>
    <w:p w14:paraId="1FA76A0D" w14:textId="77777777" w:rsidR="00582A37" w:rsidRDefault="00582A37" w:rsidP="000F76DE">
      <w:pPr>
        <w:numPr>
          <w:ilvl w:val="0"/>
          <w:numId w:val="3"/>
        </w:numPr>
        <w:spacing w:before="240"/>
        <w:jc w:val="both"/>
        <w:rPr>
          <w:rFonts w:ascii="Book Antiqua" w:hAnsi="Book Antiqua" w:cs="Arial"/>
        </w:rPr>
      </w:pPr>
      <w:r>
        <w:rPr>
          <w:rFonts w:ascii="Book Antiqua" w:hAnsi="Book Antiqua" w:cs="Arial"/>
        </w:rPr>
        <w:t>Ms O’Brien, who appeared for the Secretary of State, told me that she intended to rely upon the Rule 24 notice dated 15 November 2017 which had been submitted by the respondent.</w:t>
      </w:r>
    </w:p>
    <w:p w14:paraId="749C3FF3" w14:textId="77777777" w:rsidR="00582A37" w:rsidRDefault="00582A37" w:rsidP="000F76DE">
      <w:pPr>
        <w:numPr>
          <w:ilvl w:val="0"/>
          <w:numId w:val="3"/>
        </w:numPr>
        <w:spacing w:before="240"/>
        <w:jc w:val="both"/>
        <w:rPr>
          <w:rFonts w:ascii="Book Antiqua" w:hAnsi="Book Antiqua" w:cs="Arial"/>
        </w:rPr>
      </w:pPr>
      <w:r>
        <w:rPr>
          <w:rFonts w:ascii="Book Antiqua" w:hAnsi="Book Antiqua" w:cs="Arial"/>
        </w:rPr>
        <w:t>Judge Doyle concluded that the appellant and the EEA national had entered a marriage of convenience [11(n)].  He applied the relevant jurisprudence (</w:t>
      </w:r>
      <w:r w:rsidRPr="0062458B">
        <w:rPr>
          <w:rFonts w:ascii="Book Antiqua" w:hAnsi="Book Antiqua" w:cs="Arial"/>
          <w:i/>
        </w:rPr>
        <w:t>Rosa</w:t>
      </w:r>
      <w:r>
        <w:rPr>
          <w:rFonts w:ascii="Book Antiqua" w:hAnsi="Book Antiqua" w:cs="Arial"/>
        </w:rPr>
        <w:t xml:space="preserve"> [2016] EWCA Civ 14).  In essence, he did not believe the evidence adduced in the appeal by the appellant or by the witness, Ms Derezinska.</w:t>
      </w:r>
    </w:p>
    <w:p w14:paraId="294E3534" w14:textId="77777777" w:rsidR="00582A37" w:rsidRDefault="00582A37" w:rsidP="000F76DE">
      <w:pPr>
        <w:numPr>
          <w:ilvl w:val="0"/>
          <w:numId w:val="3"/>
        </w:numPr>
        <w:spacing w:before="240"/>
        <w:jc w:val="both"/>
        <w:rPr>
          <w:rFonts w:ascii="Book Antiqua" w:hAnsi="Book Antiqua" w:cs="Arial"/>
        </w:rPr>
      </w:pPr>
      <w:r>
        <w:rPr>
          <w:rFonts w:ascii="Book Antiqua" w:hAnsi="Book Antiqua" w:cs="Arial"/>
        </w:rPr>
        <w:t xml:space="preserve">For the most part, the grounds of appeal are little more than a series of disagreements with findings available to the judge on the evidence.  The appellant complains that the judge gave insufficient weight to the fact that the parties had been living together when the appellant had been arrested in February 2017.  Likewise, the judge had placed little weight on documentary evidence of “instantaneous messaging between the parties” and had, conversely, placed too much weight on the failure of the parties to make any “attempt to meet.”  However, the judge </w:t>
      </w:r>
      <w:r w:rsidR="00150E30">
        <w:rPr>
          <w:rFonts w:ascii="Book Antiqua" w:hAnsi="Book Antiqua" w:cs="Arial"/>
        </w:rPr>
        <w:t>h</w:t>
      </w:r>
      <w:r w:rsidR="00B2430E">
        <w:rPr>
          <w:rFonts w:ascii="Book Antiqua" w:hAnsi="Book Antiqua" w:cs="Arial"/>
        </w:rPr>
        <w:t>as given extensive reasons as part of</w:t>
      </w:r>
      <w:r>
        <w:rPr>
          <w:rFonts w:ascii="Book Antiqua" w:hAnsi="Book Antiqua" w:cs="Arial"/>
        </w:rPr>
        <w:t xml:space="preserve"> a careful and thorough decision to support the findings with which the appellant now disagrees.  Those findings are not perverse on the evidence nor is there any suggestion that the judge has omitted to consider relevant evidence or that he has considered irrelevant evidence.</w:t>
      </w:r>
    </w:p>
    <w:p w14:paraId="385BE355" w14:textId="77777777" w:rsidR="00582A37" w:rsidRDefault="00582A37" w:rsidP="000F76DE">
      <w:pPr>
        <w:numPr>
          <w:ilvl w:val="0"/>
          <w:numId w:val="3"/>
        </w:numPr>
        <w:spacing w:before="240"/>
        <w:jc w:val="both"/>
        <w:rPr>
          <w:rFonts w:ascii="Book Antiqua" w:hAnsi="Book Antiqua" w:cs="Arial"/>
        </w:rPr>
      </w:pPr>
      <w:r>
        <w:rPr>
          <w:rFonts w:ascii="Book Antiqua" w:hAnsi="Book Antiqua" w:cs="Arial"/>
        </w:rPr>
        <w:t xml:space="preserve">The grounds also challenge the decision on the basis </w:t>
      </w:r>
      <w:r w:rsidR="00150E30">
        <w:rPr>
          <w:rFonts w:ascii="Book Antiqua" w:hAnsi="Book Antiqua" w:cs="Arial"/>
        </w:rPr>
        <w:t>that</w:t>
      </w:r>
      <w:r>
        <w:rPr>
          <w:rFonts w:ascii="Book Antiqua" w:hAnsi="Book Antiqua" w:cs="Arial"/>
        </w:rPr>
        <w:t xml:space="preserve"> the judge applied the wrong test for determining whether the marriage is one of convenience.  At [11(m)] the judge had written:</w:t>
      </w:r>
    </w:p>
    <w:p w14:paraId="382D0CBF" w14:textId="77777777" w:rsidR="00150E30" w:rsidRDefault="00150E30" w:rsidP="0062458B">
      <w:pPr>
        <w:spacing w:before="240"/>
        <w:ind w:left="1134"/>
        <w:jc w:val="both"/>
        <w:rPr>
          <w:rFonts w:ascii="Book Antiqua" w:hAnsi="Book Antiqua" w:cs="Arial"/>
        </w:rPr>
      </w:pPr>
    </w:p>
    <w:p w14:paraId="334EBF33" w14:textId="77777777" w:rsidR="00582A37" w:rsidRPr="00150E30" w:rsidRDefault="0062458B" w:rsidP="0062458B">
      <w:pPr>
        <w:spacing w:before="240"/>
        <w:ind w:left="1134"/>
        <w:jc w:val="both"/>
        <w:rPr>
          <w:rFonts w:ascii="Book Antiqua" w:hAnsi="Book Antiqua" w:cs="Arial"/>
          <w:sz w:val="22"/>
          <w:szCs w:val="22"/>
        </w:rPr>
      </w:pPr>
      <w:r w:rsidRPr="00150E30">
        <w:rPr>
          <w:rFonts w:ascii="Book Antiqua" w:hAnsi="Book Antiqua" w:cs="Arial"/>
          <w:sz w:val="22"/>
          <w:szCs w:val="22"/>
        </w:rPr>
        <w:t>When I consider each strand of evidence I find that the respondent establishes that the appellant entered into the marriage solely to obtain an advantage under the Immigration (EEA) Regulations.  Distressing as this may be for the EEA national, I find that the appellant entered marriage predominantly in the hope of obtaining a residence card.  I find the marriage is a marriage of convenience.</w:t>
      </w:r>
    </w:p>
    <w:p w14:paraId="6F09C9C3" w14:textId="77777777" w:rsidR="0062458B" w:rsidRPr="0062458B" w:rsidRDefault="0062458B" w:rsidP="000F76DE">
      <w:pPr>
        <w:numPr>
          <w:ilvl w:val="0"/>
          <w:numId w:val="3"/>
        </w:numPr>
        <w:spacing w:before="240"/>
        <w:jc w:val="both"/>
        <w:rPr>
          <w:rFonts w:ascii="Book Antiqua" w:hAnsi="Book Antiqua" w:cs="Arial"/>
          <w:b/>
          <w:u w:val="single"/>
        </w:rPr>
      </w:pPr>
      <w:r w:rsidRPr="0062458B">
        <w:rPr>
          <w:rFonts w:ascii="Book Antiqua" w:hAnsi="Book Antiqua" w:cs="Arial"/>
        </w:rPr>
        <w:lastRenderedPageBreak/>
        <w:t xml:space="preserve">In </w:t>
      </w:r>
      <w:r w:rsidRPr="0062458B">
        <w:rPr>
          <w:rFonts w:ascii="Book Antiqua" w:hAnsi="Book Antiqua" w:cs="Arial"/>
          <w:i/>
        </w:rPr>
        <w:t>Rosa</w:t>
      </w:r>
      <w:r w:rsidRPr="0062458B">
        <w:rPr>
          <w:rFonts w:ascii="Book Antiqua" w:hAnsi="Book Antiqua" w:cs="Arial"/>
        </w:rPr>
        <w:t xml:space="preserve"> (see above) the Court of Appeal had held that the “sole aim” of a marriage of convenience would be to circumvent the Rules for entry and reside</w:t>
      </w:r>
      <w:r w:rsidR="00B2430E">
        <w:rPr>
          <w:rFonts w:ascii="Book Antiqua" w:hAnsi="Book Antiqua" w:cs="Arial"/>
        </w:rPr>
        <w:t xml:space="preserve">nce to a </w:t>
      </w:r>
      <w:proofErr w:type="gramStart"/>
      <w:r w:rsidR="00B2430E">
        <w:rPr>
          <w:rFonts w:ascii="Book Antiqua" w:hAnsi="Book Antiqua" w:cs="Arial"/>
        </w:rPr>
        <w:t>particular country</w:t>
      </w:r>
      <w:proofErr w:type="gramEnd"/>
      <w:r w:rsidR="00B2430E">
        <w:rPr>
          <w:rFonts w:ascii="Book Antiqua" w:hAnsi="Book Antiqua" w:cs="Arial"/>
        </w:rPr>
        <w:t>.  The grounds argue that, by</w:t>
      </w:r>
      <w:r w:rsidRPr="0062458B">
        <w:rPr>
          <w:rFonts w:ascii="Book Antiqua" w:hAnsi="Book Antiqua" w:cs="Arial"/>
        </w:rPr>
        <w:t xml:space="preserve"> finding that the marriage had been entered into “predominantly” with a view to </w:t>
      </w:r>
      <w:r w:rsidR="00B2430E">
        <w:rPr>
          <w:rFonts w:ascii="Book Antiqua" w:hAnsi="Book Antiqua" w:cs="Arial"/>
        </w:rPr>
        <w:t xml:space="preserve">obtaining a residence card, the facts as found by the judge did </w:t>
      </w:r>
      <w:r w:rsidRPr="0062458B">
        <w:rPr>
          <w:rFonts w:ascii="Book Antiqua" w:hAnsi="Book Antiqua" w:cs="Arial"/>
        </w:rPr>
        <w:t xml:space="preserve">not satisfy that “sole aim” test.  I reject that submission.  In the same paragraph (see above) the judge has made a clear finding that the appellant had </w:t>
      </w:r>
      <w:proofErr w:type="gramStart"/>
      <w:r w:rsidRPr="0062458B">
        <w:rPr>
          <w:rFonts w:ascii="Book Antiqua" w:hAnsi="Book Antiqua" w:cs="Arial"/>
        </w:rPr>
        <w:t>entered into</w:t>
      </w:r>
      <w:proofErr w:type="gramEnd"/>
      <w:r w:rsidRPr="0062458B">
        <w:rPr>
          <w:rFonts w:ascii="Book Antiqua" w:hAnsi="Book Antiqua" w:cs="Arial"/>
        </w:rPr>
        <w:t xml:space="preserve"> the marriage </w:t>
      </w:r>
      <w:r w:rsidR="00B2430E">
        <w:rPr>
          <w:rFonts w:ascii="Book Antiqua" w:hAnsi="Book Antiqua" w:cs="Arial"/>
        </w:rPr>
        <w:t>“</w:t>
      </w:r>
      <w:r w:rsidRPr="0062458B">
        <w:rPr>
          <w:rFonts w:ascii="Book Antiqua" w:hAnsi="Book Antiqua" w:cs="Arial"/>
        </w:rPr>
        <w:t>solely to obtain an advantage under the Immig</w:t>
      </w:r>
      <w:r w:rsidR="00B2430E">
        <w:rPr>
          <w:rFonts w:ascii="Book Antiqua" w:hAnsi="Book Antiqua" w:cs="Arial"/>
        </w:rPr>
        <w:t>ration Regulations.”  I find it likely that he has</w:t>
      </w:r>
      <w:r w:rsidRPr="0062458B">
        <w:rPr>
          <w:rFonts w:ascii="Book Antiqua" w:hAnsi="Book Antiqua" w:cs="Arial"/>
        </w:rPr>
        <w:t xml:space="preserve"> subsequent</w:t>
      </w:r>
      <w:r w:rsidR="00B2430E">
        <w:rPr>
          <w:rFonts w:ascii="Book Antiqua" w:hAnsi="Book Antiqua" w:cs="Arial"/>
        </w:rPr>
        <w:t>ly</w:t>
      </w:r>
      <w:r w:rsidRPr="0062458B">
        <w:rPr>
          <w:rFonts w:ascii="Book Antiqua" w:hAnsi="Book Antiqua" w:cs="Arial"/>
        </w:rPr>
        <w:t xml:space="preserve"> use</w:t>
      </w:r>
      <w:r w:rsidR="00B2430E">
        <w:rPr>
          <w:rFonts w:ascii="Book Antiqua" w:hAnsi="Book Antiqua" w:cs="Arial"/>
        </w:rPr>
        <w:t>d</w:t>
      </w:r>
      <w:r w:rsidRPr="0062458B">
        <w:rPr>
          <w:rFonts w:ascii="Book Antiqua" w:hAnsi="Book Antiqua" w:cs="Arial"/>
        </w:rPr>
        <w:t xml:space="preserve"> the adverb “predominantly” out of a desire not unduly to distress the EEA national “spouse.”  The use of the adverb may be infelicitous but nothing whatever turns upon it.</w:t>
      </w:r>
    </w:p>
    <w:p w14:paraId="658E2D8E" w14:textId="77777777" w:rsidR="0062458B" w:rsidRPr="0062458B" w:rsidRDefault="008508AD" w:rsidP="0062458B">
      <w:pPr>
        <w:spacing w:before="240"/>
        <w:jc w:val="both"/>
        <w:rPr>
          <w:rFonts w:ascii="Book Antiqua" w:hAnsi="Book Antiqua" w:cs="Arial"/>
        </w:rPr>
      </w:pPr>
      <w:r w:rsidRPr="0062458B">
        <w:rPr>
          <w:rFonts w:ascii="Book Antiqua" w:hAnsi="Book Antiqua" w:cs="Arial"/>
          <w:b/>
          <w:u w:val="single"/>
        </w:rPr>
        <w:t>Notice of Decision</w:t>
      </w:r>
    </w:p>
    <w:p w14:paraId="1A769A32" w14:textId="77777777" w:rsidR="0062458B" w:rsidRDefault="008508AD" w:rsidP="008508AD">
      <w:pPr>
        <w:numPr>
          <w:ilvl w:val="0"/>
          <w:numId w:val="3"/>
        </w:numPr>
        <w:spacing w:before="240"/>
        <w:jc w:val="both"/>
        <w:rPr>
          <w:rFonts w:ascii="Book Antiqua" w:hAnsi="Book Antiqua" w:cs="Arial"/>
        </w:rPr>
      </w:pPr>
      <w:r w:rsidRPr="0062458B">
        <w:rPr>
          <w:rFonts w:ascii="Book Antiqua" w:hAnsi="Book Antiqua" w:cs="Arial"/>
        </w:rPr>
        <w:t>Th</w:t>
      </w:r>
      <w:r w:rsidR="0062458B" w:rsidRPr="0062458B">
        <w:rPr>
          <w:rFonts w:ascii="Book Antiqua" w:hAnsi="Book Antiqua" w:cs="Arial"/>
        </w:rPr>
        <w:t>is</w:t>
      </w:r>
      <w:r w:rsidRPr="0062458B">
        <w:rPr>
          <w:rFonts w:ascii="Book Antiqua" w:hAnsi="Book Antiqua" w:cs="Arial"/>
        </w:rPr>
        <w:t xml:space="preserve"> appeal is </w:t>
      </w:r>
      <w:r w:rsidR="0062458B" w:rsidRPr="0062458B">
        <w:rPr>
          <w:rFonts w:ascii="Book Antiqua" w:hAnsi="Book Antiqua" w:cs="Arial"/>
        </w:rPr>
        <w:t>dismissed.</w:t>
      </w:r>
    </w:p>
    <w:p w14:paraId="5306426F" w14:textId="77777777" w:rsidR="008508AD" w:rsidRPr="0062458B" w:rsidRDefault="008508AD" w:rsidP="008508AD">
      <w:pPr>
        <w:numPr>
          <w:ilvl w:val="0"/>
          <w:numId w:val="3"/>
        </w:numPr>
        <w:spacing w:before="240"/>
        <w:jc w:val="both"/>
        <w:rPr>
          <w:rFonts w:ascii="Book Antiqua" w:hAnsi="Book Antiqua" w:cs="Arial"/>
        </w:rPr>
      </w:pPr>
      <w:r w:rsidRPr="0062458B">
        <w:rPr>
          <w:rFonts w:ascii="Book Antiqua" w:hAnsi="Book Antiqua" w:cs="Arial"/>
        </w:rPr>
        <w:t>No anonymity direction is made.</w:t>
      </w:r>
    </w:p>
    <w:p w14:paraId="322F8719" w14:textId="77777777" w:rsidR="00842418" w:rsidRPr="00F5664C" w:rsidRDefault="00842418" w:rsidP="000369F5">
      <w:pPr>
        <w:tabs>
          <w:tab w:val="left" w:pos="2520"/>
        </w:tabs>
        <w:jc w:val="both"/>
        <w:rPr>
          <w:rFonts w:ascii="Book Antiqua" w:hAnsi="Book Antiqua" w:cs="Arial"/>
        </w:rPr>
      </w:pPr>
    </w:p>
    <w:p w14:paraId="645E9DB3" w14:textId="77777777" w:rsidR="000369F5" w:rsidRPr="00F5664C" w:rsidRDefault="000369F5" w:rsidP="000369F5">
      <w:pPr>
        <w:tabs>
          <w:tab w:val="left" w:pos="2520"/>
        </w:tabs>
        <w:jc w:val="both"/>
        <w:rPr>
          <w:rFonts w:ascii="Book Antiqua" w:hAnsi="Book Antiqua" w:cs="Arial"/>
        </w:rPr>
      </w:pPr>
    </w:p>
    <w:p w14:paraId="1CD4D125" w14:textId="77777777" w:rsidR="000369F5" w:rsidRPr="00F5664C" w:rsidRDefault="000369F5" w:rsidP="000369F5">
      <w:pPr>
        <w:tabs>
          <w:tab w:val="left" w:pos="2520"/>
        </w:tabs>
        <w:jc w:val="both"/>
        <w:rPr>
          <w:rFonts w:ascii="Book Antiqua" w:hAnsi="Book Antiqua" w:cs="Arial"/>
        </w:rPr>
      </w:pPr>
    </w:p>
    <w:p w14:paraId="2B68283F" w14:textId="77777777" w:rsidR="000369F5" w:rsidRPr="00F5664C" w:rsidRDefault="000369F5" w:rsidP="000369F5">
      <w:pPr>
        <w:tabs>
          <w:tab w:val="left" w:pos="2520"/>
        </w:tabs>
        <w:jc w:val="both"/>
        <w:rPr>
          <w:rFonts w:ascii="Book Antiqua" w:hAnsi="Book Antiqua" w:cs="Arial"/>
        </w:rPr>
      </w:pPr>
    </w:p>
    <w:p w14:paraId="55DCCE61" w14:textId="77777777" w:rsidR="000369F5" w:rsidRDefault="000369F5" w:rsidP="000369F5">
      <w:pPr>
        <w:tabs>
          <w:tab w:val="left" w:pos="2520"/>
        </w:tabs>
        <w:jc w:val="both"/>
        <w:rPr>
          <w:rFonts w:ascii="Book Antiqua" w:hAnsi="Book Antiqua" w:cs="Arial"/>
        </w:rPr>
      </w:pPr>
    </w:p>
    <w:p w14:paraId="12E642BF" w14:textId="77777777" w:rsidR="008508AD" w:rsidRPr="00F5664C" w:rsidRDefault="008508AD" w:rsidP="000369F5">
      <w:pPr>
        <w:tabs>
          <w:tab w:val="left" w:pos="2520"/>
        </w:tabs>
        <w:jc w:val="both"/>
        <w:rPr>
          <w:rFonts w:ascii="Book Antiqua" w:hAnsi="Book Antiqua" w:cs="Arial"/>
        </w:rPr>
      </w:pPr>
    </w:p>
    <w:p w14:paraId="269B5542" w14:textId="77777777" w:rsidR="001F2716"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70775">
        <w:rPr>
          <w:rFonts w:ascii="Book Antiqua" w:hAnsi="Book Antiqua" w:cs="Arial"/>
        </w:rPr>
        <w:t xml:space="preserve"> </w:t>
      </w:r>
      <w:r w:rsidR="00B2430E">
        <w:rPr>
          <w:rFonts w:ascii="Book Antiqua" w:hAnsi="Book Antiqua" w:cs="Arial"/>
        </w:rPr>
        <w:t>1 JUNE 2018</w:t>
      </w:r>
    </w:p>
    <w:p w14:paraId="30227D79" w14:textId="77777777" w:rsidR="00F60D99" w:rsidRPr="00F5664C" w:rsidRDefault="00F60D99" w:rsidP="000369F5">
      <w:pPr>
        <w:tabs>
          <w:tab w:val="left" w:pos="2520"/>
        </w:tabs>
        <w:jc w:val="both"/>
        <w:rPr>
          <w:rFonts w:ascii="Book Antiqua" w:hAnsi="Book Antiqua" w:cs="Arial"/>
        </w:rPr>
      </w:pPr>
    </w:p>
    <w:p w14:paraId="36346326" w14:textId="77777777" w:rsidR="001F2716" w:rsidRPr="00F5664C" w:rsidRDefault="001F2716" w:rsidP="000369F5">
      <w:pPr>
        <w:tabs>
          <w:tab w:val="left" w:pos="2520"/>
        </w:tabs>
        <w:jc w:val="both"/>
        <w:rPr>
          <w:rFonts w:ascii="Book Antiqua" w:hAnsi="Book Antiqua" w:cs="Arial"/>
        </w:rPr>
      </w:pPr>
    </w:p>
    <w:p w14:paraId="12CC7AA1" w14:textId="77777777" w:rsidR="008508AD" w:rsidRDefault="00155BA9" w:rsidP="000369F5">
      <w:pPr>
        <w:tabs>
          <w:tab w:val="left" w:pos="2520"/>
        </w:tabs>
        <w:jc w:val="both"/>
        <w:rPr>
          <w:rFonts w:ascii="Book Antiqua" w:hAnsi="Book Antiqua" w:cs="Arial"/>
        </w:rPr>
      </w:pPr>
      <w:smartTag w:uri="urn:schemas-microsoft-com:office:smarttags" w:element="Street">
        <w:smartTag w:uri="urn:schemas-microsoft-com:office:smarttags" w:element="address">
          <w:r>
            <w:rPr>
              <w:rFonts w:ascii="Book Antiqua" w:hAnsi="Book Antiqua" w:cs="Arial"/>
            </w:rPr>
            <w:t>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8639DC">
            <w:rPr>
              <w:rFonts w:ascii="Book Antiqua" w:hAnsi="Book Antiqua" w:cs="Arial"/>
            </w:rPr>
            <w:t>Lane</w:t>
          </w:r>
        </w:smartTag>
      </w:smartTag>
    </w:p>
    <w:p w14:paraId="49893373" w14:textId="77777777" w:rsidR="008508AD" w:rsidRDefault="008508AD" w:rsidP="000369F5">
      <w:pPr>
        <w:tabs>
          <w:tab w:val="left" w:pos="2520"/>
        </w:tabs>
        <w:jc w:val="both"/>
        <w:rPr>
          <w:rFonts w:ascii="Book Antiqua" w:hAnsi="Book Antiqua" w:cs="Arial"/>
        </w:rPr>
      </w:pPr>
    </w:p>
    <w:p w14:paraId="2F87AF20" w14:textId="77777777" w:rsidR="008508AD" w:rsidRDefault="008508AD" w:rsidP="000369F5">
      <w:pPr>
        <w:tabs>
          <w:tab w:val="left" w:pos="2520"/>
        </w:tabs>
        <w:jc w:val="both"/>
        <w:rPr>
          <w:rFonts w:ascii="Book Antiqua" w:hAnsi="Book Antiqua" w:cs="Arial"/>
        </w:rPr>
      </w:pPr>
    </w:p>
    <w:p w14:paraId="03562B21" w14:textId="77777777" w:rsidR="008508AD" w:rsidRPr="008508AD" w:rsidRDefault="008508AD" w:rsidP="008508AD">
      <w:pPr>
        <w:jc w:val="both"/>
        <w:rPr>
          <w:rFonts w:ascii="Book Antiqua" w:hAnsi="Book Antiqua" w:cs="Arial"/>
          <w:b/>
          <w:u w:val="single"/>
        </w:rPr>
      </w:pPr>
      <w:r w:rsidRPr="008508AD">
        <w:rPr>
          <w:rFonts w:ascii="Book Antiqua" w:hAnsi="Book Antiqua" w:cs="Arial"/>
          <w:b/>
          <w:u w:val="single"/>
        </w:rPr>
        <w:t>TO THE RESPONDENT</w:t>
      </w:r>
    </w:p>
    <w:p w14:paraId="1BC155ED" w14:textId="77777777" w:rsidR="008508AD" w:rsidRPr="008508AD" w:rsidRDefault="008508AD" w:rsidP="008508AD">
      <w:pPr>
        <w:ind w:left="567" w:hanging="567"/>
        <w:jc w:val="both"/>
        <w:rPr>
          <w:rFonts w:ascii="Book Antiqua" w:hAnsi="Book Antiqua" w:cs="Arial"/>
        </w:rPr>
      </w:pPr>
      <w:r w:rsidRPr="008508AD">
        <w:rPr>
          <w:rFonts w:ascii="Book Antiqua" w:hAnsi="Book Antiqua" w:cs="Arial"/>
          <w:b/>
          <w:u w:val="single"/>
        </w:rPr>
        <w:t>FEE AWARD</w:t>
      </w:r>
    </w:p>
    <w:p w14:paraId="630A1CC4" w14:textId="77777777" w:rsidR="008508AD" w:rsidRPr="008508AD" w:rsidRDefault="008508AD" w:rsidP="008508AD">
      <w:pPr>
        <w:ind w:left="567" w:hanging="567"/>
        <w:jc w:val="both"/>
        <w:rPr>
          <w:rFonts w:ascii="Book Antiqua" w:hAnsi="Book Antiqua" w:cs="Arial"/>
        </w:rPr>
      </w:pPr>
    </w:p>
    <w:p w14:paraId="15FE89D6" w14:textId="77777777" w:rsidR="008508AD" w:rsidRDefault="008508AD" w:rsidP="008508AD">
      <w:pPr>
        <w:jc w:val="both"/>
        <w:rPr>
          <w:rFonts w:ascii="Book Antiqua" w:hAnsi="Book Antiqua" w:cs="Arial"/>
        </w:rPr>
      </w:pPr>
      <w:r w:rsidRPr="008508AD">
        <w:rPr>
          <w:rFonts w:ascii="Book Antiqua" w:hAnsi="Book Antiqua" w:cs="Arial"/>
        </w:rPr>
        <w:t>I have dismissed the appeal and therefore there can be no fee award.</w:t>
      </w:r>
    </w:p>
    <w:p w14:paraId="60FA892B" w14:textId="77777777" w:rsidR="008508AD" w:rsidRDefault="008508AD" w:rsidP="008508AD">
      <w:pPr>
        <w:jc w:val="both"/>
        <w:rPr>
          <w:rFonts w:ascii="Book Antiqua" w:hAnsi="Book Antiqua" w:cs="Arial"/>
        </w:rPr>
      </w:pPr>
    </w:p>
    <w:p w14:paraId="066D19D4" w14:textId="77777777" w:rsidR="008508AD" w:rsidRDefault="008508AD" w:rsidP="008508AD">
      <w:pPr>
        <w:jc w:val="both"/>
        <w:rPr>
          <w:rFonts w:ascii="Book Antiqua" w:hAnsi="Book Antiqua" w:cs="Arial"/>
        </w:rPr>
      </w:pPr>
    </w:p>
    <w:p w14:paraId="2284A060" w14:textId="77777777" w:rsidR="008508AD" w:rsidRDefault="008508AD" w:rsidP="008508AD">
      <w:pPr>
        <w:jc w:val="both"/>
        <w:rPr>
          <w:rFonts w:ascii="Book Antiqua" w:hAnsi="Book Antiqua" w:cs="Arial"/>
        </w:rPr>
      </w:pPr>
    </w:p>
    <w:p w14:paraId="55094BDB" w14:textId="77777777" w:rsidR="008508AD" w:rsidRDefault="008508AD" w:rsidP="008508AD">
      <w:pPr>
        <w:jc w:val="both"/>
        <w:rPr>
          <w:rFonts w:ascii="Book Antiqua" w:hAnsi="Book Antiqua" w:cs="Arial"/>
        </w:rPr>
      </w:pPr>
    </w:p>
    <w:p w14:paraId="60AFE740" w14:textId="77777777" w:rsidR="008508AD" w:rsidRDefault="008508AD" w:rsidP="008508AD">
      <w:pPr>
        <w:jc w:val="both"/>
        <w:rPr>
          <w:rFonts w:ascii="Book Antiqua" w:hAnsi="Book Antiqua" w:cs="Arial"/>
        </w:rPr>
      </w:pPr>
    </w:p>
    <w:p w14:paraId="57476228" w14:textId="77777777" w:rsidR="008508AD" w:rsidRDefault="008508AD" w:rsidP="008508AD">
      <w:pPr>
        <w:jc w:val="both"/>
        <w:rPr>
          <w:rFonts w:ascii="Book Antiqua" w:hAnsi="Book Antiqua" w:cs="Arial"/>
        </w:rPr>
      </w:pPr>
    </w:p>
    <w:p w14:paraId="688D858D" w14:textId="77777777" w:rsidR="008508AD" w:rsidRDefault="008508AD" w:rsidP="008508AD">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xml:space="preserve"> </w:t>
      </w:r>
      <w:r w:rsidR="00B2430E">
        <w:rPr>
          <w:rFonts w:ascii="Book Antiqua" w:hAnsi="Book Antiqua" w:cs="Arial"/>
        </w:rPr>
        <w:t>1 JUNE 2018</w:t>
      </w:r>
    </w:p>
    <w:p w14:paraId="18495714" w14:textId="77777777" w:rsidR="008508AD" w:rsidRPr="00F5664C" w:rsidRDefault="008508AD" w:rsidP="008508AD">
      <w:pPr>
        <w:tabs>
          <w:tab w:val="left" w:pos="2520"/>
        </w:tabs>
        <w:jc w:val="both"/>
        <w:rPr>
          <w:rFonts w:ascii="Book Antiqua" w:hAnsi="Book Antiqua" w:cs="Arial"/>
        </w:rPr>
      </w:pPr>
    </w:p>
    <w:p w14:paraId="509E6079" w14:textId="77777777" w:rsidR="008508AD" w:rsidRPr="00F5664C" w:rsidRDefault="008508AD" w:rsidP="008508AD">
      <w:pPr>
        <w:tabs>
          <w:tab w:val="left" w:pos="2520"/>
        </w:tabs>
        <w:jc w:val="both"/>
        <w:rPr>
          <w:rFonts w:ascii="Book Antiqua" w:hAnsi="Book Antiqua" w:cs="Arial"/>
        </w:rPr>
      </w:pPr>
    </w:p>
    <w:p w14:paraId="66E7E35D" w14:textId="77777777" w:rsidR="005B7789" w:rsidRPr="00F5664C" w:rsidRDefault="008508AD" w:rsidP="000369F5">
      <w:pPr>
        <w:tabs>
          <w:tab w:val="left" w:pos="2520"/>
        </w:tabs>
        <w:jc w:val="both"/>
        <w:rPr>
          <w:rFonts w:ascii="Book Antiqua" w:hAnsi="Book Antiqua" w:cs="Arial"/>
        </w:rPr>
      </w:pPr>
      <w:r>
        <w:rPr>
          <w:rFonts w:ascii="Book Antiqua" w:hAnsi="Book Antiqua" w:cs="Arial"/>
        </w:rPr>
        <w:t>Upper Tribunal</w:t>
      </w:r>
      <w:r w:rsidRPr="00F5664C">
        <w:rPr>
          <w:rFonts w:ascii="Book Antiqua" w:hAnsi="Book Antiqua" w:cs="Arial"/>
        </w:rPr>
        <w:t xml:space="preserve"> Judge </w:t>
      </w:r>
      <w:r>
        <w:rPr>
          <w:rFonts w:ascii="Book Antiqua" w:hAnsi="Book Antiqua" w:cs="Arial"/>
        </w:rPr>
        <w:t>Lane</w:t>
      </w:r>
    </w:p>
    <w:sectPr w:rsidR="005B7789" w:rsidRPr="00F5664C" w:rsidSect="00C515F0">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0BB49" w14:textId="77777777" w:rsidR="0022180F" w:rsidRDefault="0022180F">
      <w:r>
        <w:separator/>
      </w:r>
    </w:p>
  </w:endnote>
  <w:endnote w:type="continuationSeparator" w:id="0">
    <w:p w14:paraId="35FF9943" w14:textId="77777777" w:rsidR="0022180F" w:rsidRDefault="00221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A2D5A" w14:textId="3080F6B2" w:rsidR="00ED338F" w:rsidRPr="000524CF" w:rsidRDefault="00ED338F" w:rsidP="00593795">
    <w:pPr>
      <w:pStyle w:val="Footer"/>
      <w:jc w:val="center"/>
      <w:rPr>
        <w:rFonts w:ascii="Book Antiqua" w:hAnsi="Book Antiqua" w:cs="Arial"/>
      </w:rPr>
    </w:pPr>
    <w:r w:rsidRPr="000524CF">
      <w:rPr>
        <w:rStyle w:val="PageNumber"/>
        <w:rFonts w:ascii="Book Antiqua" w:hAnsi="Book Antiqua" w:cs="Arial"/>
      </w:rPr>
      <w:fldChar w:fldCharType="begin"/>
    </w:r>
    <w:r w:rsidRPr="000524CF">
      <w:rPr>
        <w:rStyle w:val="PageNumber"/>
        <w:rFonts w:ascii="Book Antiqua" w:hAnsi="Book Antiqua" w:cs="Arial"/>
      </w:rPr>
      <w:instrText xml:space="preserve"> PAGE </w:instrText>
    </w:r>
    <w:r w:rsidRPr="000524CF">
      <w:rPr>
        <w:rStyle w:val="PageNumber"/>
        <w:rFonts w:ascii="Book Antiqua" w:hAnsi="Book Antiqua" w:cs="Arial"/>
      </w:rPr>
      <w:fldChar w:fldCharType="separate"/>
    </w:r>
    <w:r w:rsidR="008C124C">
      <w:rPr>
        <w:rStyle w:val="PageNumber"/>
        <w:rFonts w:ascii="Book Antiqua" w:hAnsi="Book Antiqua" w:cs="Arial"/>
        <w:noProof/>
      </w:rPr>
      <w:t>3</w:t>
    </w:r>
    <w:r w:rsidRPr="000524CF">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91FE9" w14:textId="77777777" w:rsidR="00ED338F" w:rsidRPr="00F5664C" w:rsidRDefault="00ED338F" w:rsidP="00842418">
    <w:pPr>
      <w:jc w:val="center"/>
      <w:rPr>
        <w:rFonts w:ascii="Book Antiqua" w:hAnsi="Book Antiqua" w:cs="Arial"/>
        <w:b/>
      </w:rPr>
    </w:pPr>
    <w:r w:rsidRPr="00F5664C">
      <w:rPr>
        <w:rFonts w:ascii="Book Antiqua" w:hAnsi="Book Antiqua" w:cs="Arial"/>
        <w:b/>
        <w:spacing w:val="-6"/>
      </w:rPr>
      <w:t>©</w:t>
    </w:r>
    <w:r w:rsidR="0066641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22F20" w14:textId="77777777" w:rsidR="0022180F" w:rsidRDefault="0022180F">
      <w:r>
        <w:separator/>
      </w:r>
    </w:p>
  </w:footnote>
  <w:footnote w:type="continuationSeparator" w:id="0">
    <w:p w14:paraId="60FA2095" w14:textId="77777777" w:rsidR="0022180F" w:rsidRDefault="002218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6EF82" w14:textId="55F43929" w:rsidR="00ED338F" w:rsidRDefault="00ED338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62458B">
      <w:rPr>
        <w:rFonts w:ascii="Book Antiqua" w:hAnsi="Book Antiqua" w:cs="Arial"/>
        <w:sz w:val="16"/>
        <w:szCs w:val="16"/>
      </w:rPr>
      <w:t>EA/01855/2017</w:t>
    </w:r>
  </w:p>
  <w:p w14:paraId="1541C1C0" w14:textId="77777777" w:rsidR="000524CF" w:rsidRPr="00F5664C" w:rsidRDefault="000524CF"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F202D" w14:textId="77777777" w:rsidR="00ED338F" w:rsidRPr="00F5664C" w:rsidRDefault="00ED338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FD4A8CF0"/>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4F3"/>
    <w:rsid w:val="00000621"/>
    <w:rsid w:val="00001A2D"/>
    <w:rsid w:val="000036C2"/>
    <w:rsid w:val="000168E1"/>
    <w:rsid w:val="00027641"/>
    <w:rsid w:val="00030E8C"/>
    <w:rsid w:val="00033D3D"/>
    <w:rsid w:val="000369F5"/>
    <w:rsid w:val="000524CF"/>
    <w:rsid w:val="00060ED5"/>
    <w:rsid w:val="00071602"/>
    <w:rsid w:val="00071A7E"/>
    <w:rsid w:val="000746C0"/>
    <w:rsid w:val="00074D1D"/>
    <w:rsid w:val="00092580"/>
    <w:rsid w:val="000D5D94"/>
    <w:rsid w:val="000E0923"/>
    <w:rsid w:val="000F76DE"/>
    <w:rsid w:val="001165A7"/>
    <w:rsid w:val="00130ABD"/>
    <w:rsid w:val="00150E30"/>
    <w:rsid w:val="00151BB7"/>
    <w:rsid w:val="00155BA9"/>
    <w:rsid w:val="0016457F"/>
    <w:rsid w:val="00167D3A"/>
    <w:rsid w:val="001723AE"/>
    <w:rsid w:val="00183D32"/>
    <w:rsid w:val="001A1E2C"/>
    <w:rsid w:val="001F2716"/>
    <w:rsid w:val="0020133A"/>
    <w:rsid w:val="00207617"/>
    <w:rsid w:val="0022180F"/>
    <w:rsid w:val="00264A24"/>
    <w:rsid w:val="00275F0C"/>
    <w:rsid w:val="00283659"/>
    <w:rsid w:val="002C4E73"/>
    <w:rsid w:val="002D68BF"/>
    <w:rsid w:val="00336CBF"/>
    <w:rsid w:val="003546C8"/>
    <w:rsid w:val="003763A9"/>
    <w:rsid w:val="00381177"/>
    <w:rsid w:val="003A6E6C"/>
    <w:rsid w:val="003A7CF2"/>
    <w:rsid w:val="003B0789"/>
    <w:rsid w:val="003C5CE5"/>
    <w:rsid w:val="003C6548"/>
    <w:rsid w:val="003E267B"/>
    <w:rsid w:val="003E7CD1"/>
    <w:rsid w:val="00402B9E"/>
    <w:rsid w:val="00423932"/>
    <w:rsid w:val="004249CB"/>
    <w:rsid w:val="0044127D"/>
    <w:rsid w:val="004448DB"/>
    <w:rsid w:val="00446C9A"/>
    <w:rsid w:val="00462D76"/>
    <w:rsid w:val="00477193"/>
    <w:rsid w:val="004A1848"/>
    <w:rsid w:val="004A1F1B"/>
    <w:rsid w:val="004E2759"/>
    <w:rsid w:val="00507FEC"/>
    <w:rsid w:val="00510F0E"/>
    <w:rsid w:val="00511891"/>
    <w:rsid w:val="0051790E"/>
    <w:rsid w:val="00521F6E"/>
    <w:rsid w:val="005334F3"/>
    <w:rsid w:val="005479E1"/>
    <w:rsid w:val="005570FD"/>
    <w:rsid w:val="005575EA"/>
    <w:rsid w:val="005744A4"/>
    <w:rsid w:val="0057790C"/>
    <w:rsid w:val="00582A37"/>
    <w:rsid w:val="0058661C"/>
    <w:rsid w:val="00593795"/>
    <w:rsid w:val="00594638"/>
    <w:rsid w:val="005A75FF"/>
    <w:rsid w:val="005B7789"/>
    <w:rsid w:val="0062458B"/>
    <w:rsid w:val="0065791C"/>
    <w:rsid w:val="00666416"/>
    <w:rsid w:val="00687505"/>
    <w:rsid w:val="00690B8A"/>
    <w:rsid w:val="00693AEE"/>
    <w:rsid w:val="006D1DFA"/>
    <w:rsid w:val="006D506B"/>
    <w:rsid w:val="006E3C90"/>
    <w:rsid w:val="006E57E2"/>
    <w:rsid w:val="006F7C89"/>
    <w:rsid w:val="00704B61"/>
    <w:rsid w:val="00741598"/>
    <w:rsid w:val="00742A8D"/>
    <w:rsid w:val="007552A9"/>
    <w:rsid w:val="00761858"/>
    <w:rsid w:val="00767D59"/>
    <w:rsid w:val="00776E97"/>
    <w:rsid w:val="00780FD7"/>
    <w:rsid w:val="007912AD"/>
    <w:rsid w:val="007A1F28"/>
    <w:rsid w:val="007A393E"/>
    <w:rsid w:val="007A6132"/>
    <w:rsid w:val="007B0824"/>
    <w:rsid w:val="007E01DA"/>
    <w:rsid w:val="007E2946"/>
    <w:rsid w:val="008116D9"/>
    <w:rsid w:val="008303B8"/>
    <w:rsid w:val="00833DCE"/>
    <w:rsid w:val="00842418"/>
    <w:rsid w:val="008508AD"/>
    <w:rsid w:val="008639DC"/>
    <w:rsid w:val="00864399"/>
    <w:rsid w:val="00871D34"/>
    <w:rsid w:val="00872944"/>
    <w:rsid w:val="00897D75"/>
    <w:rsid w:val="008B270C"/>
    <w:rsid w:val="008C124C"/>
    <w:rsid w:val="008C3D3D"/>
    <w:rsid w:val="008D4131"/>
    <w:rsid w:val="008E29BA"/>
    <w:rsid w:val="008F1932"/>
    <w:rsid w:val="008F294D"/>
    <w:rsid w:val="00921062"/>
    <w:rsid w:val="0093083E"/>
    <w:rsid w:val="00940FE3"/>
    <w:rsid w:val="00966ECF"/>
    <w:rsid w:val="009727A3"/>
    <w:rsid w:val="00987774"/>
    <w:rsid w:val="009A0FDC"/>
    <w:rsid w:val="009A11E8"/>
    <w:rsid w:val="009B3493"/>
    <w:rsid w:val="009E4E62"/>
    <w:rsid w:val="009F5220"/>
    <w:rsid w:val="009F7C4D"/>
    <w:rsid w:val="00A15234"/>
    <w:rsid w:val="00A15560"/>
    <w:rsid w:val="00A16AE1"/>
    <w:rsid w:val="00A201AB"/>
    <w:rsid w:val="00A31C8B"/>
    <w:rsid w:val="00A845DC"/>
    <w:rsid w:val="00A97AEE"/>
    <w:rsid w:val="00AC5CF6"/>
    <w:rsid w:val="00B00CC0"/>
    <w:rsid w:val="00B106DA"/>
    <w:rsid w:val="00B144FA"/>
    <w:rsid w:val="00B16F58"/>
    <w:rsid w:val="00B2430E"/>
    <w:rsid w:val="00B30648"/>
    <w:rsid w:val="00B3524D"/>
    <w:rsid w:val="00B40F69"/>
    <w:rsid w:val="00B46616"/>
    <w:rsid w:val="00B54950"/>
    <w:rsid w:val="00B610E3"/>
    <w:rsid w:val="00B61205"/>
    <w:rsid w:val="00B617C4"/>
    <w:rsid w:val="00B626FA"/>
    <w:rsid w:val="00B7040A"/>
    <w:rsid w:val="00B96FA0"/>
    <w:rsid w:val="00BA1D45"/>
    <w:rsid w:val="00BD4196"/>
    <w:rsid w:val="00BF22CA"/>
    <w:rsid w:val="00C26032"/>
    <w:rsid w:val="00C265B0"/>
    <w:rsid w:val="00C321B5"/>
    <w:rsid w:val="00C345E1"/>
    <w:rsid w:val="00C515F0"/>
    <w:rsid w:val="00C977BA"/>
    <w:rsid w:val="00CB6E35"/>
    <w:rsid w:val="00CE1A46"/>
    <w:rsid w:val="00CF253F"/>
    <w:rsid w:val="00CF56B4"/>
    <w:rsid w:val="00CF6DEE"/>
    <w:rsid w:val="00D06D1F"/>
    <w:rsid w:val="00D20F09"/>
    <w:rsid w:val="00D22636"/>
    <w:rsid w:val="00D36666"/>
    <w:rsid w:val="00D40FD9"/>
    <w:rsid w:val="00D53769"/>
    <w:rsid w:val="00D70775"/>
    <w:rsid w:val="00D76416"/>
    <w:rsid w:val="00D85C13"/>
    <w:rsid w:val="00D91BE3"/>
    <w:rsid w:val="00D94AFC"/>
    <w:rsid w:val="00DB6548"/>
    <w:rsid w:val="00DB70AE"/>
    <w:rsid w:val="00DB7231"/>
    <w:rsid w:val="00DD5071"/>
    <w:rsid w:val="00DD5C39"/>
    <w:rsid w:val="00DE26AF"/>
    <w:rsid w:val="00DE7DB7"/>
    <w:rsid w:val="00E00A0A"/>
    <w:rsid w:val="00E07F57"/>
    <w:rsid w:val="00E50BCE"/>
    <w:rsid w:val="00E61292"/>
    <w:rsid w:val="00E76309"/>
    <w:rsid w:val="00E77C4D"/>
    <w:rsid w:val="00E81D01"/>
    <w:rsid w:val="00EB1147"/>
    <w:rsid w:val="00EC1F8A"/>
    <w:rsid w:val="00ED338F"/>
    <w:rsid w:val="00EE45D8"/>
    <w:rsid w:val="00EF6C7F"/>
    <w:rsid w:val="00F004CD"/>
    <w:rsid w:val="00F13155"/>
    <w:rsid w:val="00F22EDA"/>
    <w:rsid w:val="00F3224D"/>
    <w:rsid w:val="00F33E0E"/>
    <w:rsid w:val="00F3588A"/>
    <w:rsid w:val="00F5664C"/>
    <w:rsid w:val="00F60D99"/>
    <w:rsid w:val="00F73606"/>
    <w:rsid w:val="00FB7E80"/>
    <w:rsid w:val="00FC3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6145"/>
    <o:shapelayout v:ext="edit">
      <o:idmap v:ext="edit" data="1"/>
    </o:shapelayout>
  </w:shapeDefaults>
  <w:decimalSymbol w:val="."/>
  <w:listSeparator w:val=","/>
  <w14:docId w14:val="73C023C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843</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2018-07-02T11:12:00Z</dcterms:created>
  <dcterms:modified xsi:type="dcterms:W3CDTF">2018-07-02T11:12:00Z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