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2730E" w14:textId="77777777" w:rsidR="00F97703" w:rsidRPr="00327EDA" w:rsidRDefault="00082D15" w:rsidP="00F97703">
      <w:pPr>
        <w:jc w:val="center"/>
        <w:rPr>
          <w:rFonts w:ascii="Arial" w:hAnsi="Arial" w:cs="Arial"/>
          <w:color w:val="000000"/>
          <w:sz w:val="16"/>
          <w:szCs w:val="16"/>
        </w:rPr>
      </w:pPr>
      <w:r w:rsidRPr="00327EDA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7C23924E" wp14:editId="7BB0A63B">
            <wp:extent cx="1497965" cy="1134745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36D0" w:rsidRPr="00327EDA">
        <w:rPr>
          <w:noProof/>
          <w:sz w:val="16"/>
          <w:szCs w:val="16"/>
        </w:rPr>
        <w:t xml:space="preserve"> </w:t>
      </w:r>
    </w:p>
    <w:p w14:paraId="160C1EDC" w14:textId="77777777" w:rsidR="00327EDA" w:rsidRPr="00327EDA" w:rsidRDefault="00327EDA" w:rsidP="00327EDA">
      <w:pPr>
        <w:rPr>
          <w:rFonts w:ascii="Arial" w:hAnsi="Arial" w:cs="Arial"/>
          <w:color w:val="000000"/>
          <w:sz w:val="16"/>
          <w:szCs w:val="16"/>
        </w:rPr>
      </w:pPr>
    </w:p>
    <w:p w14:paraId="6614AE62" w14:textId="77777777" w:rsidR="00F97703" w:rsidRPr="00327EDA" w:rsidRDefault="00BB39BE" w:rsidP="00DA4D91">
      <w:pPr>
        <w:tabs>
          <w:tab w:val="right" w:pos="9720"/>
        </w:tabs>
        <w:ind w:right="-82"/>
        <w:outlineLvl w:val="0"/>
        <w:rPr>
          <w:rFonts w:ascii="Arial" w:hAnsi="Arial" w:cs="Arial"/>
          <w:b/>
          <w:color w:val="000000"/>
        </w:rPr>
      </w:pPr>
      <w:r w:rsidRPr="00327EDA">
        <w:rPr>
          <w:rFonts w:ascii="Arial" w:hAnsi="Arial" w:cs="Arial"/>
          <w:b/>
          <w:color w:val="000000"/>
        </w:rPr>
        <w:t>Upper</w:t>
      </w:r>
      <w:r w:rsidR="00F97703" w:rsidRPr="00327EDA">
        <w:rPr>
          <w:rFonts w:ascii="Arial" w:hAnsi="Arial" w:cs="Arial"/>
          <w:b/>
          <w:color w:val="000000"/>
        </w:rPr>
        <w:t xml:space="preserve"> Tribunal </w:t>
      </w:r>
    </w:p>
    <w:p w14:paraId="4272DEB0" w14:textId="77777777" w:rsidR="00874C7E" w:rsidRPr="00327EDA" w:rsidRDefault="00F97703" w:rsidP="00780F86">
      <w:pPr>
        <w:tabs>
          <w:tab w:val="right" w:pos="9720"/>
        </w:tabs>
        <w:ind w:right="-82"/>
        <w:rPr>
          <w:rFonts w:ascii="Arial" w:hAnsi="Arial" w:cs="Arial"/>
          <w:color w:val="000000"/>
        </w:rPr>
      </w:pPr>
      <w:r w:rsidRPr="00327EDA">
        <w:rPr>
          <w:rFonts w:ascii="Arial" w:hAnsi="Arial" w:cs="Arial"/>
          <w:b/>
          <w:color w:val="000000"/>
        </w:rPr>
        <w:t>(Immigration and Asylum Chamber)</w:t>
      </w:r>
      <w:r w:rsidR="00DB70AE" w:rsidRPr="00327EDA">
        <w:rPr>
          <w:rFonts w:ascii="Arial" w:hAnsi="Arial" w:cs="Arial"/>
          <w:b/>
          <w:color w:val="000000"/>
        </w:rPr>
        <w:tab/>
      </w:r>
      <w:r w:rsidR="00B3524D" w:rsidRPr="00327EDA">
        <w:rPr>
          <w:rFonts w:ascii="Arial" w:hAnsi="Arial" w:cs="Arial"/>
          <w:color w:val="000000"/>
        </w:rPr>
        <w:t>Appeal Number</w:t>
      </w:r>
      <w:r w:rsidR="00D53769" w:rsidRPr="00327EDA">
        <w:rPr>
          <w:rFonts w:ascii="Arial" w:hAnsi="Arial" w:cs="Arial"/>
          <w:color w:val="000000"/>
        </w:rPr>
        <w:t>:</w:t>
      </w:r>
      <w:r w:rsidR="00B3524D" w:rsidRPr="00327EDA">
        <w:rPr>
          <w:rFonts w:ascii="Arial" w:hAnsi="Arial" w:cs="Arial"/>
          <w:color w:val="000000"/>
        </w:rPr>
        <w:t xml:space="preserve"> </w:t>
      </w:r>
      <w:bookmarkStart w:id="0" w:name="_GoBack"/>
      <w:r w:rsidR="007F5C71" w:rsidRPr="00327EDA">
        <w:rPr>
          <w:rFonts w:ascii="Arial" w:hAnsi="Arial" w:cs="Arial"/>
          <w:color w:val="000000"/>
        </w:rPr>
        <w:t>EA/01935/2017</w:t>
      </w:r>
      <w:bookmarkEnd w:id="0"/>
    </w:p>
    <w:p w14:paraId="4BD5CDCB" w14:textId="77777777" w:rsidR="00C345E1" w:rsidRPr="00327EDA" w:rsidRDefault="00C345E1" w:rsidP="00C345E1">
      <w:pPr>
        <w:jc w:val="center"/>
        <w:rPr>
          <w:rFonts w:ascii="Arial" w:hAnsi="Arial" w:cs="Arial"/>
          <w:color w:val="000000"/>
        </w:rPr>
      </w:pPr>
    </w:p>
    <w:p w14:paraId="6444C600" w14:textId="77777777" w:rsidR="00C345E1" w:rsidRPr="00327EDA" w:rsidRDefault="00C345E1" w:rsidP="00C345E1">
      <w:pPr>
        <w:jc w:val="center"/>
        <w:rPr>
          <w:rFonts w:ascii="Arial" w:hAnsi="Arial" w:cs="Arial"/>
          <w:color w:val="000000"/>
        </w:rPr>
      </w:pPr>
    </w:p>
    <w:p w14:paraId="3D6CE55C" w14:textId="77777777" w:rsidR="00C345E1" w:rsidRPr="00327EDA" w:rsidRDefault="00C345E1" w:rsidP="00DA4D91">
      <w:pPr>
        <w:jc w:val="center"/>
        <w:outlineLvl w:val="0"/>
        <w:rPr>
          <w:rFonts w:ascii="Arial" w:hAnsi="Arial" w:cs="Arial"/>
          <w:b/>
          <w:color w:val="000000"/>
          <w:u w:val="single"/>
        </w:rPr>
      </w:pPr>
      <w:r w:rsidRPr="00327EDA">
        <w:rPr>
          <w:rFonts w:ascii="Arial" w:hAnsi="Arial" w:cs="Arial"/>
          <w:b/>
          <w:color w:val="000000"/>
          <w:u w:val="single"/>
        </w:rPr>
        <w:t>THE IMMIGRATION ACTS</w:t>
      </w:r>
    </w:p>
    <w:p w14:paraId="15A7E1D3" w14:textId="77777777" w:rsidR="00C345E1" w:rsidRPr="00327EDA" w:rsidRDefault="00C345E1" w:rsidP="00C345E1">
      <w:pPr>
        <w:jc w:val="center"/>
        <w:rPr>
          <w:rFonts w:ascii="Arial" w:hAnsi="Arial" w:cs="Arial"/>
          <w:b/>
          <w:u w:val="single"/>
        </w:rPr>
      </w:pPr>
    </w:p>
    <w:p w14:paraId="648F289A" w14:textId="77777777" w:rsidR="00C345E1" w:rsidRPr="00327EDA" w:rsidRDefault="00C345E1" w:rsidP="00C345E1">
      <w:pPr>
        <w:jc w:val="center"/>
        <w:rPr>
          <w:rFonts w:ascii="Arial" w:hAnsi="Arial" w:cs="Arial"/>
          <w:b/>
          <w:u w:val="single"/>
        </w:rPr>
      </w:pPr>
    </w:p>
    <w:tbl>
      <w:tblPr>
        <w:tblW w:w="10792" w:type="dxa"/>
        <w:tblLook w:val="01E0" w:firstRow="1" w:lastRow="1" w:firstColumn="1" w:lastColumn="1" w:noHBand="0" w:noVBand="0"/>
      </w:tblPr>
      <w:tblGrid>
        <w:gridCol w:w="6619"/>
        <w:gridCol w:w="4173"/>
      </w:tblGrid>
      <w:tr w:rsidR="00D22636" w:rsidRPr="00327EDA" w14:paraId="7657D42F" w14:textId="77777777" w:rsidTr="002136D0">
        <w:trPr>
          <w:trHeight w:val="290"/>
        </w:trPr>
        <w:tc>
          <w:tcPr>
            <w:tcW w:w="6619" w:type="dxa"/>
            <w:shd w:val="clear" w:color="auto" w:fill="auto"/>
          </w:tcPr>
          <w:p w14:paraId="63158AB0" w14:textId="77777777" w:rsidR="00D22636" w:rsidRPr="00327EDA" w:rsidRDefault="00844156" w:rsidP="00673E8F">
            <w:pPr>
              <w:jc w:val="both"/>
              <w:rPr>
                <w:rFonts w:ascii="Arial" w:hAnsi="Arial" w:cs="Arial"/>
                <w:b/>
              </w:rPr>
            </w:pPr>
            <w:r w:rsidRPr="00327EDA">
              <w:rPr>
                <w:rFonts w:ascii="Arial" w:hAnsi="Arial" w:cs="Arial"/>
                <w:b/>
              </w:rPr>
              <w:t>Heard</w:t>
            </w:r>
            <w:r w:rsidR="00870267" w:rsidRPr="00327EDA">
              <w:rPr>
                <w:rFonts w:ascii="Arial" w:hAnsi="Arial" w:cs="Arial"/>
                <w:b/>
              </w:rPr>
              <w:t xml:space="preserve"> at </w:t>
            </w:r>
            <w:r w:rsidR="00673E8F" w:rsidRPr="00327EDA">
              <w:rPr>
                <w:rFonts w:ascii="Arial" w:hAnsi="Arial" w:cs="Arial"/>
                <w:b/>
              </w:rPr>
              <w:t>Field House</w:t>
            </w:r>
            <w:r w:rsidR="00874C7E" w:rsidRPr="00327EDA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173" w:type="dxa"/>
            <w:shd w:val="clear" w:color="auto" w:fill="auto"/>
          </w:tcPr>
          <w:p w14:paraId="4C766D9C" w14:textId="77777777" w:rsidR="00D22636" w:rsidRPr="00327EDA" w:rsidRDefault="00283659" w:rsidP="00FD50E5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327EDA">
              <w:rPr>
                <w:rFonts w:ascii="Arial" w:hAnsi="Arial" w:cs="Arial"/>
                <w:b/>
                <w:color w:val="000000"/>
              </w:rPr>
              <w:t>Determination Promulgated</w:t>
            </w:r>
          </w:p>
        </w:tc>
      </w:tr>
      <w:tr w:rsidR="00D22636" w:rsidRPr="00327EDA" w14:paraId="59CD66DA" w14:textId="77777777" w:rsidTr="002136D0">
        <w:trPr>
          <w:trHeight w:val="290"/>
        </w:trPr>
        <w:tc>
          <w:tcPr>
            <w:tcW w:w="6619" w:type="dxa"/>
            <w:shd w:val="clear" w:color="auto" w:fill="auto"/>
          </w:tcPr>
          <w:p w14:paraId="2273F91A" w14:textId="77777777" w:rsidR="00D22636" w:rsidRPr="00327EDA" w:rsidRDefault="00D22636" w:rsidP="00B300CE">
            <w:pPr>
              <w:jc w:val="both"/>
              <w:rPr>
                <w:rFonts w:ascii="Arial" w:hAnsi="Arial" w:cs="Arial"/>
                <w:b/>
              </w:rPr>
            </w:pPr>
            <w:r w:rsidRPr="00327EDA">
              <w:rPr>
                <w:rFonts w:ascii="Arial" w:hAnsi="Arial" w:cs="Arial"/>
                <w:b/>
              </w:rPr>
              <w:t>On</w:t>
            </w:r>
            <w:r w:rsidR="00A905CD" w:rsidRPr="00327EDA">
              <w:rPr>
                <w:rFonts w:ascii="Arial" w:hAnsi="Arial" w:cs="Arial"/>
                <w:b/>
              </w:rPr>
              <w:t xml:space="preserve"> </w:t>
            </w:r>
            <w:r w:rsidR="007F5C71" w:rsidRPr="00327EDA">
              <w:rPr>
                <w:rFonts w:ascii="Arial" w:hAnsi="Arial" w:cs="Arial"/>
                <w:b/>
              </w:rPr>
              <w:t>9</w:t>
            </w:r>
            <w:r w:rsidR="007F5C71" w:rsidRPr="00327EDA">
              <w:rPr>
                <w:rFonts w:ascii="Arial" w:hAnsi="Arial" w:cs="Arial"/>
                <w:b/>
                <w:vertAlign w:val="superscript"/>
              </w:rPr>
              <w:t>th</w:t>
            </w:r>
            <w:r w:rsidR="007F5C71" w:rsidRPr="00327EDA">
              <w:rPr>
                <w:rFonts w:ascii="Arial" w:hAnsi="Arial" w:cs="Arial"/>
                <w:b/>
              </w:rPr>
              <w:t xml:space="preserve"> July 2018</w:t>
            </w:r>
          </w:p>
        </w:tc>
        <w:tc>
          <w:tcPr>
            <w:tcW w:w="4173" w:type="dxa"/>
            <w:shd w:val="clear" w:color="auto" w:fill="auto"/>
          </w:tcPr>
          <w:p w14:paraId="56280ED2" w14:textId="77777777" w:rsidR="00D22636" w:rsidRPr="00327EDA" w:rsidRDefault="002B1CB1" w:rsidP="00FD50E5">
            <w:pPr>
              <w:jc w:val="both"/>
              <w:rPr>
                <w:rFonts w:ascii="Arial" w:hAnsi="Arial" w:cs="Arial"/>
                <w:b/>
              </w:rPr>
            </w:pPr>
            <w:r w:rsidRPr="00327EDA">
              <w:rPr>
                <w:rFonts w:ascii="Arial" w:hAnsi="Arial" w:cs="Arial"/>
                <w:b/>
              </w:rPr>
              <w:t>On 16</w:t>
            </w:r>
            <w:r w:rsidR="002136D0" w:rsidRPr="00327EDA">
              <w:rPr>
                <w:rFonts w:ascii="Arial" w:hAnsi="Arial" w:cs="Arial"/>
                <w:b/>
                <w:vertAlign w:val="superscript"/>
              </w:rPr>
              <w:t>th</w:t>
            </w:r>
            <w:r w:rsidRPr="00327EDA">
              <w:rPr>
                <w:rFonts w:ascii="Arial" w:hAnsi="Arial" w:cs="Arial"/>
                <w:b/>
              </w:rPr>
              <w:t xml:space="preserve"> July 2018</w:t>
            </w:r>
          </w:p>
        </w:tc>
      </w:tr>
      <w:tr w:rsidR="00D22636" w:rsidRPr="00327EDA" w14:paraId="37ABB8CC" w14:textId="77777777" w:rsidTr="002136D0">
        <w:trPr>
          <w:trHeight w:val="270"/>
        </w:trPr>
        <w:tc>
          <w:tcPr>
            <w:tcW w:w="6619" w:type="dxa"/>
            <w:shd w:val="clear" w:color="auto" w:fill="auto"/>
          </w:tcPr>
          <w:p w14:paraId="37EFADDC" w14:textId="77777777" w:rsidR="00D22636" w:rsidRPr="00327EDA" w:rsidRDefault="00D22636" w:rsidP="00FD50E5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73" w:type="dxa"/>
            <w:shd w:val="clear" w:color="auto" w:fill="auto"/>
          </w:tcPr>
          <w:p w14:paraId="00EDA3A6" w14:textId="77777777" w:rsidR="00D22636" w:rsidRPr="00327EDA" w:rsidRDefault="00D22636" w:rsidP="00FD50E5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51DD4B5E" w14:textId="77777777" w:rsidR="00A15234" w:rsidRPr="00327EDA" w:rsidRDefault="00A15234" w:rsidP="00A15234">
      <w:pPr>
        <w:jc w:val="center"/>
        <w:rPr>
          <w:rFonts w:ascii="Arial" w:hAnsi="Arial" w:cs="Arial"/>
        </w:rPr>
      </w:pPr>
    </w:p>
    <w:p w14:paraId="0FF90D0F" w14:textId="77777777" w:rsidR="00A15234" w:rsidRPr="00327EDA" w:rsidRDefault="00207617" w:rsidP="00DA4D91">
      <w:pPr>
        <w:jc w:val="center"/>
        <w:outlineLvl w:val="0"/>
        <w:rPr>
          <w:rFonts w:ascii="Arial" w:hAnsi="Arial" w:cs="Arial"/>
          <w:b/>
        </w:rPr>
      </w:pPr>
      <w:r w:rsidRPr="00327EDA">
        <w:rPr>
          <w:rFonts w:ascii="Arial" w:hAnsi="Arial" w:cs="Arial"/>
          <w:b/>
        </w:rPr>
        <w:t>Befo</w:t>
      </w:r>
      <w:r w:rsidR="00A15234" w:rsidRPr="00327EDA">
        <w:rPr>
          <w:rFonts w:ascii="Arial" w:hAnsi="Arial" w:cs="Arial"/>
          <w:b/>
        </w:rPr>
        <w:t>re</w:t>
      </w:r>
    </w:p>
    <w:p w14:paraId="6076B4B1" w14:textId="77777777" w:rsidR="00721E7A" w:rsidRPr="00327EDA" w:rsidRDefault="00721E7A" w:rsidP="00A15234">
      <w:pPr>
        <w:jc w:val="center"/>
        <w:rPr>
          <w:rFonts w:ascii="Arial" w:hAnsi="Arial" w:cs="Arial"/>
          <w:b/>
        </w:rPr>
      </w:pPr>
    </w:p>
    <w:p w14:paraId="44FEC5A3" w14:textId="77777777" w:rsidR="00D20757" w:rsidRPr="00327EDA" w:rsidRDefault="00D8561E" w:rsidP="00A15234">
      <w:pPr>
        <w:jc w:val="center"/>
        <w:rPr>
          <w:rFonts w:ascii="Arial" w:hAnsi="Arial" w:cs="Arial"/>
          <w:b/>
        </w:rPr>
      </w:pPr>
      <w:r w:rsidRPr="00327EDA">
        <w:rPr>
          <w:rFonts w:ascii="Arial" w:hAnsi="Arial" w:cs="Arial"/>
          <w:b/>
        </w:rPr>
        <w:t>UPPER TRIBUNAL JUDGE COKER</w:t>
      </w:r>
    </w:p>
    <w:p w14:paraId="7CF0E829" w14:textId="77777777" w:rsidR="00D8561E" w:rsidRPr="00327EDA" w:rsidRDefault="00D8561E" w:rsidP="00DA4D91">
      <w:pPr>
        <w:jc w:val="center"/>
        <w:outlineLvl w:val="0"/>
        <w:rPr>
          <w:rFonts w:ascii="Arial" w:hAnsi="Arial" w:cs="Arial"/>
          <w:b/>
        </w:rPr>
      </w:pPr>
    </w:p>
    <w:p w14:paraId="269F1A25" w14:textId="77777777" w:rsidR="00327EDA" w:rsidRPr="00327EDA" w:rsidRDefault="00327EDA" w:rsidP="00DA4D91">
      <w:pPr>
        <w:jc w:val="center"/>
        <w:outlineLvl w:val="0"/>
        <w:rPr>
          <w:rFonts w:ascii="Arial" w:hAnsi="Arial" w:cs="Arial"/>
          <w:b/>
        </w:rPr>
      </w:pPr>
    </w:p>
    <w:p w14:paraId="410766F4" w14:textId="7ECA0141" w:rsidR="00A845DC" w:rsidRPr="00327EDA" w:rsidRDefault="00A845DC" w:rsidP="00DA4D91">
      <w:pPr>
        <w:jc w:val="center"/>
        <w:outlineLvl w:val="0"/>
        <w:rPr>
          <w:rFonts w:ascii="Arial" w:hAnsi="Arial" w:cs="Arial"/>
          <w:b/>
        </w:rPr>
      </w:pPr>
      <w:r w:rsidRPr="00327EDA">
        <w:rPr>
          <w:rFonts w:ascii="Arial" w:hAnsi="Arial" w:cs="Arial"/>
          <w:b/>
        </w:rPr>
        <w:t>Between</w:t>
      </w:r>
    </w:p>
    <w:p w14:paraId="70509F56" w14:textId="77777777" w:rsidR="00172D1A" w:rsidRPr="00327EDA" w:rsidRDefault="00172D1A" w:rsidP="00172D1A">
      <w:pPr>
        <w:jc w:val="center"/>
        <w:rPr>
          <w:rFonts w:ascii="Arial" w:hAnsi="Arial" w:cs="Arial"/>
          <w:b/>
        </w:rPr>
      </w:pPr>
    </w:p>
    <w:p w14:paraId="5FFD9E5A" w14:textId="77777777" w:rsidR="00172D1A" w:rsidRPr="00327EDA" w:rsidRDefault="007F5C71" w:rsidP="00172D1A">
      <w:pPr>
        <w:jc w:val="center"/>
        <w:outlineLvl w:val="0"/>
        <w:rPr>
          <w:rFonts w:ascii="Arial" w:hAnsi="Arial" w:cs="Arial"/>
          <w:b/>
        </w:rPr>
      </w:pPr>
      <w:r w:rsidRPr="00327EDA">
        <w:rPr>
          <w:rFonts w:ascii="Arial" w:hAnsi="Arial" w:cs="Arial"/>
          <w:b/>
        </w:rPr>
        <w:t>SYED ASIF WAQAR</w:t>
      </w:r>
    </w:p>
    <w:p w14:paraId="1FB0C321" w14:textId="77777777" w:rsidR="00704B61" w:rsidRPr="00327EDA" w:rsidRDefault="00704B61" w:rsidP="00DA4D91">
      <w:pPr>
        <w:jc w:val="right"/>
        <w:outlineLvl w:val="0"/>
        <w:rPr>
          <w:rFonts w:ascii="Arial" w:hAnsi="Arial" w:cs="Arial"/>
          <w:u w:val="single"/>
        </w:rPr>
      </w:pPr>
      <w:r w:rsidRPr="00327EDA">
        <w:rPr>
          <w:rFonts w:ascii="Arial" w:hAnsi="Arial" w:cs="Arial"/>
          <w:u w:val="single"/>
        </w:rPr>
        <w:t>Appellant</w:t>
      </w:r>
    </w:p>
    <w:p w14:paraId="5B3A9A0F" w14:textId="77777777" w:rsidR="00704B61" w:rsidRPr="00327EDA" w:rsidRDefault="00172D1A" w:rsidP="00704B61">
      <w:pPr>
        <w:jc w:val="center"/>
        <w:rPr>
          <w:rFonts w:ascii="Arial" w:hAnsi="Arial" w:cs="Arial"/>
          <w:b/>
        </w:rPr>
      </w:pPr>
      <w:r w:rsidRPr="00327EDA">
        <w:rPr>
          <w:rFonts w:ascii="Arial" w:hAnsi="Arial" w:cs="Arial"/>
          <w:b/>
        </w:rPr>
        <w:t>A</w:t>
      </w:r>
      <w:r w:rsidR="00DD5071" w:rsidRPr="00327EDA">
        <w:rPr>
          <w:rFonts w:ascii="Arial" w:hAnsi="Arial" w:cs="Arial"/>
          <w:b/>
        </w:rPr>
        <w:t>nd</w:t>
      </w:r>
    </w:p>
    <w:p w14:paraId="72351FD1" w14:textId="77777777" w:rsidR="00172D1A" w:rsidRPr="00327EDA" w:rsidRDefault="00172D1A" w:rsidP="00704B61">
      <w:pPr>
        <w:jc w:val="center"/>
        <w:rPr>
          <w:rFonts w:ascii="Arial" w:hAnsi="Arial" w:cs="Arial"/>
          <w:b/>
        </w:rPr>
      </w:pPr>
    </w:p>
    <w:p w14:paraId="7B12841E" w14:textId="77777777" w:rsidR="00172D1A" w:rsidRPr="00327EDA" w:rsidRDefault="00852DCE" w:rsidP="00704B61">
      <w:pPr>
        <w:jc w:val="center"/>
        <w:rPr>
          <w:rFonts w:ascii="Arial" w:hAnsi="Arial" w:cs="Arial"/>
          <w:b/>
        </w:rPr>
      </w:pPr>
      <w:r w:rsidRPr="00327EDA">
        <w:rPr>
          <w:rFonts w:ascii="Arial" w:hAnsi="Arial" w:cs="Arial"/>
          <w:b/>
        </w:rPr>
        <w:t>SECRETARY OF STATE FOR THE HOME DEPARTMENT</w:t>
      </w:r>
    </w:p>
    <w:p w14:paraId="10636205" w14:textId="77777777" w:rsidR="00DD5071" w:rsidRPr="00327EDA" w:rsidRDefault="00DD5071" w:rsidP="00DA4D91">
      <w:pPr>
        <w:jc w:val="right"/>
        <w:outlineLvl w:val="0"/>
        <w:rPr>
          <w:rFonts w:ascii="Arial" w:hAnsi="Arial" w:cs="Arial"/>
          <w:u w:val="single"/>
        </w:rPr>
      </w:pPr>
      <w:r w:rsidRPr="00327EDA">
        <w:rPr>
          <w:rFonts w:ascii="Arial" w:hAnsi="Arial" w:cs="Arial"/>
          <w:u w:val="single"/>
        </w:rPr>
        <w:t>Respondent</w:t>
      </w:r>
    </w:p>
    <w:p w14:paraId="4FB41BAE" w14:textId="75CEDFAD" w:rsidR="00DD5071" w:rsidRPr="00327EDA" w:rsidRDefault="00DD5071" w:rsidP="00DD5071">
      <w:pPr>
        <w:rPr>
          <w:rFonts w:ascii="Arial" w:hAnsi="Arial" w:cs="Arial"/>
          <w:u w:val="single"/>
        </w:rPr>
      </w:pPr>
    </w:p>
    <w:p w14:paraId="1C67E70D" w14:textId="77777777" w:rsidR="00327EDA" w:rsidRPr="00327EDA" w:rsidRDefault="00327EDA" w:rsidP="00DD5071">
      <w:pPr>
        <w:rPr>
          <w:rFonts w:ascii="Arial" w:hAnsi="Arial" w:cs="Arial"/>
          <w:u w:val="single"/>
        </w:rPr>
      </w:pPr>
    </w:p>
    <w:p w14:paraId="4B96AF16" w14:textId="77777777" w:rsidR="00DD5071" w:rsidRPr="00327EDA" w:rsidRDefault="00DE7DB7" w:rsidP="00DA4D91">
      <w:pPr>
        <w:outlineLvl w:val="0"/>
        <w:rPr>
          <w:rFonts w:ascii="Arial" w:hAnsi="Arial" w:cs="Arial"/>
        </w:rPr>
      </w:pPr>
      <w:r w:rsidRPr="00327EDA">
        <w:rPr>
          <w:rFonts w:ascii="Arial" w:hAnsi="Arial" w:cs="Arial"/>
          <w:b/>
          <w:u w:val="single"/>
        </w:rPr>
        <w:t>Representation</w:t>
      </w:r>
      <w:r w:rsidRPr="00327EDA">
        <w:rPr>
          <w:rFonts w:ascii="Arial" w:hAnsi="Arial" w:cs="Arial"/>
          <w:b/>
        </w:rPr>
        <w:t>:</w:t>
      </w:r>
    </w:p>
    <w:p w14:paraId="01213D00" w14:textId="77777777" w:rsidR="00DE7DB7" w:rsidRPr="00327EDA" w:rsidRDefault="00DE7DB7" w:rsidP="00DA4D91">
      <w:pPr>
        <w:tabs>
          <w:tab w:val="left" w:pos="2520"/>
        </w:tabs>
        <w:outlineLvl w:val="0"/>
        <w:rPr>
          <w:rFonts w:ascii="Arial" w:hAnsi="Arial" w:cs="Arial"/>
        </w:rPr>
      </w:pPr>
      <w:r w:rsidRPr="00327EDA">
        <w:rPr>
          <w:rFonts w:ascii="Arial" w:hAnsi="Arial" w:cs="Arial"/>
        </w:rPr>
        <w:t>For the Appellant:</w:t>
      </w:r>
      <w:r w:rsidRPr="00327EDA">
        <w:rPr>
          <w:rFonts w:ascii="Arial" w:hAnsi="Arial" w:cs="Arial"/>
        </w:rPr>
        <w:tab/>
      </w:r>
      <w:r w:rsidR="00D463AA" w:rsidRPr="00327EDA">
        <w:rPr>
          <w:rFonts w:ascii="Arial" w:hAnsi="Arial" w:cs="Arial"/>
        </w:rPr>
        <w:t>M</w:t>
      </w:r>
      <w:r w:rsidR="00B300CE" w:rsidRPr="00327EDA">
        <w:rPr>
          <w:rFonts w:ascii="Arial" w:hAnsi="Arial" w:cs="Arial"/>
        </w:rPr>
        <w:t xml:space="preserve">r </w:t>
      </w:r>
      <w:r w:rsidR="007F5C71" w:rsidRPr="00327EDA">
        <w:rPr>
          <w:rFonts w:ascii="Arial" w:hAnsi="Arial" w:cs="Arial"/>
        </w:rPr>
        <w:t>M Iqbal</w:t>
      </w:r>
      <w:r w:rsidR="004F77C5" w:rsidRPr="00327EDA">
        <w:rPr>
          <w:rFonts w:ascii="Arial" w:hAnsi="Arial" w:cs="Arial"/>
        </w:rPr>
        <w:t xml:space="preserve">, instructed by </w:t>
      </w:r>
      <w:r w:rsidR="007F5C71" w:rsidRPr="00327EDA">
        <w:rPr>
          <w:rFonts w:ascii="Arial" w:hAnsi="Arial" w:cs="Arial"/>
        </w:rPr>
        <w:t>West Ham solicitors</w:t>
      </w:r>
    </w:p>
    <w:p w14:paraId="732DDCC6" w14:textId="77777777" w:rsidR="00DE7DB7" w:rsidRPr="00327EDA" w:rsidRDefault="00DE7DB7" w:rsidP="00DE7DB7">
      <w:pPr>
        <w:tabs>
          <w:tab w:val="left" w:pos="2520"/>
        </w:tabs>
        <w:rPr>
          <w:rFonts w:ascii="Arial" w:hAnsi="Arial" w:cs="Arial"/>
        </w:rPr>
      </w:pPr>
      <w:r w:rsidRPr="00327EDA">
        <w:rPr>
          <w:rFonts w:ascii="Arial" w:hAnsi="Arial" w:cs="Arial"/>
        </w:rPr>
        <w:t>For the Respondent:</w:t>
      </w:r>
      <w:r w:rsidRPr="00327EDA">
        <w:rPr>
          <w:rFonts w:ascii="Arial" w:hAnsi="Arial" w:cs="Arial"/>
        </w:rPr>
        <w:tab/>
      </w:r>
      <w:r w:rsidR="004F77C5" w:rsidRPr="00327EDA">
        <w:rPr>
          <w:rFonts w:ascii="Arial" w:hAnsi="Arial" w:cs="Arial"/>
        </w:rPr>
        <w:t>M</w:t>
      </w:r>
      <w:r w:rsidR="007F5C71" w:rsidRPr="00327EDA">
        <w:rPr>
          <w:rFonts w:ascii="Arial" w:hAnsi="Arial" w:cs="Arial"/>
        </w:rPr>
        <w:t>s K Pal</w:t>
      </w:r>
      <w:r w:rsidR="00852DCE" w:rsidRPr="00327EDA">
        <w:rPr>
          <w:rFonts w:ascii="Arial" w:hAnsi="Arial" w:cs="Arial"/>
        </w:rPr>
        <w:t xml:space="preserve">, Senior Home Office Presenting Officer </w:t>
      </w:r>
    </w:p>
    <w:p w14:paraId="417B857A" w14:textId="77777777" w:rsidR="00DE7DB7" w:rsidRPr="00327EDA" w:rsidRDefault="00DE7DB7" w:rsidP="00402B9E">
      <w:pPr>
        <w:tabs>
          <w:tab w:val="left" w:pos="2520"/>
        </w:tabs>
        <w:jc w:val="center"/>
        <w:rPr>
          <w:rFonts w:ascii="Arial" w:hAnsi="Arial" w:cs="Arial"/>
        </w:rPr>
      </w:pPr>
    </w:p>
    <w:p w14:paraId="3ABC6DC4" w14:textId="77777777" w:rsidR="00D463AA" w:rsidRPr="00327EDA" w:rsidRDefault="00D463AA" w:rsidP="00402B9E">
      <w:pPr>
        <w:tabs>
          <w:tab w:val="left" w:pos="2520"/>
        </w:tabs>
        <w:jc w:val="center"/>
        <w:rPr>
          <w:rFonts w:ascii="Arial" w:hAnsi="Arial" w:cs="Arial"/>
        </w:rPr>
      </w:pPr>
    </w:p>
    <w:p w14:paraId="69CBC6E0" w14:textId="77777777" w:rsidR="00DE7DB7" w:rsidRPr="00327EDA" w:rsidRDefault="00402B9E" w:rsidP="00DA4D91">
      <w:pPr>
        <w:tabs>
          <w:tab w:val="left" w:pos="2520"/>
        </w:tabs>
        <w:jc w:val="center"/>
        <w:outlineLvl w:val="0"/>
        <w:rPr>
          <w:rFonts w:ascii="Arial" w:hAnsi="Arial" w:cs="Arial"/>
          <w:b/>
          <w:u w:val="single"/>
        </w:rPr>
      </w:pPr>
      <w:r w:rsidRPr="00327EDA">
        <w:rPr>
          <w:rFonts w:ascii="Arial" w:hAnsi="Arial" w:cs="Arial"/>
          <w:b/>
          <w:u w:val="single"/>
        </w:rPr>
        <w:t>DETERMINATION AND REASONS</w:t>
      </w:r>
    </w:p>
    <w:p w14:paraId="1F27F4CE" w14:textId="77777777" w:rsidR="00AB6C32" w:rsidRPr="00327EDA" w:rsidRDefault="00AB6C32" w:rsidP="00AB6C32">
      <w:pPr>
        <w:pStyle w:val="ListParagraph"/>
        <w:contextualSpacing/>
        <w:jc w:val="both"/>
        <w:rPr>
          <w:rFonts w:ascii="Arial" w:hAnsi="Arial" w:cs="Arial"/>
        </w:rPr>
      </w:pPr>
    </w:p>
    <w:p w14:paraId="5AE73F9A" w14:textId="77777777" w:rsidR="00011F33" w:rsidRPr="00327EDA" w:rsidRDefault="007F5C71" w:rsidP="00AB6C32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T</w:t>
      </w:r>
      <w:r w:rsidR="002A559A" w:rsidRPr="00327EDA">
        <w:rPr>
          <w:rFonts w:ascii="Arial" w:hAnsi="Arial" w:cs="Arial"/>
        </w:rPr>
        <w:t xml:space="preserve">he appellant sought, in a combined application, a retained right of residence and permanent residence as the former spouse of an EU national exercising Treaty Rights. The application was refused by the respondent </w:t>
      </w:r>
      <w:r w:rsidR="00011F33" w:rsidRPr="00327EDA">
        <w:rPr>
          <w:rFonts w:ascii="Arial" w:hAnsi="Arial" w:cs="Arial"/>
        </w:rPr>
        <w:t>on</w:t>
      </w:r>
      <w:r w:rsidR="002A559A" w:rsidRPr="00327EDA">
        <w:rPr>
          <w:rFonts w:ascii="Arial" w:hAnsi="Arial" w:cs="Arial"/>
        </w:rPr>
        <w:t xml:space="preserve"> 9</w:t>
      </w:r>
      <w:r w:rsidR="002A559A" w:rsidRPr="00327EDA">
        <w:rPr>
          <w:rFonts w:ascii="Arial" w:hAnsi="Arial" w:cs="Arial"/>
          <w:vertAlign w:val="superscript"/>
        </w:rPr>
        <w:t>th</w:t>
      </w:r>
      <w:r w:rsidR="002A559A" w:rsidRPr="00327EDA">
        <w:rPr>
          <w:rFonts w:ascii="Arial" w:hAnsi="Arial" w:cs="Arial"/>
        </w:rPr>
        <w:t xml:space="preserve"> February 2017</w:t>
      </w:r>
      <w:r w:rsidR="00011F33" w:rsidRPr="00327EDA">
        <w:rPr>
          <w:rFonts w:ascii="Arial" w:hAnsi="Arial" w:cs="Arial"/>
        </w:rPr>
        <w:t xml:space="preserve"> because, according to her:</w:t>
      </w:r>
    </w:p>
    <w:p w14:paraId="747FDCB2" w14:textId="77777777" w:rsidR="00011F33" w:rsidRPr="00327EDA" w:rsidRDefault="00011F33" w:rsidP="00011F33">
      <w:pPr>
        <w:pStyle w:val="ListParagraph"/>
        <w:numPr>
          <w:ilvl w:val="0"/>
          <w:numId w:val="29"/>
        </w:numPr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He had not resided in accorda</w:t>
      </w:r>
      <w:r w:rsidR="00AA384B" w:rsidRPr="00327EDA">
        <w:rPr>
          <w:rFonts w:ascii="Arial" w:hAnsi="Arial" w:cs="Arial"/>
        </w:rPr>
        <w:t>n</w:t>
      </w:r>
      <w:r w:rsidRPr="00327EDA">
        <w:rPr>
          <w:rFonts w:ascii="Arial" w:hAnsi="Arial" w:cs="Arial"/>
        </w:rPr>
        <w:t>ce with the 2006 regulations for a continuous period of 5 years and retained a right of residence as the former spouse of an EEA national; and</w:t>
      </w:r>
    </w:p>
    <w:p w14:paraId="68428C20" w14:textId="77777777" w:rsidR="00A44483" w:rsidRPr="00327EDA" w:rsidRDefault="00A44483" w:rsidP="00011F33">
      <w:pPr>
        <w:pStyle w:val="ListParagraph"/>
        <w:numPr>
          <w:ilvl w:val="0"/>
          <w:numId w:val="29"/>
        </w:numPr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 xml:space="preserve">As a family member of an EEA national residing for a continuous period of five years, he had not provided sufficient evidence that his EEA spouse </w:t>
      </w:r>
      <w:r w:rsidRPr="00327EDA">
        <w:rPr>
          <w:rFonts w:ascii="Arial" w:hAnsi="Arial" w:cs="Arial"/>
        </w:rPr>
        <w:lastRenderedPageBreak/>
        <w:t xml:space="preserve">resided in the UK in accordance with the Regulations during that </w:t>
      </w:r>
      <w:proofErr w:type="gramStart"/>
      <w:r w:rsidRPr="00327EDA">
        <w:rPr>
          <w:rFonts w:ascii="Arial" w:hAnsi="Arial" w:cs="Arial"/>
        </w:rPr>
        <w:t>5 year</w:t>
      </w:r>
      <w:proofErr w:type="gramEnd"/>
      <w:r w:rsidRPr="00327EDA">
        <w:rPr>
          <w:rFonts w:ascii="Arial" w:hAnsi="Arial" w:cs="Arial"/>
        </w:rPr>
        <w:t xml:space="preserve"> period</w:t>
      </w:r>
      <w:r w:rsidR="002A559A" w:rsidRPr="00327EDA">
        <w:rPr>
          <w:rFonts w:ascii="Arial" w:hAnsi="Arial" w:cs="Arial"/>
        </w:rPr>
        <w:t>.</w:t>
      </w:r>
    </w:p>
    <w:p w14:paraId="5C06A461" w14:textId="77777777" w:rsidR="00F3484C" w:rsidRPr="00327EDA" w:rsidRDefault="00F3484C" w:rsidP="00F3484C">
      <w:pPr>
        <w:pStyle w:val="ListParagraph"/>
        <w:ind w:left="1920"/>
        <w:contextualSpacing/>
        <w:jc w:val="both"/>
        <w:rPr>
          <w:rFonts w:ascii="Arial" w:hAnsi="Arial" w:cs="Arial"/>
        </w:rPr>
      </w:pPr>
    </w:p>
    <w:p w14:paraId="05DD07A4" w14:textId="77777777" w:rsidR="00F3484C" w:rsidRPr="00327EDA" w:rsidRDefault="00F3484C" w:rsidP="00A44483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 xml:space="preserve">Mr Waqar </w:t>
      </w:r>
      <w:r w:rsidR="00031B1F" w:rsidRPr="00327EDA">
        <w:rPr>
          <w:rFonts w:ascii="Arial" w:hAnsi="Arial" w:cs="Arial"/>
        </w:rPr>
        <w:t>appealed</w:t>
      </w:r>
      <w:r w:rsidRPr="00327EDA">
        <w:rPr>
          <w:rFonts w:ascii="Arial" w:hAnsi="Arial" w:cs="Arial"/>
        </w:rPr>
        <w:t xml:space="preserve"> the decision. His appeal was dismissed by First-tier Tribunal Judge Telford for </w:t>
      </w:r>
      <w:r w:rsidR="00031B1F" w:rsidRPr="00327EDA">
        <w:rPr>
          <w:rFonts w:ascii="Arial" w:hAnsi="Arial" w:cs="Arial"/>
        </w:rPr>
        <w:t>reasons</w:t>
      </w:r>
      <w:r w:rsidRPr="00327EDA">
        <w:rPr>
          <w:rFonts w:ascii="Arial" w:hAnsi="Arial" w:cs="Arial"/>
        </w:rPr>
        <w:t xml:space="preserve"> set out in a decision promulgated on 22</w:t>
      </w:r>
      <w:r w:rsidRPr="00327EDA">
        <w:rPr>
          <w:rFonts w:ascii="Arial" w:hAnsi="Arial" w:cs="Arial"/>
          <w:vertAlign w:val="superscript"/>
        </w:rPr>
        <w:t>nd</w:t>
      </w:r>
      <w:r w:rsidRPr="00327EDA">
        <w:rPr>
          <w:rFonts w:ascii="Arial" w:hAnsi="Arial" w:cs="Arial"/>
        </w:rPr>
        <w:t xml:space="preserve"> March 2018.</w:t>
      </w:r>
    </w:p>
    <w:p w14:paraId="0B7ACF5C" w14:textId="77777777" w:rsidR="00F3484C" w:rsidRPr="00327EDA" w:rsidRDefault="00F3484C" w:rsidP="00F3484C">
      <w:pPr>
        <w:pStyle w:val="ListParagraph"/>
        <w:ind w:left="1560"/>
        <w:contextualSpacing/>
        <w:jc w:val="both"/>
        <w:rPr>
          <w:rFonts w:ascii="Arial" w:hAnsi="Arial" w:cs="Arial"/>
        </w:rPr>
      </w:pPr>
    </w:p>
    <w:p w14:paraId="0171B96B" w14:textId="77777777" w:rsidR="003B6C82" w:rsidRPr="00327EDA" w:rsidRDefault="003B6C82" w:rsidP="003B6C82">
      <w:pPr>
        <w:pStyle w:val="ListParagraph"/>
        <w:ind w:left="1560"/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Background</w:t>
      </w:r>
    </w:p>
    <w:p w14:paraId="02E2EBCE" w14:textId="77777777" w:rsidR="003B6C82" w:rsidRPr="00327EDA" w:rsidRDefault="003B6C82" w:rsidP="003B6C82">
      <w:pPr>
        <w:pStyle w:val="ListParagraph"/>
        <w:rPr>
          <w:rFonts w:ascii="Arial" w:hAnsi="Arial" w:cs="Arial"/>
        </w:rPr>
      </w:pPr>
    </w:p>
    <w:p w14:paraId="567CFE93" w14:textId="77777777" w:rsidR="00316BC1" w:rsidRPr="00327EDA" w:rsidRDefault="003B6C82" w:rsidP="00A44483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Mr Waqar entered the UK as a Tier 4 student on 28</w:t>
      </w:r>
      <w:r w:rsidRPr="00327EDA">
        <w:rPr>
          <w:rFonts w:ascii="Arial" w:hAnsi="Arial" w:cs="Arial"/>
          <w:vertAlign w:val="superscript"/>
        </w:rPr>
        <w:t>th</w:t>
      </w:r>
      <w:r w:rsidRPr="00327EDA">
        <w:rPr>
          <w:rFonts w:ascii="Arial" w:hAnsi="Arial" w:cs="Arial"/>
        </w:rPr>
        <w:t xml:space="preserve"> January 2010. On 29</w:t>
      </w:r>
      <w:r w:rsidRPr="00327EDA">
        <w:rPr>
          <w:rFonts w:ascii="Arial" w:hAnsi="Arial" w:cs="Arial"/>
          <w:vertAlign w:val="superscript"/>
        </w:rPr>
        <w:t>th</w:t>
      </w:r>
      <w:r w:rsidRPr="00327EDA">
        <w:rPr>
          <w:rFonts w:ascii="Arial" w:hAnsi="Arial" w:cs="Arial"/>
        </w:rPr>
        <w:t xml:space="preserve"> November 2010 he married Ms De Pina Lima, a Portuguese national. On 16</w:t>
      </w:r>
      <w:r w:rsidRPr="00327EDA">
        <w:rPr>
          <w:rFonts w:ascii="Arial" w:hAnsi="Arial" w:cs="Arial"/>
          <w:vertAlign w:val="superscript"/>
        </w:rPr>
        <w:t>th</w:t>
      </w:r>
      <w:r w:rsidRPr="00327EDA">
        <w:rPr>
          <w:rFonts w:ascii="Arial" w:hAnsi="Arial" w:cs="Arial"/>
        </w:rPr>
        <w:t xml:space="preserve"> May 2011 he was given a residence card as the family member of an EU citizen, valid until 16 May 2016. </w:t>
      </w:r>
      <w:r w:rsidR="00C46812" w:rsidRPr="00327EDA">
        <w:rPr>
          <w:rFonts w:ascii="Arial" w:hAnsi="Arial" w:cs="Arial"/>
        </w:rPr>
        <w:t xml:space="preserve"> The couple separated on 7</w:t>
      </w:r>
      <w:r w:rsidR="00C46812" w:rsidRPr="00327EDA">
        <w:rPr>
          <w:rFonts w:ascii="Arial" w:hAnsi="Arial" w:cs="Arial"/>
          <w:vertAlign w:val="superscript"/>
        </w:rPr>
        <w:t>th</w:t>
      </w:r>
      <w:r w:rsidR="00C46812" w:rsidRPr="00327EDA">
        <w:rPr>
          <w:rFonts w:ascii="Arial" w:hAnsi="Arial" w:cs="Arial"/>
        </w:rPr>
        <w:t xml:space="preserve"> October 2015 and on 26</w:t>
      </w:r>
      <w:r w:rsidR="00C46812" w:rsidRPr="00327EDA">
        <w:rPr>
          <w:rFonts w:ascii="Arial" w:hAnsi="Arial" w:cs="Arial"/>
          <w:vertAlign w:val="superscript"/>
        </w:rPr>
        <w:t>th</w:t>
      </w:r>
      <w:r w:rsidR="00C46812" w:rsidRPr="00327EDA">
        <w:rPr>
          <w:rFonts w:ascii="Arial" w:hAnsi="Arial" w:cs="Arial"/>
        </w:rPr>
        <w:t xml:space="preserve"> November 2015 Mr Waqar instituted divorce proceedings.</w:t>
      </w:r>
    </w:p>
    <w:p w14:paraId="143F3059" w14:textId="77777777" w:rsidR="001766C0" w:rsidRPr="00327EDA" w:rsidRDefault="001766C0" w:rsidP="001766C0">
      <w:pPr>
        <w:pStyle w:val="ListParagraph"/>
        <w:ind w:left="1560"/>
        <w:contextualSpacing/>
        <w:jc w:val="both"/>
        <w:rPr>
          <w:rFonts w:ascii="Arial" w:hAnsi="Arial" w:cs="Arial"/>
        </w:rPr>
      </w:pPr>
    </w:p>
    <w:p w14:paraId="572E7084" w14:textId="77777777" w:rsidR="00C80934" w:rsidRPr="00327EDA" w:rsidRDefault="00316BC1" w:rsidP="00A44483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By application made on 9</w:t>
      </w:r>
      <w:r w:rsidRPr="00327EDA">
        <w:rPr>
          <w:rFonts w:ascii="Arial" w:hAnsi="Arial" w:cs="Arial"/>
          <w:vertAlign w:val="superscript"/>
        </w:rPr>
        <w:t>th</w:t>
      </w:r>
      <w:r w:rsidRPr="00327EDA">
        <w:rPr>
          <w:rFonts w:ascii="Arial" w:hAnsi="Arial" w:cs="Arial"/>
        </w:rPr>
        <w:t xml:space="preserve"> May 2016 to the respondent</w:t>
      </w:r>
      <w:r w:rsidR="006247D1" w:rsidRPr="00327EDA">
        <w:rPr>
          <w:rFonts w:ascii="Arial" w:hAnsi="Arial" w:cs="Arial"/>
        </w:rPr>
        <w:t>,</w:t>
      </w:r>
      <w:r w:rsidRPr="00327EDA">
        <w:rPr>
          <w:rFonts w:ascii="Arial" w:hAnsi="Arial" w:cs="Arial"/>
        </w:rPr>
        <w:t xml:space="preserve"> Mr Waqar sought a residence permit under regulation 10 </w:t>
      </w:r>
      <w:r w:rsidR="003417D2" w:rsidRPr="00327EDA">
        <w:rPr>
          <w:rFonts w:ascii="Arial" w:hAnsi="Arial" w:cs="Arial"/>
        </w:rPr>
        <w:t xml:space="preserve">(retained right of residence) </w:t>
      </w:r>
      <w:r w:rsidRPr="00327EDA">
        <w:rPr>
          <w:rFonts w:ascii="Arial" w:hAnsi="Arial" w:cs="Arial"/>
        </w:rPr>
        <w:t xml:space="preserve">and 15 </w:t>
      </w:r>
      <w:r w:rsidR="003417D2" w:rsidRPr="00327EDA">
        <w:rPr>
          <w:rFonts w:ascii="Arial" w:hAnsi="Arial" w:cs="Arial"/>
        </w:rPr>
        <w:t xml:space="preserve">(permanent right of residence) </w:t>
      </w:r>
      <w:r w:rsidRPr="00327EDA">
        <w:rPr>
          <w:rFonts w:ascii="Arial" w:hAnsi="Arial" w:cs="Arial"/>
        </w:rPr>
        <w:t xml:space="preserve">of the 2006 Regulations. </w:t>
      </w:r>
      <w:r w:rsidR="001766C0" w:rsidRPr="00327EDA">
        <w:rPr>
          <w:rFonts w:ascii="Arial" w:hAnsi="Arial" w:cs="Arial"/>
        </w:rPr>
        <w:t xml:space="preserve">In </w:t>
      </w:r>
      <w:r w:rsidR="003417D2" w:rsidRPr="00327EDA">
        <w:rPr>
          <w:rFonts w:ascii="Arial" w:hAnsi="Arial" w:cs="Arial"/>
        </w:rPr>
        <w:t>his</w:t>
      </w:r>
      <w:r w:rsidR="001766C0" w:rsidRPr="00327EDA">
        <w:rPr>
          <w:rFonts w:ascii="Arial" w:hAnsi="Arial" w:cs="Arial"/>
        </w:rPr>
        <w:t xml:space="preserve"> application he drew attention to the Home Office policy v13.0 published on 1 October 2015</w:t>
      </w:r>
      <w:r w:rsidR="00392FF4" w:rsidRPr="00327EDA">
        <w:rPr>
          <w:rFonts w:ascii="Arial" w:hAnsi="Arial" w:cs="Arial"/>
        </w:rPr>
        <w:t>. He gave the former matrimonial home address, his current address and stated that he and his wife were no longer in contact. In support of his application he provided various documents</w:t>
      </w:r>
      <w:r w:rsidR="00F558F2" w:rsidRPr="00327EDA">
        <w:rPr>
          <w:rFonts w:ascii="Arial" w:hAnsi="Arial" w:cs="Arial"/>
        </w:rPr>
        <w:t xml:space="preserve">. The respondent </w:t>
      </w:r>
      <w:r w:rsidR="00C80934" w:rsidRPr="00327EDA">
        <w:rPr>
          <w:rFonts w:ascii="Arial" w:hAnsi="Arial" w:cs="Arial"/>
        </w:rPr>
        <w:t xml:space="preserve">took the view that Mr Waqar had provided insufficient evidence to show that his (now former) spouse was exercising Treaty rights </w:t>
      </w:r>
      <w:r w:rsidR="00066ECA" w:rsidRPr="00327EDA">
        <w:rPr>
          <w:rFonts w:ascii="Arial" w:hAnsi="Arial" w:cs="Arial"/>
        </w:rPr>
        <w:t>for a continuous period of 5 years whilst employed and self-employed. She did not take issue with the evidence provided for the period up to</w:t>
      </w:r>
      <w:r w:rsidR="00C80934" w:rsidRPr="00327EDA">
        <w:rPr>
          <w:rFonts w:ascii="Arial" w:hAnsi="Arial" w:cs="Arial"/>
        </w:rPr>
        <w:t xml:space="preserve"> 31 January 2013</w:t>
      </w:r>
      <w:r w:rsidR="00066ECA" w:rsidRPr="00327EDA">
        <w:rPr>
          <w:rFonts w:ascii="Arial" w:hAnsi="Arial" w:cs="Arial"/>
        </w:rPr>
        <w:t>.</w:t>
      </w:r>
      <w:r w:rsidR="00C80934" w:rsidRPr="00327EDA">
        <w:rPr>
          <w:rFonts w:ascii="Arial" w:hAnsi="Arial" w:cs="Arial"/>
        </w:rPr>
        <w:t xml:space="preserve"> She </w:t>
      </w:r>
      <w:r w:rsidR="0053688D" w:rsidRPr="00327EDA">
        <w:rPr>
          <w:rFonts w:ascii="Arial" w:hAnsi="Arial" w:cs="Arial"/>
        </w:rPr>
        <w:t>took issue with the following evidence relating to the spouse’s income</w:t>
      </w:r>
      <w:r w:rsidR="00C80934" w:rsidRPr="00327EDA">
        <w:rPr>
          <w:rFonts w:ascii="Arial" w:hAnsi="Arial" w:cs="Arial"/>
        </w:rPr>
        <w:t>:</w:t>
      </w:r>
    </w:p>
    <w:p w14:paraId="2B9F5BE9" w14:textId="77777777" w:rsidR="00C80934" w:rsidRPr="00327EDA" w:rsidRDefault="00C80934" w:rsidP="00C80934">
      <w:pPr>
        <w:pStyle w:val="ListParagraph"/>
        <w:rPr>
          <w:rFonts w:ascii="Arial" w:hAnsi="Arial" w:cs="Arial"/>
        </w:rPr>
      </w:pPr>
    </w:p>
    <w:p w14:paraId="1B95B8F6" w14:textId="77777777" w:rsidR="00067D2A" w:rsidRPr="00327EDA" w:rsidRDefault="00C80934" w:rsidP="00392FF4">
      <w:pPr>
        <w:pStyle w:val="ListParagraph"/>
        <w:numPr>
          <w:ilvl w:val="0"/>
          <w:numId w:val="30"/>
        </w:numPr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The P60</w:t>
      </w:r>
      <w:r w:rsidR="00067D2A" w:rsidRPr="00327EDA">
        <w:rPr>
          <w:rFonts w:ascii="Arial" w:hAnsi="Arial" w:cs="Arial"/>
        </w:rPr>
        <w:t xml:space="preserve"> dated 5</w:t>
      </w:r>
      <w:r w:rsidR="00067D2A" w:rsidRPr="00327EDA">
        <w:rPr>
          <w:rFonts w:ascii="Arial" w:hAnsi="Arial" w:cs="Arial"/>
          <w:vertAlign w:val="superscript"/>
        </w:rPr>
        <w:t>th</w:t>
      </w:r>
      <w:r w:rsidR="00067D2A" w:rsidRPr="00327EDA">
        <w:rPr>
          <w:rFonts w:ascii="Arial" w:hAnsi="Arial" w:cs="Arial"/>
        </w:rPr>
        <w:t xml:space="preserve"> April 2014 showing earnings of £1487 was too low to hit the primary earnings threshold for a year’s employment;</w:t>
      </w:r>
    </w:p>
    <w:p w14:paraId="59E57B80" w14:textId="77777777" w:rsidR="003417D2" w:rsidRPr="00327EDA" w:rsidRDefault="00067D2A" w:rsidP="00392FF4">
      <w:pPr>
        <w:pStyle w:val="ListParagraph"/>
        <w:numPr>
          <w:ilvl w:val="0"/>
          <w:numId w:val="30"/>
        </w:numPr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The three HMRC self</w:t>
      </w:r>
      <w:r w:rsidR="00066ECA" w:rsidRPr="00327EDA">
        <w:rPr>
          <w:rFonts w:ascii="Arial" w:hAnsi="Arial" w:cs="Arial"/>
        </w:rPr>
        <w:t>-</w:t>
      </w:r>
      <w:r w:rsidRPr="00327EDA">
        <w:rPr>
          <w:rFonts w:ascii="Arial" w:hAnsi="Arial" w:cs="Arial"/>
        </w:rPr>
        <w:t>assessment letters dated 30</w:t>
      </w:r>
      <w:r w:rsidRPr="00327EDA">
        <w:rPr>
          <w:rFonts w:ascii="Arial" w:hAnsi="Arial" w:cs="Arial"/>
          <w:vertAlign w:val="superscript"/>
        </w:rPr>
        <w:t>th</w:t>
      </w:r>
      <w:r w:rsidRPr="00327EDA">
        <w:rPr>
          <w:rFonts w:ascii="Arial" w:hAnsi="Arial" w:cs="Arial"/>
        </w:rPr>
        <w:t xml:space="preserve"> April 2013</w:t>
      </w:r>
      <w:r w:rsidR="00341AAD" w:rsidRPr="00327EDA">
        <w:rPr>
          <w:rFonts w:ascii="Arial" w:hAnsi="Arial" w:cs="Arial"/>
        </w:rPr>
        <w:t xml:space="preserve"> </w:t>
      </w:r>
      <w:r w:rsidR="00AE43B7" w:rsidRPr="00327EDA">
        <w:rPr>
          <w:rFonts w:ascii="Arial" w:hAnsi="Arial" w:cs="Arial"/>
        </w:rPr>
        <w:t>(</w:t>
      </w:r>
      <w:r w:rsidR="00341AAD" w:rsidRPr="00327EDA">
        <w:rPr>
          <w:rFonts w:ascii="Arial" w:hAnsi="Arial" w:cs="Arial"/>
        </w:rPr>
        <w:t>tax return filing reminder)</w:t>
      </w:r>
      <w:r w:rsidRPr="00327EDA">
        <w:rPr>
          <w:rFonts w:ascii="Arial" w:hAnsi="Arial" w:cs="Arial"/>
        </w:rPr>
        <w:t>, September 2014</w:t>
      </w:r>
      <w:r w:rsidR="006C51D2" w:rsidRPr="00327EDA">
        <w:rPr>
          <w:rFonts w:ascii="Arial" w:hAnsi="Arial" w:cs="Arial"/>
        </w:rPr>
        <w:t xml:space="preserve"> (notification of late filing penalty of £200 for 12/13 and 13/14)</w:t>
      </w:r>
      <w:r w:rsidRPr="00327EDA">
        <w:rPr>
          <w:rFonts w:ascii="Arial" w:hAnsi="Arial" w:cs="Arial"/>
        </w:rPr>
        <w:t xml:space="preserve"> and 8</w:t>
      </w:r>
      <w:r w:rsidRPr="00327EDA">
        <w:rPr>
          <w:rFonts w:ascii="Arial" w:hAnsi="Arial" w:cs="Arial"/>
          <w:vertAlign w:val="superscript"/>
        </w:rPr>
        <w:t>th</w:t>
      </w:r>
      <w:r w:rsidRPr="00327EDA">
        <w:rPr>
          <w:rFonts w:ascii="Arial" w:hAnsi="Arial" w:cs="Arial"/>
        </w:rPr>
        <w:t xml:space="preserve"> September 2015 </w:t>
      </w:r>
      <w:r w:rsidR="006C51D2" w:rsidRPr="00327EDA">
        <w:rPr>
          <w:rFonts w:ascii="Arial" w:hAnsi="Arial" w:cs="Arial"/>
        </w:rPr>
        <w:t>(tax due of £3244.25 including late filing penalty</w:t>
      </w:r>
      <w:r w:rsidR="00AF4600" w:rsidRPr="00327EDA">
        <w:rPr>
          <w:rFonts w:ascii="Arial" w:hAnsi="Arial" w:cs="Arial"/>
        </w:rPr>
        <w:t xml:space="preserve"> and tax due brought forward from previous statement on 18 June 2015 of £2626.27</w:t>
      </w:r>
      <w:r w:rsidR="00341AAD" w:rsidRPr="00327EDA">
        <w:rPr>
          <w:rFonts w:ascii="Arial" w:hAnsi="Arial" w:cs="Arial"/>
        </w:rPr>
        <w:t xml:space="preserve">) </w:t>
      </w:r>
      <w:r w:rsidRPr="00327EDA">
        <w:rPr>
          <w:rFonts w:ascii="Arial" w:hAnsi="Arial" w:cs="Arial"/>
        </w:rPr>
        <w:t>were insufficient to demonstrate genuine and effective s</w:t>
      </w:r>
      <w:r w:rsidR="00066ECA" w:rsidRPr="00327EDA">
        <w:rPr>
          <w:rFonts w:ascii="Arial" w:hAnsi="Arial" w:cs="Arial"/>
        </w:rPr>
        <w:t>elf-</w:t>
      </w:r>
      <w:r w:rsidRPr="00327EDA">
        <w:rPr>
          <w:rFonts w:ascii="Arial" w:hAnsi="Arial" w:cs="Arial"/>
        </w:rPr>
        <w:t>employment</w:t>
      </w:r>
      <w:r w:rsidR="00341AAD" w:rsidRPr="00327EDA">
        <w:rPr>
          <w:rFonts w:ascii="Arial" w:hAnsi="Arial" w:cs="Arial"/>
        </w:rPr>
        <w:t>.</w:t>
      </w:r>
    </w:p>
    <w:p w14:paraId="53BFB7F0" w14:textId="77777777" w:rsidR="003417D2" w:rsidRPr="00327EDA" w:rsidRDefault="003417D2" w:rsidP="003417D2">
      <w:pPr>
        <w:pStyle w:val="ListParagraph"/>
        <w:rPr>
          <w:rFonts w:ascii="Arial" w:hAnsi="Arial" w:cs="Arial"/>
        </w:rPr>
      </w:pPr>
    </w:p>
    <w:p w14:paraId="7D00553D" w14:textId="77777777" w:rsidR="0053688D" w:rsidRPr="00327EDA" w:rsidRDefault="005F058B" w:rsidP="005F058B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A P45 for month 9 dated 23</w:t>
      </w:r>
      <w:r w:rsidRPr="00327EDA">
        <w:rPr>
          <w:rFonts w:ascii="Arial" w:hAnsi="Arial" w:cs="Arial"/>
          <w:vertAlign w:val="superscript"/>
        </w:rPr>
        <w:t>rd</w:t>
      </w:r>
      <w:r w:rsidRPr="00327EDA">
        <w:rPr>
          <w:rFonts w:ascii="Arial" w:hAnsi="Arial" w:cs="Arial"/>
        </w:rPr>
        <w:t xml:space="preserve"> December </w:t>
      </w:r>
      <w:r w:rsidR="006C51D2" w:rsidRPr="00327EDA">
        <w:rPr>
          <w:rFonts w:ascii="Arial" w:hAnsi="Arial" w:cs="Arial"/>
        </w:rPr>
        <w:t xml:space="preserve">2014 </w:t>
      </w:r>
      <w:r w:rsidR="0053688D" w:rsidRPr="00327EDA">
        <w:rPr>
          <w:rFonts w:ascii="Arial" w:hAnsi="Arial" w:cs="Arial"/>
        </w:rPr>
        <w:t xml:space="preserve">for Mr Waqar’s spouse </w:t>
      </w:r>
      <w:r w:rsidR="006C51D2" w:rsidRPr="00327EDA">
        <w:rPr>
          <w:rFonts w:ascii="Arial" w:hAnsi="Arial" w:cs="Arial"/>
        </w:rPr>
        <w:t>showed pay to that date of £3430.</w:t>
      </w:r>
      <w:r w:rsidR="00AF4600" w:rsidRPr="00327EDA">
        <w:rPr>
          <w:rFonts w:ascii="Arial" w:hAnsi="Arial" w:cs="Arial"/>
        </w:rPr>
        <w:t xml:space="preserve"> </w:t>
      </w:r>
    </w:p>
    <w:p w14:paraId="10D30A50" w14:textId="77777777" w:rsidR="0053688D" w:rsidRPr="00327EDA" w:rsidRDefault="0053688D" w:rsidP="0053688D">
      <w:pPr>
        <w:pStyle w:val="ListParagraph"/>
        <w:ind w:left="1560"/>
        <w:contextualSpacing/>
        <w:jc w:val="both"/>
        <w:rPr>
          <w:rFonts w:ascii="Arial" w:hAnsi="Arial" w:cs="Arial"/>
        </w:rPr>
      </w:pPr>
    </w:p>
    <w:p w14:paraId="0B3F4A00" w14:textId="77777777" w:rsidR="00E92AE7" w:rsidRPr="00327EDA" w:rsidRDefault="0053688D" w:rsidP="005F058B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 xml:space="preserve">Mr Waqar’s evidence of </w:t>
      </w:r>
      <w:r w:rsidR="00E92AE7" w:rsidRPr="00327EDA">
        <w:rPr>
          <w:rFonts w:ascii="Arial" w:hAnsi="Arial" w:cs="Arial"/>
        </w:rPr>
        <w:t xml:space="preserve">gross </w:t>
      </w:r>
      <w:r w:rsidRPr="00327EDA">
        <w:rPr>
          <w:rFonts w:ascii="Arial" w:hAnsi="Arial" w:cs="Arial"/>
        </w:rPr>
        <w:t xml:space="preserve">income </w:t>
      </w:r>
      <w:r w:rsidR="00E92AE7" w:rsidRPr="00327EDA">
        <w:rPr>
          <w:rFonts w:ascii="Arial" w:hAnsi="Arial" w:cs="Arial"/>
        </w:rPr>
        <w:t>showed</w:t>
      </w:r>
    </w:p>
    <w:p w14:paraId="1606988D" w14:textId="77777777" w:rsidR="00E92AE7" w:rsidRPr="00327EDA" w:rsidRDefault="00E92AE7" w:rsidP="00E92AE7">
      <w:pPr>
        <w:pStyle w:val="ListParagraph"/>
        <w:rPr>
          <w:rFonts w:ascii="Arial" w:hAnsi="Arial" w:cs="Arial"/>
        </w:rPr>
      </w:pPr>
    </w:p>
    <w:p w14:paraId="161715B1" w14:textId="77777777" w:rsidR="00E92AE7" w:rsidRPr="00327EDA" w:rsidRDefault="00E92AE7" w:rsidP="00E92AE7">
      <w:pPr>
        <w:pStyle w:val="ListParagraph"/>
        <w:numPr>
          <w:ilvl w:val="0"/>
          <w:numId w:val="31"/>
        </w:numPr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2013/14</w:t>
      </w:r>
      <w:r w:rsidRPr="00327EDA">
        <w:rPr>
          <w:rFonts w:ascii="Arial" w:hAnsi="Arial" w:cs="Arial"/>
        </w:rPr>
        <w:tab/>
        <w:t>£9274</w:t>
      </w:r>
    </w:p>
    <w:p w14:paraId="0EA7F12F" w14:textId="77777777" w:rsidR="00E92AE7" w:rsidRPr="00327EDA" w:rsidRDefault="00E92AE7" w:rsidP="00E92AE7">
      <w:pPr>
        <w:pStyle w:val="ListParagraph"/>
        <w:numPr>
          <w:ilvl w:val="0"/>
          <w:numId w:val="31"/>
        </w:numPr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2014/15</w:t>
      </w:r>
      <w:r w:rsidRPr="00327EDA">
        <w:rPr>
          <w:rFonts w:ascii="Arial" w:hAnsi="Arial" w:cs="Arial"/>
        </w:rPr>
        <w:tab/>
        <w:t>£16860</w:t>
      </w:r>
    </w:p>
    <w:p w14:paraId="5BDC4F4C" w14:textId="77777777" w:rsidR="00E92AE7" w:rsidRPr="00327EDA" w:rsidRDefault="00E92AE7" w:rsidP="00E92AE7">
      <w:pPr>
        <w:pStyle w:val="ListParagraph"/>
        <w:numPr>
          <w:ilvl w:val="0"/>
          <w:numId w:val="31"/>
        </w:numPr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2015/16</w:t>
      </w:r>
      <w:r w:rsidRPr="00327EDA">
        <w:rPr>
          <w:rFonts w:ascii="Arial" w:hAnsi="Arial" w:cs="Arial"/>
        </w:rPr>
        <w:tab/>
        <w:t>£25405</w:t>
      </w:r>
    </w:p>
    <w:p w14:paraId="2DDAEB6E" w14:textId="77777777" w:rsidR="006F229A" w:rsidRPr="00327EDA" w:rsidRDefault="00E92AE7" w:rsidP="00E92AE7">
      <w:pPr>
        <w:pStyle w:val="ListParagraph"/>
        <w:numPr>
          <w:ilvl w:val="0"/>
          <w:numId w:val="31"/>
        </w:numPr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2016/17</w:t>
      </w:r>
      <w:r w:rsidRPr="00327EDA">
        <w:rPr>
          <w:rFonts w:ascii="Arial" w:hAnsi="Arial" w:cs="Arial"/>
        </w:rPr>
        <w:tab/>
        <w:t>£6483</w:t>
      </w:r>
    </w:p>
    <w:p w14:paraId="4286A61D" w14:textId="77777777" w:rsidR="00BF3A5A" w:rsidRPr="00327EDA" w:rsidRDefault="00BF3A5A" w:rsidP="004C040C">
      <w:pPr>
        <w:ind w:left="1557"/>
        <w:contextualSpacing/>
        <w:jc w:val="both"/>
        <w:rPr>
          <w:rFonts w:ascii="Arial" w:hAnsi="Arial" w:cs="Arial"/>
        </w:rPr>
      </w:pPr>
    </w:p>
    <w:p w14:paraId="429F877E" w14:textId="77777777" w:rsidR="004C040C" w:rsidRPr="00327EDA" w:rsidRDefault="006F229A" w:rsidP="004C040C">
      <w:pPr>
        <w:ind w:left="1557"/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A letter from his employers dated 11 May 2016 sta</w:t>
      </w:r>
      <w:r w:rsidR="004C040C" w:rsidRPr="00327EDA">
        <w:rPr>
          <w:rFonts w:ascii="Arial" w:hAnsi="Arial" w:cs="Arial"/>
        </w:rPr>
        <w:t>t</w:t>
      </w:r>
      <w:r w:rsidRPr="00327EDA">
        <w:rPr>
          <w:rFonts w:ascii="Arial" w:hAnsi="Arial" w:cs="Arial"/>
        </w:rPr>
        <w:t xml:space="preserve">ed that Mr Waqar was paid £7.20 per hour and worked </w:t>
      </w:r>
      <w:r w:rsidR="004C040C" w:rsidRPr="00327EDA">
        <w:rPr>
          <w:rFonts w:ascii="Arial" w:hAnsi="Arial" w:cs="Arial"/>
        </w:rPr>
        <w:t>an average of 55 hours per week – this equates to approximately £20,592 gross per annum.</w:t>
      </w:r>
    </w:p>
    <w:p w14:paraId="7D1DC842" w14:textId="77777777" w:rsidR="004C040C" w:rsidRPr="00327EDA" w:rsidRDefault="004C040C" w:rsidP="004C040C">
      <w:pPr>
        <w:pStyle w:val="ListParagraph"/>
        <w:ind w:left="1560"/>
        <w:contextualSpacing/>
        <w:jc w:val="both"/>
        <w:rPr>
          <w:rFonts w:ascii="Arial" w:hAnsi="Arial" w:cs="Arial"/>
        </w:rPr>
      </w:pPr>
    </w:p>
    <w:p w14:paraId="7A9883DC" w14:textId="77777777" w:rsidR="007628BC" w:rsidRPr="00327EDA" w:rsidRDefault="007628BC" w:rsidP="007628BC">
      <w:pPr>
        <w:pStyle w:val="ListParagraph"/>
        <w:rPr>
          <w:rFonts w:ascii="Arial" w:hAnsi="Arial" w:cs="Arial"/>
        </w:rPr>
      </w:pPr>
    </w:p>
    <w:p w14:paraId="480780BD" w14:textId="77777777" w:rsidR="007628BC" w:rsidRPr="00327EDA" w:rsidRDefault="007628BC" w:rsidP="007628BC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The First-tier Tribunal judge d</w:t>
      </w:r>
      <w:r w:rsidR="001114C8" w:rsidRPr="00327EDA">
        <w:rPr>
          <w:rFonts w:ascii="Arial" w:hAnsi="Arial" w:cs="Arial"/>
        </w:rPr>
        <w:t xml:space="preserve">id </w:t>
      </w:r>
      <w:r w:rsidRPr="00327EDA">
        <w:rPr>
          <w:rFonts w:ascii="Arial" w:hAnsi="Arial" w:cs="Arial"/>
        </w:rPr>
        <w:t xml:space="preserve">not, in his decision make clear what documents he </w:t>
      </w:r>
      <w:r w:rsidR="0097096A" w:rsidRPr="00327EDA">
        <w:rPr>
          <w:rFonts w:ascii="Arial" w:hAnsi="Arial" w:cs="Arial"/>
        </w:rPr>
        <w:t>was</w:t>
      </w:r>
      <w:r w:rsidRPr="00327EDA">
        <w:rPr>
          <w:rFonts w:ascii="Arial" w:hAnsi="Arial" w:cs="Arial"/>
        </w:rPr>
        <w:t xml:space="preserve"> referring to </w:t>
      </w:r>
      <w:r w:rsidR="00031B1F" w:rsidRPr="00327EDA">
        <w:rPr>
          <w:rFonts w:ascii="Arial" w:hAnsi="Arial" w:cs="Arial"/>
        </w:rPr>
        <w:t>i.e.</w:t>
      </w:r>
      <w:r w:rsidRPr="00327EDA">
        <w:rPr>
          <w:rFonts w:ascii="Arial" w:hAnsi="Arial" w:cs="Arial"/>
        </w:rPr>
        <w:t xml:space="preserve"> whether they </w:t>
      </w:r>
      <w:r w:rsidR="00884932" w:rsidRPr="00327EDA">
        <w:rPr>
          <w:rFonts w:ascii="Arial" w:hAnsi="Arial" w:cs="Arial"/>
        </w:rPr>
        <w:t>were</w:t>
      </w:r>
      <w:r w:rsidRPr="00327EDA">
        <w:rPr>
          <w:rFonts w:ascii="Arial" w:hAnsi="Arial" w:cs="Arial"/>
        </w:rPr>
        <w:t xml:space="preserve"> documents relating to the appellant’s income or whether they </w:t>
      </w:r>
      <w:r w:rsidR="00884932" w:rsidRPr="00327EDA">
        <w:rPr>
          <w:rFonts w:ascii="Arial" w:hAnsi="Arial" w:cs="Arial"/>
        </w:rPr>
        <w:t>were</w:t>
      </w:r>
      <w:r w:rsidRPr="00327EDA">
        <w:rPr>
          <w:rFonts w:ascii="Arial" w:hAnsi="Arial" w:cs="Arial"/>
        </w:rPr>
        <w:t xml:space="preserve"> documents relating to his former spouse’s income</w:t>
      </w:r>
      <w:r w:rsidR="00CA4C05" w:rsidRPr="00327EDA">
        <w:rPr>
          <w:rFonts w:ascii="Arial" w:hAnsi="Arial" w:cs="Arial"/>
        </w:rPr>
        <w:t xml:space="preserve"> although it can be surmised by r</w:t>
      </w:r>
      <w:r w:rsidR="00AE43B7" w:rsidRPr="00327EDA">
        <w:rPr>
          <w:rFonts w:ascii="Arial" w:hAnsi="Arial" w:cs="Arial"/>
        </w:rPr>
        <w:t>e</w:t>
      </w:r>
      <w:r w:rsidR="00CA4C05" w:rsidRPr="00327EDA">
        <w:rPr>
          <w:rFonts w:ascii="Arial" w:hAnsi="Arial" w:cs="Arial"/>
        </w:rPr>
        <w:t xml:space="preserve">ference to documents that were produced to the respondent and in the First-tier Tribunal bundle what he is referring to. </w:t>
      </w:r>
      <w:r w:rsidRPr="00327EDA">
        <w:rPr>
          <w:rFonts w:ascii="Arial" w:hAnsi="Arial" w:cs="Arial"/>
        </w:rPr>
        <w:t>First-tier Tribunal Judge Telford state</w:t>
      </w:r>
      <w:r w:rsidR="0097096A" w:rsidRPr="00327EDA">
        <w:rPr>
          <w:rFonts w:ascii="Arial" w:hAnsi="Arial" w:cs="Arial"/>
        </w:rPr>
        <w:t>d</w:t>
      </w:r>
      <w:r w:rsidRPr="00327EDA">
        <w:rPr>
          <w:rFonts w:ascii="Arial" w:hAnsi="Arial" w:cs="Arial"/>
        </w:rPr>
        <w:t xml:space="preserve"> that there was “no evidence from 31</w:t>
      </w:r>
      <w:r w:rsidRPr="00327EDA">
        <w:rPr>
          <w:rFonts w:ascii="Arial" w:hAnsi="Arial" w:cs="Arial"/>
          <w:vertAlign w:val="superscript"/>
        </w:rPr>
        <w:t>st</w:t>
      </w:r>
      <w:r w:rsidRPr="00327EDA">
        <w:rPr>
          <w:rFonts w:ascii="Arial" w:hAnsi="Arial" w:cs="Arial"/>
        </w:rPr>
        <w:t xml:space="preserve"> January 2013 onwards”</w:t>
      </w:r>
      <w:r w:rsidR="00AE43B7" w:rsidRPr="00327EDA">
        <w:rPr>
          <w:rFonts w:ascii="Arial" w:hAnsi="Arial" w:cs="Arial"/>
        </w:rPr>
        <w:t xml:space="preserve"> of income</w:t>
      </w:r>
      <w:r w:rsidRPr="00327EDA">
        <w:rPr>
          <w:rFonts w:ascii="Arial" w:hAnsi="Arial" w:cs="Arial"/>
        </w:rPr>
        <w:t>. This is incorrect</w:t>
      </w:r>
      <w:r w:rsidR="00AE43B7" w:rsidRPr="00327EDA">
        <w:rPr>
          <w:rFonts w:ascii="Arial" w:hAnsi="Arial" w:cs="Arial"/>
        </w:rPr>
        <w:t xml:space="preserve"> - see above</w:t>
      </w:r>
      <w:r w:rsidRPr="00327EDA">
        <w:rPr>
          <w:rFonts w:ascii="Arial" w:hAnsi="Arial" w:cs="Arial"/>
        </w:rPr>
        <w:t xml:space="preserve">. </w:t>
      </w:r>
    </w:p>
    <w:p w14:paraId="62E2A933" w14:textId="77777777" w:rsidR="00EF5E91" w:rsidRPr="00327EDA" w:rsidRDefault="00EF5E91" w:rsidP="00EF5E91">
      <w:pPr>
        <w:pStyle w:val="ListParagraph"/>
        <w:rPr>
          <w:rFonts w:ascii="Arial" w:hAnsi="Arial" w:cs="Arial"/>
        </w:rPr>
      </w:pPr>
    </w:p>
    <w:p w14:paraId="2C8201DD" w14:textId="77777777" w:rsidR="00F558F2" w:rsidRPr="00327EDA" w:rsidRDefault="00F558F2" w:rsidP="00F558F2">
      <w:pPr>
        <w:pStyle w:val="ListParagraph"/>
        <w:ind w:firstLine="270"/>
        <w:rPr>
          <w:rFonts w:ascii="Arial" w:hAnsi="Arial" w:cs="Arial"/>
        </w:rPr>
      </w:pPr>
      <w:r w:rsidRPr="00327EDA">
        <w:rPr>
          <w:rFonts w:ascii="Arial" w:hAnsi="Arial" w:cs="Arial"/>
        </w:rPr>
        <w:t>Regulation 10, retained rights of residence</w:t>
      </w:r>
    </w:p>
    <w:p w14:paraId="128E4A30" w14:textId="77777777" w:rsidR="00F558F2" w:rsidRPr="00327EDA" w:rsidRDefault="00F558F2" w:rsidP="00EF5E91">
      <w:pPr>
        <w:pStyle w:val="ListParagraph"/>
        <w:rPr>
          <w:rFonts w:ascii="Arial" w:hAnsi="Arial" w:cs="Arial"/>
        </w:rPr>
      </w:pPr>
    </w:p>
    <w:p w14:paraId="77C0D12D" w14:textId="77777777" w:rsidR="000918E5" w:rsidRPr="00327EDA" w:rsidRDefault="003201BD" w:rsidP="003201BD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Although at the d</w:t>
      </w:r>
      <w:r w:rsidR="00F558F2" w:rsidRPr="00327EDA">
        <w:rPr>
          <w:rFonts w:ascii="Arial" w:hAnsi="Arial" w:cs="Arial"/>
        </w:rPr>
        <w:t>a</w:t>
      </w:r>
      <w:r w:rsidRPr="00327EDA">
        <w:rPr>
          <w:rFonts w:ascii="Arial" w:hAnsi="Arial" w:cs="Arial"/>
        </w:rPr>
        <w:t>te of application and date of decision, Mr Waqar was not divorced, by the date of the hearing he was divorced</w:t>
      </w:r>
      <w:r w:rsidR="00101ACE" w:rsidRPr="00327EDA">
        <w:rPr>
          <w:rFonts w:ascii="Arial" w:hAnsi="Arial" w:cs="Arial"/>
        </w:rPr>
        <w:t xml:space="preserve"> (decree absolute pronounced on 15</w:t>
      </w:r>
      <w:r w:rsidR="00101ACE" w:rsidRPr="00327EDA">
        <w:rPr>
          <w:rFonts w:ascii="Arial" w:hAnsi="Arial" w:cs="Arial"/>
          <w:vertAlign w:val="superscript"/>
        </w:rPr>
        <w:t>th</w:t>
      </w:r>
      <w:r w:rsidR="00101ACE" w:rsidRPr="00327EDA">
        <w:rPr>
          <w:rFonts w:ascii="Arial" w:hAnsi="Arial" w:cs="Arial"/>
        </w:rPr>
        <w:t xml:space="preserve"> May 2017)</w:t>
      </w:r>
      <w:r w:rsidRPr="00327EDA">
        <w:rPr>
          <w:rFonts w:ascii="Arial" w:hAnsi="Arial" w:cs="Arial"/>
        </w:rPr>
        <w:t xml:space="preserve"> and the respondent no longer relied upon tha</w:t>
      </w:r>
      <w:r w:rsidR="00F558F2" w:rsidRPr="00327EDA">
        <w:rPr>
          <w:rFonts w:ascii="Arial" w:hAnsi="Arial" w:cs="Arial"/>
        </w:rPr>
        <w:t>t</w:t>
      </w:r>
      <w:r w:rsidRPr="00327EDA">
        <w:rPr>
          <w:rFonts w:ascii="Arial" w:hAnsi="Arial" w:cs="Arial"/>
        </w:rPr>
        <w:t xml:space="preserve"> lack of divorce in support of her decision to refuse his application for a retained right of residence</w:t>
      </w:r>
      <w:r w:rsidR="00F558F2" w:rsidRPr="00327EDA">
        <w:rPr>
          <w:rFonts w:ascii="Arial" w:hAnsi="Arial" w:cs="Arial"/>
        </w:rPr>
        <w:t xml:space="preserve">. The respondent had not considered the application for retained rights of residence other than in the context of the divorce. </w:t>
      </w:r>
    </w:p>
    <w:p w14:paraId="3B259EF6" w14:textId="77777777" w:rsidR="000918E5" w:rsidRPr="00327EDA" w:rsidRDefault="000918E5" w:rsidP="000918E5">
      <w:pPr>
        <w:pStyle w:val="ListParagraph"/>
        <w:ind w:left="1560"/>
        <w:contextualSpacing/>
        <w:jc w:val="both"/>
        <w:rPr>
          <w:rFonts w:ascii="Arial" w:hAnsi="Arial" w:cs="Arial"/>
        </w:rPr>
      </w:pPr>
    </w:p>
    <w:p w14:paraId="2D5027B3" w14:textId="77777777" w:rsidR="009A1884" w:rsidRPr="00327EDA" w:rsidRDefault="009A1884" w:rsidP="003201BD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proofErr w:type="spellStart"/>
      <w:r w:rsidRPr="00327EDA">
        <w:rPr>
          <w:rFonts w:ascii="Arial" w:hAnsi="Arial" w:cs="Arial"/>
          <w:i/>
        </w:rPr>
        <w:t>Baigazieva</w:t>
      </w:r>
      <w:proofErr w:type="spellEnd"/>
      <w:r w:rsidRPr="00327EDA">
        <w:rPr>
          <w:rFonts w:ascii="Arial" w:hAnsi="Arial" w:cs="Arial"/>
          <w:i/>
        </w:rPr>
        <w:t xml:space="preserve"> </w:t>
      </w:r>
      <w:r w:rsidRPr="00327EDA">
        <w:rPr>
          <w:rFonts w:ascii="Arial" w:hAnsi="Arial" w:cs="Arial"/>
        </w:rPr>
        <w:t>[2018] EWCA 1088 (</w:t>
      </w:r>
      <w:proofErr w:type="spellStart"/>
      <w:r w:rsidRPr="00327EDA">
        <w:rPr>
          <w:rFonts w:ascii="Arial" w:hAnsi="Arial" w:cs="Arial"/>
        </w:rPr>
        <w:t>Civ</w:t>
      </w:r>
      <w:proofErr w:type="spellEnd"/>
      <w:r w:rsidRPr="00327EDA">
        <w:rPr>
          <w:rFonts w:ascii="Arial" w:hAnsi="Arial" w:cs="Arial"/>
        </w:rPr>
        <w:t>) held that for a third country national to retain a right of residence in reliance upon regulation 10(5),</w:t>
      </w:r>
      <w:r w:rsidR="001B48F1" w:rsidRPr="00327EDA">
        <w:rPr>
          <w:rFonts w:ascii="Arial" w:hAnsi="Arial" w:cs="Arial"/>
        </w:rPr>
        <w:t xml:space="preserve"> </w:t>
      </w:r>
      <w:r w:rsidRPr="00327EDA">
        <w:rPr>
          <w:rFonts w:ascii="Arial" w:hAnsi="Arial" w:cs="Arial"/>
        </w:rPr>
        <w:t>s/he does not need to show that their former E</w:t>
      </w:r>
      <w:r w:rsidR="001B48F1" w:rsidRPr="00327EDA">
        <w:rPr>
          <w:rFonts w:ascii="Arial" w:hAnsi="Arial" w:cs="Arial"/>
        </w:rPr>
        <w:t>U</w:t>
      </w:r>
      <w:r w:rsidRPr="00327EDA">
        <w:rPr>
          <w:rFonts w:ascii="Arial" w:hAnsi="Arial" w:cs="Arial"/>
        </w:rPr>
        <w:t xml:space="preserve"> spouse exercised treaty rights as a qualified person until the divorce itself but that it is sufficient to show that the former EEA spouse exercised treaty rights until divorce proceedings were instituted. </w:t>
      </w:r>
    </w:p>
    <w:p w14:paraId="770FB9D1" w14:textId="77777777" w:rsidR="007628BC" w:rsidRPr="00327EDA" w:rsidRDefault="007628BC" w:rsidP="007628BC">
      <w:pPr>
        <w:pStyle w:val="ListParagraph"/>
        <w:rPr>
          <w:rFonts w:ascii="Arial" w:hAnsi="Arial" w:cs="Arial"/>
        </w:rPr>
      </w:pPr>
    </w:p>
    <w:p w14:paraId="3158852E" w14:textId="77777777" w:rsidR="00EC60DE" w:rsidRPr="00327EDA" w:rsidRDefault="00AA718C" w:rsidP="003201BD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 xml:space="preserve">In order to successfully claim a retained right of residence, </w:t>
      </w:r>
      <w:r w:rsidR="00922F5B" w:rsidRPr="00327EDA">
        <w:rPr>
          <w:rFonts w:ascii="Arial" w:hAnsi="Arial" w:cs="Arial"/>
        </w:rPr>
        <w:t xml:space="preserve">Mr Waqar would have to show </w:t>
      </w:r>
      <w:r w:rsidR="009A4D85" w:rsidRPr="00327EDA">
        <w:rPr>
          <w:rFonts w:ascii="Arial" w:hAnsi="Arial" w:cs="Arial"/>
        </w:rPr>
        <w:t>that the marriage has lasted at least three years, including one year in the host member state; that his spouse was a qualified person or an EU national with a permanent right of residence</w:t>
      </w:r>
      <w:r w:rsidRPr="00327EDA">
        <w:rPr>
          <w:rFonts w:ascii="Arial" w:hAnsi="Arial" w:cs="Arial"/>
        </w:rPr>
        <w:t xml:space="preserve"> on 26</w:t>
      </w:r>
      <w:r w:rsidRPr="00327EDA">
        <w:rPr>
          <w:rFonts w:ascii="Arial" w:hAnsi="Arial" w:cs="Arial"/>
          <w:vertAlign w:val="superscript"/>
        </w:rPr>
        <w:t>th</w:t>
      </w:r>
      <w:r w:rsidRPr="00327EDA">
        <w:rPr>
          <w:rFonts w:ascii="Arial" w:hAnsi="Arial" w:cs="Arial"/>
        </w:rPr>
        <w:t xml:space="preserve"> November 2015</w:t>
      </w:r>
      <w:r w:rsidR="00847DB8" w:rsidRPr="00327EDA">
        <w:rPr>
          <w:rFonts w:ascii="Arial" w:hAnsi="Arial" w:cs="Arial"/>
        </w:rPr>
        <w:t>; that he was residing in the UK in accordance with the Regulations</w:t>
      </w:r>
      <w:r w:rsidR="004D703C" w:rsidRPr="00327EDA">
        <w:rPr>
          <w:rFonts w:ascii="Arial" w:hAnsi="Arial" w:cs="Arial"/>
        </w:rPr>
        <w:t xml:space="preserve"> on the date of institution of divorce proceedings </w:t>
      </w:r>
      <w:r w:rsidRPr="00327EDA">
        <w:rPr>
          <w:rFonts w:ascii="Arial" w:hAnsi="Arial" w:cs="Arial"/>
        </w:rPr>
        <w:t>on 26</w:t>
      </w:r>
      <w:r w:rsidRPr="00327EDA">
        <w:rPr>
          <w:rFonts w:ascii="Arial" w:hAnsi="Arial" w:cs="Arial"/>
          <w:vertAlign w:val="superscript"/>
        </w:rPr>
        <w:t>th</w:t>
      </w:r>
      <w:r w:rsidRPr="00327EDA">
        <w:rPr>
          <w:rFonts w:ascii="Arial" w:hAnsi="Arial" w:cs="Arial"/>
        </w:rPr>
        <w:t xml:space="preserve"> November 2015 </w:t>
      </w:r>
      <w:r w:rsidR="004D703C" w:rsidRPr="00327EDA">
        <w:rPr>
          <w:rFonts w:ascii="Arial" w:hAnsi="Arial" w:cs="Arial"/>
        </w:rPr>
        <w:t xml:space="preserve">and that if he were an EU national he would be a worker, </w:t>
      </w:r>
      <w:r w:rsidR="00031B1F" w:rsidRPr="00327EDA">
        <w:rPr>
          <w:rFonts w:ascii="Arial" w:hAnsi="Arial" w:cs="Arial"/>
        </w:rPr>
        <w:t>self-employed</w:t>
      </w:r>
      <w:r w:rsidR="004D703C" w:rsidRPr="00327EDA">
        <w:rPr>
          <w:rFonts w:ascii="Arial" w:hAnsi="Arial" w:cs="Arial"/>
        </w:rPr>
        <w:t xml:space="preserve"> or </w:t>
      </w:r>
      <w:r w:rsidR="00031B1F" w:rsidRPr="00327EDA">
        <w:rPr>
          <w:rFonts w:ascii="Arial" w:hAnsi="Arial" w:cs="Arial"/>
        </w:rPr>
        <w:t>self-sufficient</w:t>
      </w:r>
      <w:r w:rsidR="004D703C" w:rsidRPr="00327EDA">
        <w:rPr>
          <w:rFonts w:ascii="Arial" w:hAnsi="Arial" w:cs="Arial"/>
        </w:rPr>
        <w:t xml:space="preserve"> under regulation 6</w:t>
      </w:r>
      <w:r w:rsidRPr="00327EDA">
        <w:rPr>
          <w:rFonts w:ascii="Arial" w:hAnsi="Arial" w:cs="Arial"/>
        </w:rPr>
        <w:t xml:space="preserve">. </w:t>
      </w:r>
      <w:r w:rsidR="00EC60DE" w:rsidRPr="00327EDA">
        <w:rPr>
          <w:rFonts w:ascii="Arial" w:hAnsi="Arial" w:cs="Arial"/>
        </w:rPr>
        <w:t xml:space="preserve"> Mr Waqar </w:t>
      </w:r>
      <w:r w:rsidR="00031B1F" w:rsidRPr="00327EDA">
        <w:rPr>
          <w:rFonts w:ascii="Arial" w:hAnsi="Arial" w:cs="Arial"/>
        </w:rPr>
        <w:t>can</w:t>
      </w:r>
      <w:r w:rsidR="00EC60DE" w:rsidRPr="00327EDA">
        <w:rPr>
          <w:rFonts w:ascii="Arial" w:hAnsi="Arial" w:cs="Arial"/>
        </w:rPr>
        <w:t xml:space="preserve"> show that the marriage lasted at least three years and that one year has been spent in the UK. That is not dispute</w:t>
      </w:r>
      <w:r w:rsidR="0006788E" w:rsidRPr="00327EDA">
        <w:rPr>
          <w:rFonts w:ascii="Arial" w:hAnsi="Arial" w:cs="Arial"/>
        </w:rPr>
        <w:t>d</w:t>
      </w:r>
      <w:r w:rsidR="00EC60DE" w:rsidRPr="00327EDA">
        <w:rPr>
          <w:rFonts w:ascii="Arial" w:hAnsi="Arial" w:cs="Arial"/>
        </w:rPr>
        <w:t xml:space="preserve"> by</w:t>
      </w:r>
      <w:r w:rsidR="0006788E" w:rsidRPr="00327EDA">
        <w:rPr>
          <w:rFonts w:ascii="Arial" w:hAnsi="Arial" w:cs="Arial"/>
        </w:rPr>
        <w:t xml:space="preserve"> </w:t>
      </w:r>
      <w:r w:rsidR="00EC60DE" w:rsidRPr="00327EDA">
        <w:rPr>
          <w:rFonts w:ascii="Arial" w:hAnsi="Arial" w:cs="Arial"/>
        </w:rPr>
        <w:t xml:space="preserve">the respondent. </w:t>
      </w:r>
      <w:r w:rsidR="00566287" w:rsidRPr="00327EDA">
        <w:rPr>
          <w:rFonts w:ascii="Arial" w:hAnsi="Arial" w:cs="Arial"/>
        </w:rPr>
        <w:t xml:space="preserve"> Mr Waqar </w:t>
      </w:r>
      <w:r w:rsidR="00580846" w:rsidRPr="00327EDA">
        <w:rPr>
          <w:rFonts w:ascii="Arial" w:hAnsi="Arial" w:cs="Arial"/>
        </w:rPr>
        <w:t>also showed that at the date of institution of divorce proceedings he was a worker (and had been for at least the previous two years).</w:t>
      </w:r>
    </w:p>
    <w:p w14:paraId="2BFA1219" w14:textId="77777777" w:rsidR="00EC60DE" w:rsidRPr="00327EDA" w:rsidRDefault="00EC60DE" w:rsidP="00EC60DE">
      <w:pPr>
        <w:pStyle w:val="ListParagraph"/>
        <w:rPr>
          <w:rFonts w:ascii="Arial" w:hAnsi="Arial" w:cs="Arial"/>
        </w:rPr>
      </w:pPr>
    </w:p>
    <w:p w14:paraId="33952180" w14:textId="77777777" w:rsidR="00D74A50" w:rsidRPr="00327EDA" w:rsidRDefault="00F56FAF" w:rsidP="003201BD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There was no assertion by the respondent that Mr Waqar’s spouse was not a worker; rather the assertion was that she did not meet a “minimum earnings threshold”. The “minimum earnings threshold” does not appear to have been identified</w:t>
      </w:r>
      <w:r w:rsidR="004F1C8E" w:rsidRPr="00327EDA">
        <w:rPr>
          <w:rFonts w:ascii="Arial" w:hAnsi="Arial" w:cs="Arial"/>
        </w:rPr>
        <w:t xml:space="preserve"> as a particular figure.</w:t>
      </w:r>
      <w:r w:rsidRPr="00327EDA">
        <w:rPr>
          <w:rFonts w:ascii="Arial" w:hAnsi="Arial" w:cs="Arial"/>
        </w:rPr>
        <w:t xml:space="preserve"> </w:t>
      </w:r>
    </w:p>
    <w:p w14:paraId="7B32EBDC" w14:textId="77777777" w:rsidR="00D74A50" w:rsidRPr="00327EDA" w:rsidRDefault="00D74A50" w:rsidP="00D74A50">
      <w:pPr>
        <w:pStyle w:val="ListParagraph"/>
        <w:rPr>
          <w:rFonts w:ascii="Arial" w:hAnsi="Arial" w:cs="Arial"/>
        </w:rPr>
      </w:pPr>
    </w:p>
    <w:p w14:paraId="6B8F583F" w14:textId="77777777" w:rsidR="00D74A50" w:rsidRPr="00327EDA" w:rsidRDefault="00D74A50" w:rsidP="003201BD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 xml:space="preserve">The First-tier Tribunal </w:t>
      </w:r>
      <w:r w:rsidR="00031B1F" w:rsidRPr="00327EDA">
        <w:rPr>
          <w:rFonts w:ascii="Arial" w:hAnsi="Arial" w:cs="Arial"/>
        </w:rPr>
        <w:t>Judge</w:t>
      </w:r>
      <w:r w:rsidR="00621BE0" w:rsidRPr="00327EDA">
        <w:rPr>
          <w:rFonts w:ascii="Arial" w:hAnsi="Arial" w:cs="Arial"/>
        </w:rPr>
        <w:t xml:space="preserve"> stated</w:t>
      </w:r>
      <w:r w:rsidRPr="00327EDA">
        <w:rPr>
          <w:rFonts w:ascii="Arial" w:hAnsi="Arial" w:cs="Arial"/>
        </w:rPr>
        <w:t>;</w:t>
      </w:r>
    </w:p>
    <w:p w14:paraId="75395681" w14:textId="77777777" w:rsidR="00D74A50" w:rsidRPr="00327EDA" w:rsidRDefault="00D74A50" w:rsidP="00D74A50">
      <w:pPr>
        <w:pStyle w:val="ListParagraph"/>
        <w:rPr>
          <w:rFonts w:ascii="Arial" w:hAnsi="Arial" w:cs="Arial"/>
        </w:rPr>
      </w:pPr>
    </w:p>
    <w:p w14:paraId="33B8892D" w14:textId="77777777" w:rsidR="00D74A50" w:rsidRPr="00327EDA" w:rsidRDefault="00D74A50" w:rsidP="00D74A50">
      <w:pPr>
        <w:pStyle w:val="ListParagraph"/>
        <w:numPr>
          <w:ilvl w:val="0"/>
          <w:numId w:val="32"/>
        </w:numPr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 xml:space="preserve">….2013/2014 showed no income. By p 80 there was a bill sent to her from HMRC 8 </w:t>
      </w:r>
      <w:r w:rsidR="00031B1F" w:rsidRPr="00327EDA">
        <w:rPr>
          <w:rFonts w:ascii="Arial" w:hAnsi="Arial" w:cs="Arial"/>
        </w:rPr>
        <w:t>September</w:t>
      </w:r>
      <w:r w:rsidRPr="00327EDA">
        <w:rPr>
          <w:rFonts w:ascii="Arial" w:hAnsi="Arial" w:cs="Arial"/>
        </w:rPr>
        <w:t xml:space="preserve"> 2015 for unpaid tax and late filing. This was in </w:t>
      </w:r>
      <w:r w:rsidRPr="00327EDA">
        <w:rPr>
          <w:rFonts w:ascii="Arial" w:hAnsi="Arial" w:cs="Arial"/>
        </w:rPr>
        <w:lastRenderedPageBreak/>
        <w:t>relation to self -assessment for self-employment. There were penalties for late filing in 11/12 and 12/13 also. This tends to support the submission that she was not in the UK at this time rather than support a submission that she was in fact working as a self-employed person.</w:t>
      </w:r>
    </w:p>
    <w:p w14:paraId="497355FE" w14:textId="77777777" w:rsidR="00D74A50" w:rsidRPr="00327EDA" w:rsidRDefault="00D74A50" w:rsidP="00D74A50">
      <w:pPr>
        <w:pStyle w:val="ListParagraph"/>
        <w:ind w:left="2061"/>
        <w:contextualSpacing/>
        <w:jc w:val="both"/>
        <w:rPr>
          <w:rFonts w:ascii="Arial" w:hAnsi="Arial" w:cs="Arial"/>
        </w:rPr>
      </w:pPr>
    </w:p>
    <w:p w14:paraId="68B6D886" w14:textId="77777777" w:rsidR="00BC3703" w:rsidRPr="00327EDA" w:rsidRDefault="0019655E" w:rsidP="0019655E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The judge failed to have regard to the evidence that was in fact before him.</w:t>
      </w:r>
      <w:r w:rsidR="00BC3703" w:rsidRPr="00327EDA">
        <w:rPr>
          <w:rFonts w:ascii="Arial" w:hAnsi="Arial" w:cs="Arial"/>
        </w:rPr>
        <w:t xml:space="preserve"> The spouse’s P60 for the tax year 2013/14 showed earnings of £1487. Mr Waqar’s earnings for that year were £9274.The First-tier Tribunal judge erred in law in finding there was no income for the tax year 2013/14.</w:t>
      </w:r>
    </w:p>
    <w:p w14:paraId="499D720F" w14:textId="77777777" w:rsidR="00BC3703" w:rsidRPr="00327EDA" w:rsidRDefault="00BC3703" w:rsidP="00BC3703">
      <w:pPr>
        <w:pStyle w:val="ListParagraph"/>
        <w:ind w:left="1560"/>
        <w:contextualSpacing/>
        <w:jc w:val="both"/>
        <w:rPr>
          <w:rFonts w:ascii="Arial" w:hAnsi="Arial" w:cs="Arial"/>
        </w:rPr>
      </w:pPr>
    </w:p>
    <w:p w14:paraId="382D7A13" w14:textId="77777777" w:rsidR="00FB3868" w:rsidRPr="00327EDA" w:rsidRDefault="00BC3703" w:rsidP="0019655E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 xml:space="preserve">The 8 September 2015 bill refers to </w:t>
      </w:r>
      <w:r w:rsidR="00754E1A" w:rsidRPr="00327EDA">
        <w:rPr>
          <w:rFonts w:ascii="Arial" w:hAnsi="Arial" w:cs="Arial"/>
        </w:rPr>
        <w:t xml:space="preserve">the spouse’s </w:t>
      </w:r>
      <w:r w:rsidRPr="00327EDA">
        <w:rPr>
          <w:rFonts w:ascii="Arial" w:hAnsi="Arial" w:cs="Arial"/>
        </w:rPr>
        <w:t xml:space="preserve">unpaid tax of </w:t>
      </w:r>
      <w:r w:rsidR="00FD148B" w:rsidRPr="00327EDA">
        <w:rPr>
          <w:rFonts w:ascii="Arial" w:hAnsi="Arial" w:cs="Arial"/>
        </w:rPr>
        <w:t xml:space="preserve">£2626.27 brought forward from June 2015. That </w:t>
      </w:r>
      <w:r w:rsidR="00754E1A" w:rsidRPr="00327EDA">
        <w:rPr>
          <w:rFonts w:ascii="Arial" w:hAnsi="Arial" w:cs="Arial"/>
        </w:rPr>
        <w:t xml:space="preserve">can only </w:t>
      </w:r>
      <w:r w:rsidR="00FD148B" w:rsidRPr="00327EDA">
        <w:rPr>
          <w:rFonts w:ascii="Arial" w:hAnsi="Arial" w:cs="Arial"/>
        </w:rPr>
        <w:t xml:space="preserve">have related to </w:t>
      </w:r>
      <w:r w:rsidR="00754E1A" w:rsidRPr="00327EDA">
        <w:rPr>
          <w:rFonts w:ascii="Arial" w:hAnsi="Arial" w:cs="Arial"/>
        </w:rPr>
        <w:t xml:space="preserve">tax due since she registered </w:t>
      </w:r>
      <w:r w:rsidR="00031B1F" w:rsidRPr="00327EDA">
        <w:rPr>
          <w:rFonts w:ascii="Arial" w:hAnsi="Arial" w:cs="Arial"/>
        </w:rPr>
        <w:t>self-employed</w:t>
      </w:r>
      <w:r w:rsidR="00754E1A" w:rsidRPr="00327EDA">
        <w:rPr>
          <w:rFonts w:ascii="Arial" w:hAnsi="Arial" w:cs="Arial"/>
        </w:rPr>
        <w:t xml:space="preserve"> during the tax year 2012/13 </w:t>
      </w:r>
      <w:r w:rsidR="00031B1F" w:rsidRPr="00327EDA">
        <w:rPr>
          <w:rFonts w:ascii="Arial" w:hAnsi="Arial" w:cs="Arial"/>
        </w:rPr>
        <w:t>i.e.</w:t>
      </w:r>
      <w:r w:rsidR="00754E1A" w:rsidRPr="00327EDA">
        <w:rPr>
          <w:rFonts w:ascii="Arial" w:hAnsi="Arial" w:cs="Arial"/>
        </w:rPr>
        <w:t xml:space="preserve"> for the </w:t>
      </w:r>
      <w:r w:rsidR="00031B1F" w:rsidRPr="00327EDA">
        <w:rPr>
          <w:rFonts w:ascii="Arial" w:hAnsi="Arial" w:cs="Arial"/>
        </w:rPr>
        <w:t>two-year</w:t>
      </w:r>
      <w:r w:rsidR="00754E1A" w:rsidRPr="00327EDA">
        <w:rPr>
          <w:rFonts w:ascii="Arial" w:hAnsi="Arial" w:cs="Arial"/>
        </w:rPr>
        <w:t xml:space="preserve"> period 2012/13 and 2013/14. </w:t>
      </w:r>
      <w:r w:rsidR="00FD148B" w:rsidRPr="00327EDA">
        <w:rPr>
          <w:rFonts w:ascii="Arial" w:hAnsi="Arial" w:cs="Arial"/>
        </w:rPr>
        <w:t xml:space="preserve">Given that tax is not payable on at least the first £10000 of her income, her </w:t>
      </w:r>
      <w:r w:rsidR="00621BE0" w:rsidRPr="00327EDA">
        <w:rPr>
          <w:rFonts w:ascii="Arial" w:hAnsi="Arial" w:cs="Arial"/>
        </w:rPr>
        <w:t>self-employed income</w:t>
      </w:r>
      <w:r w:rsidR="00FB3868" w:rsidRPr="00327EDA">
        <w:rPr>
          <w:rFonts w:ascii="Arial" w:hAnsi="Arial" w:cs="Arial"/>
        </w:rPr>
        <w:t xml:space="preserve"> would have been significantly </w:t>
      </w:r>
      <w:r w:rsidR="00644381" w:rsidRPr="00327EDA">
        <w:rPr>
          <w:rFonts w:ascii="Arial" w:hAnsi="Arial" w:cs="Arial"/>
        </w:rPr>
        <w:t>more than</w:t>
      </w:r>
      <w:r w:rsidR="00FB3868" w:rsidRPr="00327EDA">
        <w:rPr>
          <w:rFonts w:ascii="Arial" w:hAnsi="Arial" w:cs="Arial"/>
        </w:rPr>
        <w:t xml:space="preserve"> that sum for the two years in question. There was a P45 </w:t>
      </w:r>
      <w:r w:rsidR="00644381" w:rsidRPr="00327EDA">
        <w:rPr>
          <w:rFonts w:ascii="Arial" w:hAnsi="Arial" w:cs="Arial"/>
        </w:rPr>
        <w:t>i.e.</w:t>
      </w:r>
      <w:r w:rsidR="00FB3868" w:rsidRPr="00327EDA">
        <w:rPr>
          <w:rFonts w:ascii="Arial" w:hAnsi="Arial" w:cs="Arial"/>
        </w:rPr>
        <w:t xml:space="preserve"> cessation of employment dated December 2014 showing gross pay of £3430. The speculation by the First-tier Tribunal judge that the evidence supported a submission she was not in the UK is not only not supported by the evidence but plainly wrong. The judge has erred in law. </w:t>
      </w:r>
    </w:p>
    <w:p w14:paraId="43B0EF76" w14:textId="77777777" w:rsidR="00D03535" w:rsidRPr="00327EDA" w:rsidRDefault="00D03535" w:rsidP="00D03535">
      <w:pPr>
        <w:pStyle w:val="ListParagraph"/>
        <w:rPr>
          <w:rFonts w:ascii="Arial" w:hAnsi="Arial" w:cs="Arial"/>
        </w:rPr>
      </w:pPr>
    </w:p>
    <w:p w14:paraId="75DF636C" w14:textId="77777777" w:rsidR="00D03535" w:rsidRPr="00327EDA" w:rsidRDefault="00D03535" w:rsidP="0019655E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In paragraph 23 of his decision, First-tier Tribunal Judge state</w:t>
      </w:r>
      <w:r w:rsidR="001A12DB" w:rsidRPr="00327EDA">
        <w:rPr>
          <w:rFonts w:ascii="Arial" w:hAnsi="Arial" w:cs="Arial"/>
        </w:rPr>
        <w:t>d</w:t>
      </w:r>
      <w:r w:rsidRPr="00327EDA">
        <w:rPr>
          <w:rFonts w:ascii="Arial" w:hAnsi="Arial" w:cs="Arial"/>
        </w:rPr>
        <w:t>:</w:t>
      </w:r>
    </w:p>
    <w:p w14:paraId="15F6131C" w14:textId="77777777" w:rsidR="00D03535" w:rsidRPr="00327EDA" w:rsidRDefault="00D03535" w:rsidP="00D03535">
      <w:pPr>
        <w:pStyle w:val="ListParagraph"/>
        <w:rPr>
          <w:rFonts w:ascii="Arial" w:hAnsi="Arial" w:cs="Arial"/>
        </w:rPr>
      </w:pPr>
    </w:p>
    <w:p w14:paraId="1C47C9CE" w14:textId="77777777" w:rsidR="00D03535" w:rsidRPr="00327EDA" w:rsidRDefault="00D03535" w:rsidP="00D03535">
      <w:pPr>
        <w:pStyle w:val="ListParagraph"/>
        <w:ind w:left="2268"/>
        <w:contextualSpacing/>
        <w:jc w:val="both"/>
        <w:rPr>
          <w:rFonts w:ascii="Arial" w:hAnsi="Arial" w:cs="Arial"/>
        </w:rPr>
      </w:pPr>
      <w:proofErr w:type="gramStart"/>
      <w:r w:rsidRPr="00327EDA">
        <w:rPr>
          <w:rFonts w:ascii="Arial" w:hAnsi="Arial" w:cs="Arial"/>
        </w:rPr>
        <w:t>….work</w:t>
      </w:r>
      <w:proofErr w:type="gramEnd"/>
      <w:r w:rsidRPr="00327EDA">
        <w:rPr>
          <w:rFonts w:ascii="Arial" w:hAnsi="Arial" w:cs="Arial"/>
        </w:rPr>
        <w:t xml:space="preserve"> has to be effective so that low paid workers are not automatically effectively in work if they cannot show it is work </w:t>
      </w:r>
      <w:r w:rsidR="00644381" w:rsidRPr="00327EDA">
        <w:rPr>
          <w:rFonts w:ascii="Arial" w:hAnsi="Arial" w:cs="Arial"/>
        </w:rPr>
        <w:t>which</w:t>
      </w:r>
      <w:r w:rsidRPr="00327EDA">
        <w:rPr>
          <w:rFonts w:ascii="Arial" w:hAnsi="Arial" w:cs="Arial"/>
        </w:rPr>
        <w:t xml:space="preserve"> does not find itself outweighed by other state benefits for example </w:t>
      </w:r>
      <w:r w:rsidR="00644381" w:rsidRPr="00327EDA">
        <w:rPr>
          <w:rFonts w:ascii="Arial" w:hAnsi="Arial" w:cs="Arial"/>
        </w:rPr>
        <w:t>such</w:t>
      </w:r>
      <w:r w:rsidRPr="00327EDA">
        <w:rPr>
          <w:rFonts w:ascii="Arial" w:hAnsi="Arial" w:cs="Arial"/>
        </w:rPr>
        <w:t xml:space="preserve"> as working tax credit. With only a low amount of income per month compared to potential benefits that is a distinct possibility here. The full work, tax and </w:t>
      </w:r>
      <w:r w:rsidR="00644381" w:rsidRPr="00327EDA">
        <w:rPr>
          <w:rFonts w:ascii="Arial" w:hAnsi="Arial" w:cs="Arial"/>
        </w:rPr>
        <w:t>national</w:t>
      </w:r>
      <w:r w:rsidRPr="00327EDA">
        <w:rPr>
          <w:rFonts w:ascii="Arial" w:hAnsi="Arial" w:cs="Arial"/>
        </w:rPr>
        <w:t xml:space="preserve"> insurance position for the full duration of stay in the UK by the sponsor is not shown to me in this appeal.</w:t>
      </w:r>
    </w:p>
    <w:p w14:paraId="091592E5" w14:textId="77777777" w:rsidR="009C53A7" w:rsidRPr="00327EDA" w:rsidRDefault="009C53A7" w:rsidP="00D03535">
      <w:pPr>
        <w:pStyle w:val="ListParagraph"/>
        <w:ind w:left="2268"/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 xml:space="preserve">24. The requirement of being a worker meant that the work should be effective for the purposes of providing a living. </w:t>
      </w:r>
      <w:r w:rsidR="00644381" w:rsidRPr="00327EDA">
        <w:rPr>
          <w:rFonts w:ascii="Arial" w:hAnsi="Arial" w:cs="Arial"/>
        </w:rPr>
        <w:t>Here the</w:t>
      </w:r>
      <w:r w:rsidRPr="00327EDA">
        <w:rPr>
          <w:rFonts w:ascii="Arial" w:hAnsi="Arial" w:cs="Arial"/>
        </w:rPr>
        <w:t xml:space="preserve"> evidence is contradictory.</w:t>
      </w:r>
    </w:p>
    <w:p w14:paraId="1BB1115E" w14:textId="77777777" w:rsidR="00FB3868" w:rsidRPr="00327EDA" w:rsidRDefault="00FB3868" w:rsidP="00FB3868">
      <w:pPr>
        <w:pStyle w:val="ListParagraph"/>
        <w:rPr>
          <w:rFonts w:ascii="Arial" w:hAnsi="Arial" w:cs="Arial"/>
        </w:rPr>
      </w:pPr>
    </w:p>
    <w:p w14:paraId="72F40322" w14:textId="77777777" w:rsidR="00FB3868" w:rsidRPr="00327EDA" w:rsidRDefault="009C53A7" w:rsidP="0019655E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First-tier Tribunal Judge Telford state</w:t>
      </w:r>
      <w:r w:rsidR="001114C8" w:rsidRPr="00327EDA">
        <w:rPr>
          <w:rFonts w:ascii="Arial" w:hAnsi="Arial" w:cs="Arial"/>
        </w:rPr>
        <w:t>d</w:t>
      </w:r>
      <w:r w:rsidRPr="00327EDA">
        <w:rPr>
          <w:rFonts w:ascii="Arial" w:hAnsi="Arial" w:cs="Arial"/>
        </w:rPr>
        <w:t xml:space="preserve"> the evidence is both contradictory and </w:t>
      </w:r>
      <w:r w:rsidR="00644381" w:rsidRPr="00327EDA">
        <w:rPr>
          <w:rFonts w:ascii="Arial" w:hAnsi="Arial" w:cs="Arial"/>
        </w:rPr>
        <w:t>non-existent</w:t>
      </w:r>
      <w:r w:rsidRPr="00327EDA">
        <w:rPr>
          <w:rFonts w:ascii="Arial" w:hAnsi="Arial" w:cs="Arial"/>
        </w:rPr>
        <w:t xml:space="preserve">. It is </w:t>
      </w:r>
      <w:r w:rsidR="00644381" w:rsidRPr="00327EDA">
        <w:rPr>
          <w:rFonts w:ascii="Arial" w:hAnsi="Arial" w:cs="Arial"/>
        </w:rPr>
        <w:t>unclear</w:t>
      </w:r>
      <w:r w:rsidRPr="00327EDA">
        <w:rPr>
          <w:rFonts w:ascii="Arial" w:hAnsi="Arial" w:cs="Arial"/>
        </w:rPr>
        <w:t xml:space="preserve"> what he means. </w:t>
      </w:r>
      <w:r w:rsidR="00644381" w:rsidRPr="00327EDA">
        <w:rPr>
          <w:rFonts w:ascii="Arial" w:hAnsi="Arial" w:cs="Arial"/>
        </w:rPr>
        <w:t>Furthermore,</w:t>
      </w:r>
      <w:r w:rsidRPr="00327EDA">
        <w:rPr>
          <w:rFonts w:ascii="Arial" w:hAnsi="Arial" w:cs="Arial"/>
        </w:rPr>
        <w:t xml:space="preserve"> he </w:t>
      </w:r>
      <w:r w:rsidR="00644381" w:rsidRPr="00327EDA">
        <w:rPr>
          <w:rFonts w:ascii="Arial" w:hAnsi="Arial" w:cs="Arial"/>
        </w:rPr>
        <w:t>appear</w:t>
      </w:r>
      <w:r w:rsidR="001114C8" w:rsidRPr="00327EDA">
        <w:rPr>
          <w:rFonts w:ascii="Arial" w:hAnsi="Arial" w:cs="Arial"/>
        </w:rPr>
        <w:t>ed</w:t>
      </w:r>
      <w:r w:rsidRPr="00327EDA">
        <w:rPr>
          <w:rFonts w:ascii="Arial" w:hAnsi="Arial" w:cs="Arial"/>
        </w:rPr>
        <w:t xml:space="preserve"> to find </w:t>
      </w:r>
      <w:r w:rsidR="00644381" w:rsidRPr="00327EDA">
        <w:rPr>
          <w:rFonts w:ascii="Arial" w:hAnsi="Arial" w:cs="Arial"/>
        </w:rPr>
        <w:t>that</w:t>
      </w:r>
      <w:r w:rsidRPr="00327EDA">
        <w:rPr>
          <w:rFonts w:ascii="Arial" w:hAnsi="Arial" w:cs="Arial"/>
        </w:rPr>
        <w:t xml:space="preserve"> the spouse</w:t>
      </w:r>
      <w:r w:rsidR="004F1C8E" w:rsidRPr="00327EDA">
        <w:rPr>
          <w:rFonts w:ascii="Arial" w:hAnsi="Arial" w:cs="Arial"/>
        </w:rPr>
        <w:t>’</w:t>
      </w:r>
      <w:r w:rsidRPr="00327EDA">
        <w:rPr>
          <w:rFonts w:ascii="Arial" w:hAnsi="Arial" w:cs="Arial"/>
        </w:rPr>
        <w:t xml:space="preserve">s work </w:t>
      </w:r>
      <w:r w:rsidR="001A12DB" w:rsidRPr="00327EDA">
        <w:rPr>
          <w:rFonts w:ascii="Arial" w:hAnsi="Arial" w:cs="Arial"/>
        </w:rPr>
        <w:t>was</w:t>
      </w:r>
      <w:r w:rsidRPr="00327EDA">
        <w:rPr>
          <w:rFonts w:ascii="Arial" w:hAnsi="Arial" w:cs="Arial"/>
        </w:rPr>
        <w:t xml:space="preserve"> not effective. Yet the evidence before him </w:t>
      </w:r>
      <w:r w:rsidR="001114C8" w:rsidRPr="00327EDA">
        <w:rPr>
          <w:rFonts w:ascii="Arial" w:hAnsi="Arial" w:cs="Arial"/>
        </w:rPr>
        <w:t>was</w:t>
      </w:r>
      <w:r w:rsidRPr="00327EDA">
        <w:rPr>
          <w:rFonts w:ascii="Arial" w:hAnsi="Arial" w:cs="Arial"/>
        </w:rPr>
        <w:t xml:space="preserve"> that she was employed, then became self-employed, had both the sta</w:t>
      </w:r>
      <w:r w:rsidR="00644F4F" w:rsidRPr="00327EDA">
        <w:rPr>
          <w:rFonts w:ascii="Arial" w:hAnsi="Arial" w:cs="Arial"/>
        </w:rPr>
        <w:t>t</w:t>
      </w:r>
      <w:r w:rsidRPr="00327EDA">
        <w:rPr>
          <w:rFonts w:ascii="Arial" w:hAnsi="Arial" w:cs="Arial"/>
        </w:rPr>
        <w:t xml:space="preserve">us of worker and self-employed person at some </w:t>
      </w:r>
      <w:r w:rsidR="00644381" w:rsidRPr="00327EDA">
        <w:rPr>
          <w:rFonts w:ascii="Arial" w:hAnsi="Arial" w:cs="Arial"/>
        </w:rPr>
        <w:t>period</w:t>
      </w:r>
      <w:r w:rsidRPr="00327EDA">
        <w:rPr>
          <w:rFonts w:ascii="Arial" w:hAnsi="Arial" w:cs="Arial"/>
        </w:rPr>
        <w:t>, that she ha</w:t>
      </w:r>
      <w:r w:rsidR="001A12DB" w:rsidRPr="00327EDA">
        <w:rPr>
          <w:rFonts w:ascii="Arial" w:hAnsi="Arial" w:cs="Arial"/>
        </w:rPr>
        <w:t>d</w:t>
      </w:r>
      <w:r w:rsidRPr="00327EDA">
        <w:rPr>
          <w:rFonts w:ascii="Arial" w:hAnsi="Arial" w:cs="Arial"/>
        </w:rPr>
        <w:t xml:space="preserve"> </w:t>
      </w:r>
      <w:r w:rsidR="001114C8" w:rsidRPr="00327EDA">
        <w:rPr>
          <w:rFonts w:ascii="Arial" w:hAnsi="Arial" w:cs="Arial"/>
        </w:rPr>
        <w:t>self- employed income of</w:t>
      </w:r>
      <w:r w:rsidRPr="00327EDA">
        <w:rPr>
          <w:rFonts w:ascii="Arial" w:hAnsi="Arial" w:cs="Arial"/>
        </w:rPr>
        <w:t xml:space="preserve"> at least £10000 over a </w:t>
      </w:r>
      <w:r w:rsidR="00644381" w:rsidRPr="00327EDA">
        <w:rPr>
          <w:rFonts w:ascii="Arial" w:hAnsi="Arial" w:cs="Arial"/>
        </w:rPr>
        <w:t>two-year</w:t>
      </w:r>
      <w:r w:rsidRPr="00327EDA">
        <w:rPr>
          <w:rFonts w:ascii="Arial" w:hAnsi="Arial" w:cs="Arial"/>
        </w:rPr>
        <w:t xml:space="preserve"> period plus earnings in excess of </w:t>
      </w:r>
      <w:r w:rsidR="00957BA4" w:rsidRPr="00327EDA">
        <w:rPr>
          <w:rFonts w:ascii="Arial" w:hAnsi="Arial" w:cs="Arial"/>
        </w:rPr>
        <w:t xml:space="preserve">£5000 and her husband, Mr Waqar was employed during that </w:t>
      </w:r>
      <w:r w:rsidR="00644381" w:rsidRPr="00327EDA">
        <w:rPr>
          <w:rFonts w:ascii="Arial" w:hAnsi="Arial" w:cs="Arial"/>
        </w:rPr>
        <w:t>period</w:t>
      </w:r>
      <w:r w:rsidR="00957BA4" w:rsidRPr="00327EDA">
        <w:rPr>
          <w:rFonts w:ascii="Arial" w:hAnsi="Arial" w:cs="Arial"/>
        </w:rPr>
        <w:t xml:space="preserve">. </w:t>
      </w:r>
      <w:r w:rsidR="00644F4F" w:rsidRPr="00327EDA">
        <w:rPr>
          <w:rFonts w:ascii="Arial" w:hAnsi="Arial" w:cs="Arial"/>
        </w:rPr>
        <w:t xml:space="preserve">There </w:t>
      </w:r>
      <w:r w:rsidR="00644381" w:rsidRPr="00327EDA">
        <w:rPr>
          <w:rFonts w:ascii="Arial" w:hAnsi="Arial" w:cs="Arial"/>
        </w:rPr>
        <w:t>was</w:t>
      </w:r>
      <w:r w:rsidR="00644F4F" w:rsidRPr="00327EDA">
        <w:rPr>
          <w:rFonts w:ascii="Arial" w:hAnsi="Arial" w:cs="Arial"/>
        </w:rPr>
        <w:t xml:space="preserve"> no evidence they were </w:t>
      </w:r>
      <w:r w:rsidR="00644381" w:rsidRPr="00327EDA">
        <w:rPr>
          <w:rFonts w:ascii="Arial" w:hAnsi="Arial" w:cs="Arial"/>
        </w:rPr>
        <w:t>claiming</w:t>
      </w:r>
      <w:r w:rsidR="00644F4F" w:rsidRPr="00327EDA">
        <w:rPr>
          <w:rFonts w:ascii="Arial" w:hAnsi="Arial" w:cs="Arial"/>
        </w:rPr>
        <w:t xml:space="preserve"> benefits and in any event claiming some </w:t>
      </w:r>
      <w:r w:rsidR="00644381" w:rsidRPr="00327EDA">
        <w:rPr>
          <w:rFonts w:ascii="Arial" w:hAnsi="Arial" w:cs="Arial"/>
        </w:rPr>
        <w:t>benefits</w:t>
      </w:r>
      <w:r w:rsidR="00644F4F" w:rsidRPr="00327EDA">
        <w:rPr>
          <w:rFonts w:ascii="Arial" w:hAnsi="Arial" w:cs="Arial"/>
        </w:rPr>
        <w:t xml:space="preserve"> does not disqualify an individual from being a worker.</w:t>
      </w:r>
      <w:r w:rsidR="00957BA4" w:rsidRPr="00327EDA">
        <w:rPr>
          <w:rFonts w:ascii="Arial" w:hAnsi="Arial" w:cs="Arial"/>
        </w:rPr>
        <w:t xml:space="preserve"> First-tier Tribunal Judge Telford mischaracterise</w:t>
      </w:r>
      <w:r w:rsidR="0097096A" w:rsidRPr="00327EDA">
        <w:rPr>
          <w:rFonts w:ascii="Arial" w:hAnsi="Arial" w:cs="Arial"/>
        </w:rPr>
        <w:t>d</w:t>
      </w:r>
      <w:r w:rsidR="00957BA4" w:rsidRPr="00327EDA">
        <w:rPr>
          <w:rFonts w:ascii="Arial" w:hAnsi="Arial" w:cs="Arial"/>
        </w:rPr>
        <w:t xml:space="preserve"> ‘effective’ employment. As held in </w:t>
      </w:r>
      <w:r w:rsidR="00957BA4" w:rsidRPr="00327EDA">
        <w:rPr>
          <w:rFonts w:ascii="Arial" w:hAnsi="Arial" w:cs="Arial"/>
          <w:i/>
        </w:rPr>
        <w:t>Barry</w:t>
      </w:r>
      <w:r w:rsidR="00957BA4" w:rsidRPr="00327EDA">
        <w:rPr>
          <w:rFonts w:ascii="Arial" w:hAnsi="Arial" w:cs="Arial"/>
        </w:rPr>
        <w:t xml:space="preserve"> [2008] EWCA </w:t>
      </w:r>
      <w:proofErr w:type="spellStart"/>
      <w:r w:rsidR="00957BA4" w:rsidRPr="00327EDA">
        <w:rPr>
          <w:rFonts w:ascii="Arial" w:hAnsi="Arial" w:cs="Arial"/>
        </w:rPr>
        <w:t>Civ</w:t>
      </w:r>
      <w:proofErr w:type="spellEnd"/>
      <w:r w:rsidR="00957BA4" w:rsidRPr="00327EDA">
        <w:rPr>
          <w:rFonts w:ascii="Arial" w:hAnsi="Arial" w:cs="Arial"/>
        </w:rPr>
        <w:t xml:space="preserve"> 1440, </w:t>
      </w:r>
      <w:r w:rsidR="007A10E7" w:rsidRPr="00327EDA">
        <w:rPr>
          <w:rFonts w:ascii="Arial" w:hAnsi="Arial" w:cs="Arial"/>
        </w:rPr>
        <w:t>the term worker has a very wide interpretation. The spouse</w:t>
      </w:r>
      <w:r w:rsidR="004F1C8E" w:rsidRPr="00327EDA">
        <w:rPr>
          <w:rFonts w:ascii="Arial" w:hAnsi="Arial" w:cs="Arial"/>
        </w:rPr>
        <w:t>’</w:t>
      </w:r>
      <w:r w:rsidR="007A10E7" w:rsidRPr="00327EDA">
        <w:rPr>
          <w:rFonts w:ascii="Arial" w:hAnsi="Arial" w:cs="Arial"/>
        </w:rPr>
        <w:t>s work was genuine and real and</w:t>
      </w:r>
      <w:r w:rsidR="005C3681" w:rsidRPr="00327EDA">
        <w:rPr>
          <w:rFonts w:ascii="Arial" w:hAnsi="Arial" w:cs="Arial"/>
        </w:rPr>
        <w:t xml:space="preserve"> </w:t>
      </w:r>
      <w:r w:rsidR="007A10E7" w:rsidRPr="00327EDA">
        <w:rPr>
          <w:rFonts w:ascii="Arial" w:hAnsi="Arial" w:cs="Arial"/>
        </w:rPr>
        <w:t>there was no suggestion by the respondent that it was not</w:t>
      </w:r>
      <w:r w:rsidR="004F1C8E" w:rsidRPr="00327EDA">
        <w:rPr>
          <w:rFonts w:ascii="Arial" w:hAnsi="Arial" w:cs="Arial"/>
        </w:rPr>
        <w:t xml:space="preserve">; the </w:t>
      </w:r>
      <w:r w:rsidR="00644381" w:rsidRPr="00327EDA">
        <w:rPr>
          <w:rFonts w:ascii="Arial" w:hAnsi="Arial" w:cs="Arial"/>
        </w:rPr>
        <w:t>respondent’s</w:t>
      </w:r>
      <w:r w:rsidR="004F1C8E" w:rsidRPr="00327EDA">
        <w:rPr>
          <w:rFonts w:ascii="Arial" w:hAnsi="Arial" w:cs="Arial"/>
        </w:rPr>
        <w:t xml:space="preserve"> case was based on her lack of earnings which was itself based upon a failure to consider the documentation provided </w:t>
      </w:r>
      <w:r w:rsidR="00644381" w:rsidRPr="00327EDA">
        <w:rPr>
          <w:rFonts w:ascii="Arial" w:hAnsi="Arial" w:cs="Arial"/>
        </w:rPr>
        <w:t>properly</w:t>
      </w:r>
      <w:r w:rsidR="007A10E7" w:rsidRPr="00327EDA">
        <w:rPr>
          <w:rFonts w:ascii="Arial" w:hAnsi="Arial" w:cs="Arial"/>
        </w:rPr>
        <w:t xml:space="preserve">. </w:t>
      </w:r>
      <w:r w:rsidR="003E58DC" w:rsidRPr="00327EDA">
        <w:rPr>
          <w:rFonts w:ascii="Arial" w:hAnsi="Arial" w:cs="Arial"/>
        </w:rPr>
        <w:t>There is no basis upon which</w:t>
      </w:r>
      <w:r w:rsidR="00A03857" w:rsidRPr="00327EDA">
        <w:rPr>
          <w:rFonts w:ascii="Arial" w:hAnsi="Arial" w:cs="Arial"/>
        </w:rPr>
        <w:t xml:space="preserve"> her employment can be characterised as illusory.</w:t>
      </w:r>
      <w:r w:rsidR="00FB3868" w:rsidRPr="00327EDA">
        <w:rPr>
          <w:rFonts w:ascii="Arial" w:hAnsi="Arial" w:cs="Arial"/>
        </w:rPr>
        <w:t xml:space="preserve"> </w:t>
      </w:r>
      <w:r w:rsidR="00A03857" w:rsidRPr="00327EDA">
        <w:rPr>
          <w:rFonts w:ascii="Arial" w:hAnsi="Arial" w:cs="Arial"/>
        </w:rPr>
        <w:t xml:space="preserve">The First-tier Tribunal judge </w:t>
      </w:r>
      <w:r w:rsidR="00644F4F" w:rsidRPr="00327EDA">
        <w:rPr>
          <w:rFonts w:ascii="Arial" w:hAnsi="Arial" w:cs="Arial"/>
        </w:rPr>
        <w:lastRenderedPageBreak/>
        <w:t>erred in law in finding</w:t>
      </w:r>
      <w:r w:rsidR="007C5E07" w:rsidRPr="00327EDA">
        <w:rPr>
          <w:rFonts w:ascii="Arial" w:hAnsi="Arial" w:cs="Arial"/>
        </w:rPr>
        <w:t xml:space="preserve"> Mr Waqar had </w:t>
      </w:r>
      <w:r w:rsidR="00D129BD" w:rsidRPr="00327EDA">
        <w:rPr>
          <w:rFonts w:ascii="Arial" w:hAnsi="Arial" w:cs="Arial"/>
        </w:rPr>
        <w:t>been unable to establish he had a retained right of residence.</w:t>
      </w:r>
    </w:p>
    <w:p w14:paraId="16293434" w14:textId="77777777" w:rsidR="008A7429" w:rsidRPr="00327EDA" w:rsidRDefault="008A7429" w:rsidP="008A7429">
      <w:pPr>
        <w:pStyle w:val="ListParagraph"/>
        <w:ind w:left="1560"/>
        <w:contextualSpacing/>
        <w:jc w:val="both"/>
        <w:rPr>
          <w:rFonts w:ascii="Arial" w:hAnsi="Arial" w:cs="Arial"/>
        </w:rPr>
      </w:pPr>
    </w:p>
    <w:p w14:paraId="45C46451" w14:textId="77777777" w:rsidR="008A7429" w:rsidRPr="00327EDA" w:rsidRDefault="003B464D" w:rsidP="0019655E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It is eviden</w:t>
      </w:r>
      <w:r w:rsidR="008A7429" w:rsidRPr="00327EDA">
        <w:rPr>
          <w:rFonts w:ascii="Arial" w:hAnsi="Arial" w:cs="Arial"/>
        </w:rPr>
        <w:t>t</w:t>
      </w:r>
      <w:r w:rsidRPr="00327EDA">
        <w:rPr>
          <w:rFonts w:ascii="Arial" w:hAnsi="Arial" w:cs="Arial"/>
        </w:rPr>
        <w:t xml:space="preserve"> from the above </w:t>
      </w:r>
      <w:r w:rsidR="00644381" w:rsidRPr="00327EDA">
        <w:rPr>
          <w:rFonts w:ascii="Arial" w:hAnsi="Arial" w:cs="Arial"/>
        </w:rPr>
        <w:t>that</w:t>
      </w:r>
      <w:r w:rsidRPr="00327EDA">
        <w:rPr>
          <w:rFonts w:ascii="Arial" w:hAnsi="Arial" w:cs="Arial"/>
        </w:rPr>
        <w:t xml:space="preserve"> the </w:t>
      </w:r>
      <w:r w:rsidR="008A7429" w:rsidRPr="00327EDA">
        <w:rPr>
          <w:rFonts w:ascii="Arial" w:hAnsi="Arial" w:cs="Arial"/>
        </w:rPr>
        <w:t>failure of the First-tier Tribunal judge to take account of relevant documentary evidence is material. I set aside the First-tier Tribunal Judge’s decision dismissing the appeal on retained rights of residence.</w:t>
      </w:r>
    </w:p>
    <w:p w14:paraId="1A493E76" w14:textId="77777777" w:rsidR="00D129BD" w:rsidRPr="00327EDA" w:rsidRDefault="00D129BD" w:rsidP="00D129BD">
      <w:pPr>
        <w:pStyle w:val="ListParagraph"/>
        <w:ind w:left="1560"/>
        <w:contextualSpacing/>
        <w:jc w:val="both"/>
        <w:rPr>
          <w:rFonts w:ascii="Arial" w:hAnsi="Arial" w:cs="Arial"/>
        </w:rPr>
      </w:pPr>
    </w:p>
    <w:p w14:paraId="06EDEFD7" w14:textId="77777777" w:rsidR="00D129BD" w:rsidRPr="00327EDA" w:rsidRDefault="00D129BD" w:rsidP="00D129BD">
      <w:pPr>
        <w:pStyle w:val="ListParagraph"/>
        <w:ind w:left="1560"/>
        <w:contextualSpacing/>
        <w:jc w:val="both"/>
        <w:rPr>
          <w:rFonts w:ascii="Arial" w:hAnsi="Arial" w:cs="Arial"/>
          <w:b/>
        </w:rPr>
      </w:pPr>
      <w:r w:rsidRPr="00327EDA">
        <w:rPr>
          <w:rFonts w:ascii="Arial" w:hAnsi="Arial" w:cs="Arial"/>
          <w:b/>
        </w:rPr>
        <w:t>Regulation 15(1)</w:t>
      </w:r>
      <w:r w:rsidR="00936DE4" w:rsidRPr="00327EDA">
        <w:rPr>
          <w:rFonts w:ascii="Arial" w:hAnsi="Arial" w:cs="Arial"/>
          <w:b/>
        </w:rPr>
        <w:t>(b)</w:t>
      </w:r>
      <w:r w:rsidRPr="00327EDA">
        <w:rPr>
          <w:rFonts w:ascii="Arial" w:hAnsi="Arial" w:cs="Arial"/>
          <w:b/>
        </w:rPr>
        <w:t xml:space="preserve"> – permanent right of residence.</w:t>
      </w:r>
    </w:p>
    <w:p w14:paraId="7116BCB5" w14:textId="77777777" w:rsidR="00FB3868" w:rsidRPr="00327EDA" w:rsidRDefault="00FB3868" w:rsidP="00FB3868">
      <w:pPr>
        <w:pStyle w:val="ListParagraph"/>
        <w:rPr>
          <w:rFonts w:ascii="Arial" w:hAnsi="Arial" w:cs="Arial"/>
        </w:rPr>
      </w:pPr>
    </w:p>
    <w:p w14:paraId="10524F0A" w14:textId="77777777" w:rsidR="003A10A9" w:rsidRPr="00327EDA" w:rsidRDefault="00644381" w:rsidP="0019655E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To</w:t>
      </w:r>
      <w:r w:rsidR="00936DE4" w:rsidRPr="00327EDA">
        <w:rPr>
          <w:rFonts w:ascii="Arial" w:hAnsi="Arial" w:cs="Arial"/>
        </w:rPr>
        <w:t xml:space="preserve"> show he had acquired a permanent right of residence, Mr </w:t>
      </w:r>
      <w:r w:rsidRPr="00327EDA">
        <w:rPr>
          <w:rFonts w:ascii="Arial" w:hAnsi="Arial" w:cs="Arial"/>
        </w:rPr>
        <w:t>Waqar must</w:t>
      </w:r>
      <w:r w:rsidR="00936DE4" w:rsidRPr="00327EDA">
        <w:rPr>
          <w:rFonts w:ascii="Arial" w:hAnsi="Arial" w:cs="Arial"/>
        </w:rPr>
        <w:t xml:space="preserve"> show, as a family member of an EEA national who is no</w:t>
      </w:r>
      <w:r w:rsidR="001114C8" w:rsidRPr="00327EDA">
        <w:rPr>
          <w:rFonts w:ascii="Arial" w:hAnsi="Arial" w:cs="Arial"/>
        </w:rPr>
        <w:t>t</w:t>
      </w:r>
      <w:r w:rsidR="00936DE4" w:rsidRPr="00327EDA">
        <w:rPr>
          <w:rFonts w:ascii="Arial" w:hAnsi="Arial" w:cs="Arial"/>
        </w:rPr>
        <w:t xml:space="preserve"> himself an EEA national</w:t>
      </w:r>
      <w:r w:rsidR="003A10A9" w:rsidRPr="00327EDA">
        <w:rPr>
          <w:rFonts w:ascii="Arial" w:hAnsi="Arial" w:cs="Arial"/>
        </w:rPr>
        <w:t>, that he has resided in the United Kingdom with the EEA national in accordance with the regulations for a continuous period of five years.</w:t>
      </w:r>
    </w:p>
    <w:p w14:paraId="40AED9AC" w14:textId="77777777" w:rsidR="003A10A9" w:rsidRPr="00327EDA" w:rsidRDefault="003A10A9" w:rsidP="003A10A9">
      <w:pPr>
        <w:pStyle w:val="ListParagraph"/>
        <w:ind w:left="1560"/>
        <w:contextualSpacing/>
        <w:jc w:val="both"/>
        <w:rPr>
          <w:rFonts w:ascii="Arial" w:hAnsi="Arial" w:cs="Arial"/>
        </w:rPr>
      </w:pPr>
    </w:p>
    <w:p w14:paraId="0EE16751" w14:textId="77777777" w:rsidR="003B464D" w:rsidRPr="00327EDA" w:rsidRDefault="003A10A9" w:rsidP="0019655E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The respondent does not take issue with the spouse exercising Treaty rights until 31</w:t>
      </w:r>
      <w:r w:rsidRPr="00327EDA">
        <w:rPr>
          <w:rFonts w:ascii="Arial" w:hAnsi="Arial" w:cs="Arial"/>
          <w:vertAlign w:val="superscript"/>
        </w:rPr>
        <w:t>st</w:t>
      </w:r>
      <w:r w:rsidRPr="00327EDA">
        <w:rPr>
          <w:rFonts w:ascii="Arial" w:hAnsi="Arial" w:cs="Arial"/>
        </w:rPr>
        <w:t xml:space="preserve"> January 2013. The couple were married on </w:t>
      </w:r>
      <w:r w:rsidR="00005A3D" w:rsidRPr="00327EDA">
        <w:rPr>
          <w:rFonts w:ascii="Arial" w:hAnsi="Arial" w:cs="Arial"/>
        </w:rPr>
        <w:t>29</w:t>
      </w:r>
      <w:r w:rsidR="00005A3D" w:rsidRPr="00327EDA">
        <w:rPr>
          <w:rFonts w:ascii="Arial" w:hAnsi="Arial" w:cs="Arial"/>
          <w:vertAlign w:val="superscript"/>
        </w:rPr>
        <w:t>th</w:t>
      </w:r>
      <w:r w:rsidR="00005A3D" w:rsidRPr="00327EDA">
        <w:rPr>
          <w:rFonts w:ascii="Arial" w:hAnsi="Arial" w:cs="Arial"/>
        </w:rPr>
        <w:t xml:space="preserve"> November 2010. Although he was not issued with a residence card until 16 May 2016, the issue of a residence card is declaratory of status and not a grant of status. There is no challenge by the respondent to the assertion </w:t>
      </w:r>
      <w:r w:rsidR="00131A01" w:rsidRPr="00327EDA">
        <w:rPr>
          <w:rFonts w:ascii="Arial" w:hAnsi="Arial" w:cs="Arial"/>
        </w:rPr>
        <w:t>that the couple have been resid</w:t>
      </w:r>
      <w:r w:rsidR="00005A3D" w:rsidRPr="00327EDA">
        <w:rPr>
          <w:rFonts w:ascii="Arial" w:hAnsi="Arial" w:cs="Arial"/>
        </w:rPr>
        <w:t>ing together between 29</w:t>
      </w:r>
      <w:r w:rsidR="00005A3D" w:rsidRPr="00327EDA">
        <w:rPr>
          <w:rFonts w:ascii="Arial" w:hAnsi="Arial" w:cs="Arial"/>
          <w:vertAlign w:val="superscript"/>
        </w:rPr>
        <w:t>th</w:t>
      </w:r>
      <w:r w:rsidR="00005A3D" w:rsidRPr="00327EDA">
        <w:rPr>
          <w:rFonts w:ascii="Arial" w:hAnsi="Arial" w:cs="Arial"/>
        </w:rPr>
        <w:t xml:space="preserve"> November 2010 and that his wife was exercising Treaty rights at least until </w:t>
      </w:r>
      <w:r w:rsidR="00131A01" w:rsidRPr="00327EDA">
        <w:rPr>
          <w:rFonts w:ascii="Arial" w:hAnsi="Arial" w:cs="Arial"/>
        </w:rPr>
        <w:t>31</w:t>
      </w:r>
      <w:r w:rsidR="00131A01" w:rsidRPr="00327EDA">
        <w:rPr>
          <w:rFonts w:ascii="Arial" w:hAnsi="Arial" w:cs="Arial"/>
          <w:vertAlign w:val="superscript"/>
        </w:rPr>
        <w:t>st</w:t>
      </w:r>
      <w:r w:rsidR="00131A01" w:rsidRPr="00327EDA">
        <w:rPr>
          <w:rFonts w:ascii="Arial" w:hAnsi="Arial" w:cs="Arial"/>
        </w:rPr>
        <w:t xml:space="preserve"> January 2013. </w:t>
      </w:r>
      <w:r w:rsidR="00644381" w:rsidRPr="00327EDA">
        <w:rPr>
          <w:rFonts w:ascii="Arial" w:hAnsi="Arial" w:cs="Arial"/>
        </w:rPr>
        <w:t>To</w:t>
      </w:r>
      <w:r w:rsidR="00131A01" w:rsidRPr="00327EDA">
        <w:rPr>
          <w:rFonts w:ascii="Arial" w:hAnsi="Arial" w:cs="Arial"/>
        </w:rPr>
        <w:t xml:space="preserve"> establish a permanent right of residence Mr Waqar </w:t>
      </w:r>
      <w:r w:rsidR="00BF3A5A" w:rsidRPr="00327EDA">
        <w:rPr>
          <w:rFonts w:ascii="Arial" w:hAnsi="Arial" w:cs="Arial"/>
        </w:rPr>
        <w:t>must</w:t>
      </w:r>
      <w:r w:rsidR="00131A01" w:rsidRPr="00327EDA">
        <w:rPr>
          <w:rFonts w:ascii="Arial" w:hAnsi="Arial" w:cs="Arial"/>
        </w:rPr>
        <w:t xml:space="preserve"> show that his spouse was exercising Treaty Rights for five years from 29</w:t>
      </w:r>
      <w:r w:rsidR="00131A01" w:rsidRPr="00327EDA">
        <w:rPr>
          <w:rFonts w:ascii="Arial" w:hAnsi="Arial" w:cs="Arial"/>
          <w:vertAlign w:val="superscript"/>
        </w:rPr>
        <w:t>th</w:t>
      </w:r>
      <w:r w:rsidR="00131A01" w:rsidRPr="00327EDA">
        <w:rPr>
          <w:rFonts w:ascii="Arial" w:hAnsi="Arial" w:cs="Arial"/>
        </w:rPr>
        <w:t xml:space="preserve"> November 2010 </w:t>
      </w:r>
      <w:r w:rsidR="00644381" w:rsidRPr="00327EDA">
        <w:rPr>
          <w:rFonts w:ascii="Arial" w:hAnsi="Arial" w:cs="Arial"/>
        </w:rPr>
        <w:t>i.e.</w:t>
      </w:r>
      <w:r w:rsidR="00131A01" w:rsidRPr="00327EDA">
        <w:rPr>
          <w:rFonts w:ascii="Arial" w:hAnsi="Arial" w:cs="Arial"/>
        </w:rPr>
        <w:t xml:space="preserve"> until 29</w:t>
      </w:r>
      <w:r w:rsidR="00131A01" w:rsidRPr="00327EDA">
        <w:rPr>
          <w:rFonts w:ascii="Arial" w:hAnsi="Arial" w:cs="Arial"/>
          <w:vertAlign w:val="superscript"/>
        </w:rPr>
        <w:t>th</w:t>
      </w:r>
      <w:r w:rsidR="00131A01" w:rsidRPr="00327EDA">
        <w:rPr>
          <w:rFonts w:ascii="Arial" w:hAnsi="Arial" w:cs="Arial"/>
        </w:rPr>
        <w:t xml:space="preserve"> November 2015. </w:t>
      </w:r>
      <w:r w:rsidR="005E244D" w:rsidRPr="00327EDA">
        <w:rPr>
          <w:rFonts w:ascii="Arial" w:hAnsi="Arial" w:cs="Arial"/>
        </w:rPr>
        <w:t>On his own evidence, Mr Waqar and his wife separated on 7</w:t>
      </w:r>
      <w:r w:rsidR="005E244D" w:rsidRPr="00327EDA">
        <w:rPr>
          <w:rFonts w:ascii="Arial" w:hAnsi="Arial" w:cs="Arial"/>
          <w:vertAlign w:val="superscript"/>
        </w:rPr>
        <w:t>th</w:t>
      </w:r>
      <w:r w:rsidR="005E244D" w:rsidRPr="00327EDA">
        <w:rPr>
          <w:rFonts w:ascii="Arial" w:hAnsi="Arial" w:cs="Arial"/>
        </w:rPr>
        <w:t xml:space="preserve"> October 2015 and he instituted divorce proceedings on 26</w:t>
      </w:r>
      <w:r w:rsidR="005E244D" w:rsidRPr="00327EDA">
        <w:rPr>
          <w:rFonts w:ascii="Arial" w:hAnsi="Arial" w:cs="Arial"/>
          <w:vertAlign w:val="superscript"/>
        </w:rPr>
        <w:t>th</w:t>
      </w:r>
      <w:r w:rsidR="005E244D" w:rsidRPr="00327EDA">
        <w:rPr>
          <w:rFonts w:ascii="Arial" w:hAnsi="Arial" w:cs="Arial"/>
        </w:rPr>
        <w:t xml:space="preserve"> November 2015. Although his wife, by now, may have acquired a permanent right of residence and may well have done so by 29</w:t>
      </w:r>
      <w:r w:rsidR="005E244D" w:rsidRPr="00327EDA">
        <w:rPr>
          <w:rFonts w:ascii="Arial" w:hAnsi="Arial" w:cs="Arial"/>
          <w:vertAlign w:val="superscript"/>
        </w:rPr>
        <w:t>th</w:t>
      </w:r>
      <w:r w:rsidR="005E244D" w:rsidRPr="00327EDA">
        <w:rPr>
          <w:rFonts w:ascii="Arial" w:hAnsi="Arial" w:cs="Arial"/>
        </w:rPr>
        <w:t xml:space="preserve"> November 2015, Mr Waqar does not meet the criteri</w:t>
      </w:r>
      <w:r w:rsidR="003B464D" w:rsidRPr="00327EDA">
        <w:rPr>
          <w:rFonts w:ascii="Arial" w:hAnsi="Arial" w:cs="Arial"/>
        </w:rPr>
        <w:t>a</w:t>
      </w:r>
      <w:r w:rsidR="005E244D" w:rsidRPr="00327EDA">
        <w:rPr>
          <w:rFonts w:ascii="Arial" w:hAnsi="Arial" w:cs="Arial"/>
        </w:rPr>
        <w:t xml:space="preserve"> set out in the regulation: he has not been residing with his wife for five years. </w:t>
      </w:r>
      <w:r w:rsidR="003B464D" w:rsidRPr="00327EDA">
        <w:rPr>
          <w:rFonts w:ascii="Arial" w:hAnsi="Arial" w:cs="Arial"/>
        </w:rPr>
        <w:t>There is no material error of law by the First-tier Tribunal that Mr Waqar ha</w:t>
      </w:r>
      <w:r w:rsidR="001A12DB" w:rsidRPr="00327EDA">
        <w:rPr>
          <w:rFonts w:ascii="Arial" w:hAnsi="Arial" w:cs="Arial"/>
        </w:rPr>
        <w:t>d</w:t>
      </w:r>
      <w:r w:rsidR="003B464D" w:rsidRPr="00327EDA">
        <w:rPr>
          <w:rFonts w:ascii="Arial" w:hAnsi="Arial" w:cs="Arial"/>
        </w:rPr>
        <w:t xml:space="preserve"> not acquired permanent residence.</w:t>
      </w:r>
    </w:p>
    <w:p w14:paraId="78453B01" w14:textId="77777777" w:rsidR="008A7429" w:rsidRPr="00327EDA" w:rsidRDefault="008A7429" w:rsidP="008A7429">
      <w:pPr>
        <w:pStyle w:val="ListParagraph"/>
        <w:ind w:left="1560"/>
        <w:contextualSpacing/>
        <w:jc w:val="both"/>
        <w:rPr>
          <w:rFonts w:ascii="Arial" w:hAnsi="Arial" w:cs="Arial"/>
        </w:rPr>
      </w:pPr>
    </w:p>
    <w:p w14:paraId="12F5987E" w14:textId="77777777" w:rsidR="003B464D" w:rsidRPr="00327EDA" w:rsidRDefault="008A7429" w:rsidP="008A7429">
      <w:pPr>
        <w:pStyle w:val="ListParagraph"/>
        <w:ind w:left="1560"/>
        <w:contextualSpacing/>
        <w:jc w:val="both"/>
        <w:rPr>
          <w:rFonts w:ascii="Arial" w:hAnsi="Arial" w:cs="Arial"/>
          <w:b/>
        </w:rPr>
      </w:pPr>
      <w:r w:rsidRPr="00327EDA">
        <w:rPr>
          <w:rFonts w:ascii="Arial" w:hAnsi="Arial" w:cs="Arial"/>
          <w:b/>
        </w:rPr>
        <w:t>Remaking the decision on retained rights of residence</w:t>
      </w:r>
    </w:p>
    <w:p w14:paraId="72E7C873" w14:textId="77777777" w:rsidR="008A7429" w:rsidRPr="00327EDA" w:rsidRDefault="008A7429" w:rsidP="008A7429">
      <w:pPr>
        <w:pStyle w:val="ListParagraph"/>
        <w:ind w:left="1560"/>
        <w:contextualSpacing/>
        <w:jc w:val="both"/>
        <w:rPr>
          <w:rFonts w:ascii="Arial" w:hAnsi="Arial" w:cs="Arial"/>
        </w:rPr>
      </w:pPr>
    </w:p>
    <w:p w14:paraId="4101EA33" w14:textId="77777777" w:rsidR="00794787" w:rsidRPr="00327EDA" w:rsidRDefault="008A7429" w:rsidP="0019655E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I do not propose to set out again the evidence relied upon by Mr Waqar</w:t>
      </w:r>
      <w:r w:rsidR="004F1C8E" w:rsidRPr="00327EDA">
        <w:rPr>
          <w:rFonts w:ascii="Arial" w:hAnsi="Arial" w:cs="Arial"/>
        </w:rPr>
        <w:t xml:space="preserve"> which I have described above. </w:t>
      </w:r>
      <w:r w:rsidR="007D501E" w:rsidRPr="00327EDA">
        <w:rPr>
          <w:rFonts w:ascii="Arial" w:hAnsi="Arial" w:cs="Arial"/>
        </w:rPr>
        <w:t>The respondent does not dispute that the spouse was exercising Treaty Rights up to 31</w:t>
      </w:r>
      <w:r w:rsidR="007D501E" w:rsidRPr="00327EDA">
        <w:rPr>
          <w:rFonts w:ascii="Arial" w:hAnsi="Arial" w:cs="Arial"/>
          <w:vertAlign w:val="superscript"/>
        </w:rPr>
        <w:t>st</w:t>
      </w:r>
      <w:r w:rsidR="007D501E" w:rsidRPr="00327EDA">
        <w:rPr>
          <w:rFonts w:ascii="Arial" w:hAnsi="Arial" w:cs="Arial"/>
        </w:rPr>
        <w:t xml:space="preserve"> January 2013. Mr Waqar </w:t>
      </w:r>
      <w:r w:rsidR="00BF3A5A" w:rsidRPr="00327EDA">
        <w:rPr>
          <w:rFonts w:ascii="Arial" w:hAnsi="Arial" w:cs="Arial"/>
        </w:rPr>
        <w:t>must</w:t>
      </w:r>
      <w:r w:rsidR="007D501E" w:rsidRPr="00327EDA">
        <w:rPr>
          <w:rFonts w:ascii="Arial" w:hAnsi="Arial" w:cs="Arial"/>
        </w:rPr>
        <w:t xml:space="preserve"> show that from 31</w:t>
      </w:r>
      <w:r w:rsidR="007D501E" w:rsidRPr="00327EDA">
        <w:rPr>
          <w:rFonts w:ascii="Arial" w:hAnsi="Arial" w:cs="Arial"/>
          <w:vertAlign w:val="superscript"/>
        </w:rPr>
        <w:t>st</w:t>
      </w:r>
      <w:r w:rsidR="007D501E" w:rsidRPr="00327EDA">
        <w:rPr>
          <w:rFonts w:ascii="Arial" w:hAnsi="Arial" w:cs="Arial"/>
        </w:rPr>
        <w:t xml:space="preserve"> January 2013 </w:t>
      </w:r>
      <w:r w:rsidR="00794787" w:rsidRPr="00327EDA">
        <w:rPr>
          <w:rFonts w:ascii="Arial" w:hAnsi="Arial" w:cs="Arial"/>
        </w:rPr>
        <w:t>his spouse was a qualified person.</w:t>
      </w:r>
    </w:p>
    <w:p w14:paraId="01827B46" w14:textId="77777777" w:rsidR="00794787" w:rsidRPr="00327EDA" w:rsidRDefault="00794787" w:rsidP="00794787">
      <w:pPr>
        <w:pStyle w:val="ListParagraph"/>
        <w:ind w:left="1560"/>
        <w:contextualSpacing/>
        <w:jc w:val="both"/>
        <w:rPr>
          <w:rFonts w:ascii="Arial" w:hAnsi="Arial" w:cs="Arial"/>
        </w:rPr>
      </w:pPr>
    </w:p>
    <w:p w14:paraId="05BFF09E" w14:textId="77777777" w:rsidR="004F69AE" w:rsidRPr="00327EDA" w:rsidRDefault="005B4281" w:rsidP="00A23421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A</w:t>
      </w:r>
      <w:r w:rsidR="004F69AE" w:rsidRPr="00327EDA">
        <w:rPr>
          <w:rFonts w:ascii="Arial" w:hAnsi="Arial" w:cs="Arial"/>
        </w:rPr>
        <w:t xml:space="preserve"> letter from HMRC dated 3 April 2018 provides detail of his spouse’s </w:t>
      </w:r>
      <w:r w:rsidR="00F916DA" w:rsidRPr="00327EDA">
        <w:rPr>
          <w:rFonts w:ascii="Arial" w:hAnsi="Arial" w:cs="Arial"/>
          <w:u w:val="single"/>
        </w:rPr>
        <w:t>earned</w:t>
      </w:r>
      <w:r w:rsidR="00F916DA" w:rsidRPr="00327EDA">
        <w:rPr>
          <w:rFonts w:ascii="Arial" w:hAnsi="Arial" w:cs="Arial"/>
        </w:rPr>
        <w:t xml:space="preserve"> </w:t>
      </w:r>
      <w:r w:rsidR="004F69AE" w:rsidRPr="00327EDA">
        <w:rPr>
          <w:rFonts w:ascii="Arial" w:hAnsi="Arial" w:cs="Arial"/>
        </w:rPr>
        <w:t>income as follows</w:t>
      </w:r>
      <w:r w:rsidR="008024F8" w:rsidRPr="00327EDA">
        <w:rPr>
          <w:rFonts w:ascii="Arial" w:hAnsi="Arial" w:cs="Arial"/>
        </w:rPr>
        <w:t>:</w:t>
      </w:r>
      <w:r w:rsidR="008B545A" w:rsidRPr="00327EDA">
        <w:rPr>
          <w:rFonts w:ascii="Arial" w:hAnsi="Arial" w:cs="Arial"/>
        </w:rPr>
        <w:t xml:space="preserve"> </w:t>
      </w:r>
    </w:p>
    <w:p w14:paraId="2F7E9C1E" w14:textId="77777777" w:rsidR="005B4281" w:rsidRPr="00327EDA" w:rsidRDefault="005B4281" w:rsidP="005B4281">
      <w:pPr>
        <w:pStyle w:val="ListParagraph"/>
        <w:rPr>
          <w:rFonts w:ascii="Arial" w:hAnsi="Arial" w:cs="Arial"/>
        </w:rPr>
      </w:pPr>
    </w:p>
    <w:p w14:paraId="2737EB26" w14:textId="77777777" w:rsidR="005B4281" w:rsidRPr="00327EDA" w:rsidRDefault="005B4281" w:rsidP="005B4281">
      <w:pPr>
        <w:pStyle w:val="ListParagraph"/>
        <w:ind w:left="1701"/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Income for tax year ended 2013</w:t>
      </w:r>
      <w:r w:rsidR="008B545A" w:rsidRPr="00327EDA">
        <w:rPr>
          <w:rFonts w:ascii="Arial" w:hAnsi="Arial" w:cs="Arial"/>
        </w:rPr>
        <w:tab/>
      </w:r>
      <w:r w:rsidR="008B545A" w:rsidRPr="00327EDA">
        <w:rPr>
          <w:rFonts w:ascii="Arial" w:hAnsi="Arial" w:cs="Arial"/>
        </w:rPr>
        <w:tab/>
      </w:r>
      <w:r w:rsidR="008B545A" w:rsidRPr="00327EDA">
        <w:rPr>
          <w:rFonts w:ascii="Arial" w:hAnsi="Arial" w:cs="Arial"/>
        </w:rPr>
        <w:tab/>
      </w:r>
      <w:r w:rsidRPr="00327EDA">
        <w:rPr>
          <w:rFonts w:ascii="Arial" w:hAnsi="Arial" w:cs="Arial"/>
        </w:rPr>
        <w:tab/>
        <w:t>£</w:t>
      </w:r>
      <w:r w:rsidR="008B545A" w:rsidRPr="00327EDA">
        <w:rPr>
          <w:rFonts w:ascii="Arial" w:hAnsi="Arial" w:cs="Arial"/>
        </w:rPr>
        <w:t>14850</w:t>
      </w:r>
      <w:r w:rsidR="00532944" w:rsidRPr="00327EDA">
        <w:rPr>
          <w:rFonts w:ascii="Arial" w:hAnsi="Arial" w:cs="Arial"/>
        </w:rPr>
        <w:t xml:space="preserve"> </w:t>
      </w:r>
    </w:p>
    <w:p w14:paraId="2744C67E" w14:textId="77777777" w:rsidR="005B4281" w:rsidRPr="00327EDA" w:rsidRDefault="005B4281" w:rsidP="005B4281">
      <w:pPr>
        <w:pStyle w:val="ListParagraph"/>
        <w:ind w:left="1701"/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Income for the tax year ended 2014</w:t>
      </w:r>
      <w:r w:rsidR="00E30A7D" w:rsidRPr="00327EDA">
        <w:rPr>
          <w:rFonts w:ascii="Arial" w:hAnsi="Arial" w:cs="Arial"/>
        </w:rPr>
        <w:tab/>
      </w:r>
      <w:r w:rsidR="00E30A7D" w:rsidRPr="00327EDA">
        <w:rPr>
          <w:rFonts w:ascii="Arial" w:hAnsi="Arial" w:cs="Arial"/>
        </w:rPr>
        <w:tab/>
      </w:r>
      <w:r w:rsidR="00E30A7D" w:rsidRPr="00327EDA">
        <w:rPr>
          <w:rFonts w:ascii="Arial" w:hAnsi="Arial" w:cs="Arial"/>
        </w:rPr>
        <w:tab/>
      </w:r>
      <w:r w:rsidR="0031495A" w:rsidRPr="00327EDA">
        <w:rPr>
          <w:rFonts w:ascii="Arial" w:hAnsi="Arial" w:cs="Arial"/>
        </w:rPr>
        <w:t>£</w:t>
      </w:r>
      <w:r w:rsidR="00E30A7D" w:rsidRPr="00327EDA">
        <w:rPr>
          <w:rFonts w:ascii="Arial" w:hAnsi="Arial" w:cs="Arial"/>
        </w:rPr>
        <w:t>1487</w:t>
      </w:r>
    </w:p>
    <w:p w14:paraId="147F9C04" w14:textId="77777777" w:rsidR="0031495A" w:rsidRPr="00327EDA" w:rsidRDefault="0031495A" w:rsidP="005B4281">
      <w:pPr>
        <w:pStyle w:val="ListParagraph"/>
        <w:ind w:left="1701"/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Income for the tax year ended 2015</w:t>
      </w:r>
      <w:r w:rsidR="00A31B7C" w:rsidRPr="00327EDA">
        <w:rPr>
          <w:rFonts w:ascii="Arial" w:hAnsi="Arial" w:cs="Arial"/>
        </w:rPr>
        <w:tab/>
      </w:r>
      <w:r w:rsidR="00A31B7C" w:rsidRPr="00327EDA">
        <w:rPr>
          <w:rFonts w:ascii="Arial" w:hAnsi="Arial" w:cs="Arial"/>
        </w:rPr>
        <w:tab/>
      </w:r>
      <w:r w:rsidR="00A31B7C" w:rsidRPr="00327EDA">
        <w:rPr>
          <w:rFonts w:ascii="Arial" w:hAnsi="Arial" w:cs="Arial"/>
        </w:rPr>
        <w:tab/>
      </w:r>
      <w:r w:rsidR="003B4A0E" w:rsidRPr="00327EDA">
        <w:rPr>
          <w:rFonts w:ascii="Arial" w:hAnsi="Arial" w:cs="Arial"/>
        </w:rPr>
        <w:t>£3430</w:t>
      </w:r>
    </w:p>
    <w:p w14:paraId="7E91052D" w14:textId="77777777" w:rsidR="003B4A0E" w:rsidRPr="00327EDA" w:rsidRDefault="003B4A0E" w:rsidP="005B4281">
      <w:pPr>
        <w:pStyle w:val="ListParagraph"/>
        <w:ind w:left="1701"/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Income for the tax year ended 2016</w:t>
      </w:r>
      <w:r w:rsidRPr="00327EDA">
        <w:rPr>
          <w:rFonts w:ascii="Arial" w:hAnsi="Arial" w:cs="Arial"/>
        </w:rPr>
        <w:tab/>
      </w:r>
      <w:r w:rsidRPr="00327EDA">
        <w:rPr>
          <w:rFonts w:ascii="Arial" w:hAnsi="Arial" w:cs="Arial"/>
        </w:rPr>
        <w:tab/>
      </w:r>
      <w:r w:rsidRPr="00327EDA">
        <w:rPr>
          <w:rFonts w:ascii="Arial" w:hAnsi="Arial" w:cs="Arial"/>
        </w:rPr>
        <w:tab/>
        <w:t>£17818</w:t>
      </w:r>
    </w:p>
    <w:p w14:paraId="1C808EFE" w14:textId="77777777" w:rsidR="00532944" w:rsidRPr="00327EDA" w:rsidRDefault="00532944" w:rsidP="004F69AE">
      <w:pPr>
        <w:pStyle w:val="ListParagraph"/>
        <w:ind w:left="1560"/>
        <w:contextualSpacing/>
        <w:jc w:val="both"/>
        <w:rPr>
          <w:rFonts w:ascii="Arial" w:hAnsi="Arial" w:cs="Arial"/>
        </w:rPr>
      </w:pPr>
    </w:p>
    <w:p w14:paraId="0AFA56E8" w14:textId="77777777" w:rsidR="00030FB5" w:rsidRPr="00327EDA" w:rsidRDefault="006D338A" w:rsidP="004F69AE">
      <w:pPr>
        <w:pStyle w:val="ListParagraph"/>
        <w:ind w:left="1560"/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The spouse was also self</w:t>
      </w:r>
      <w:r w:rsidR="004A0A57" w:rsidRPr="00327EDA">
        <w:rPr>
          <w:rFonts w:ascii="Arial" w:hAnsi="Arial" w:cs="Arial"/>
        </w:rPr>
        <w:t>-</w:t>
      </w:r>
      <w:r w:rsidR="00BF3A5A" w:rsidRPr="00327EDA">
        <w:rPr>
          <w:rFonts w:ascii="Arial" w:hAnsi="Arial" w:cs="Arial"/>
        </w:rPr>
        <w:t>employed and</w:t>
      </w:r>
      <w:r w:rsidRPr="00327EDA">
        <w:rPr>
          <w:rFonts w:ascii="Arial" w:hAnsi="Arial" w:cs="Arial"/>
        </w:rPr>
        <w:t xml:space="preserve"> she is recorded </w:t>
      </w:r>
      <w:r w:rsidR="00030FB5" w:rsidRPr="00327EDA">
        <w:rPr>
          <w:rFonts w:ascii="Arial" w:hAnsi="Arial" w:cs="Arial"/>
        </w:rPr>
        <w:t xml:space="preserve">by HMRC </w:t>
      </w:r>
      <w:r w:rsidRPr="00327EDA">
        <w:rPr>
          <w:rFonts w:ascii="Arial" w:hAnsi="Arial" w:cs="Arial"/>
        </w:rPr>
        <w:t>as tax due (less the penalties for late filing) of £2626.72</w:t>
      </w:r>
      <w:r w:rsidR="00030FB5" w:rsidRPr="00327EDA">
        <w:rPr>
          <w:rFonts w:ascii="Arial" w:hAnsi="Arial" w:cs="Arial"/>
        </w:rPr>
        <w:t xml:space="preserve"> in a statement brought </w:t>
      </w:r>
      <w:r w:rsidR="00030FB5" w:rsidRPr="00327EDA">
        <w:rPr>
          <w:rFonts w:ascii="Arial" w:hAnsi="Arial" w:cs="Arial"/>
        </w:rPr>
        <w:lastRenderedPageBreak/>
        <w:t>forward from June 2015</w:t>
      </w:r>
      <w:r w:rsidRPr="00327EDA">
        <w:rPr>
          <w:rFonts w:ascii="Arial" w:hAnsi="Arial" w:cs="Arial"/>
        </w:rPr>
        <w:t>.</w:t>
      </w:r>
      <w:r w:rsidR="00030FB5" w:rsidRPr="00327EDA">
        <w:rPr>
          <w:rFonts w:ascii="Arial" w:hAnsi="Arial" w:cs="Arial"/>
        </w:rPr>
        <w:t xml:space="preserve"> As noted above, this would reflect an income of at least £10000</w:t>
      </w:r>
      <w:r w:rsidR="007C5588" w:rsidRPr="00327EDA">
        <w:rPr>
          <w:rFonts w:ascii="Arial" w:hAnsi="Arial" w:cs="Arial"/>
        </w:rPr>
        <w:t xml:space="preserve"> if not significantly more during at least the tax year ended </w:t>
      </w:r>
      <w:r w:rsidR="00750931" w:rsidRPr="00327EDA">
        <w:rPr>
          <w:rFonts w:ascii="Arial" w:hAnsi="Arial" w:cs="Arial"/>
        </w:rPr>
        <w:t>2015</w:t>
      </w:r>
      <w:r w:rsidR="00030FB5" w:rsidRPr="00327EDA">
        <w:rPr>
          <w:rFonts w:ascii="Arial" w:hAnsi="Arial" w:cs="Arial"/>
        </w:rPr>
        <w:t xml:space="preserve">. </w:t>
      </w:r>
      <w:r w:rsidRPr="00327EDA">
        <w:rPr>
          <w:rFonts w:ascii="Arial" w:hAnsi="Arial" w:cs="Arial"/>
        </w:rPr>
        <w:t xml:space="preserve"> </w:t>
      </w:r>
    </w:p>
    <w:p w14:paraId="40E4B156" w14:textId="77777777" w:rsidR="00030FB5" w:rsidRPr="00327EDA" w:rsidRDefault="00030FB5" w:rsidP="004F69AE">
      <w:pPr>
        <w:pStyle w:val="ListParagraph"/>
        <w:ind w:left="1560"/>
        <w:contextualSpacing/>
        <w:jc w:val="both"/>
        <w:rPr>
          <w:rFonts w:ascii="Arial" w:hAnsi="Arial" w:cs="Arial"/>
        </w:rPr>
      </w:pPr>
    </w:p>
    <w:p w14:paraId="20740CC8" w14:textId="77777777" w:rsidR="00532944" w:rsidRPr="00327EDA" w:rsidRDefault="004F1C8E" w:rsidP="004F69AE">
      <w:pPr>
        <w:pStyle w:val="ListParagraph"/>
        <w:ind w:left="1560"/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 xml:space="preserve">The </w:t>
      </w:r>
      <w:r w:rsidR="00532944" w:rsidRPr="00327EDA">
        <w:rPr>
          <w:rFonts w:ascii="Arial" w:hAnsi="Arial" w:cs="Arial"/>
        </w:rPr>
        <w:t>combined income for the couple was as follows:</w:t>
      </w:r>
    </w:p>
    <w:p w14:paraId="1F1B14A6" w14:textId="77777777" w:rsidR="00532944" w:rsidRPr="00327EDA" w:rsidRDefault="00532944" w:rsidP="00532944">
      <w:pPr>
        <w:ind w:left="1134" w:firstLine="567"/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Tax year ended 2014</w:t>
      </w:r>
      <w:r w:rsidRPr="00327EDA">
        <w:rPr>
          <w:rFonts w:ascii="Arial" w:hAnsi="Arial" w:cs="Arial"/>
        </w:rPr>
        <w:tab/>
      </w:r>
      <w:r w:rsidRPr="00327EDA">
        <w:rPr>
          <w:rFonts w:ascii="Arial" w:hAnsi="Arial" w:cs="Arial"/>
        </w:rPr>
        <w:tab/>
      </w:r>
      <w:r w:rsidRPr="00327EDA">
        <w:rPr>
          <w:rFonts w:ascii="Arial" w:hAnsi="Arial" w:cs="Arial"/>
        </w:rPr>
        <w:tab/>
        <w:t>£10761</w:t>
      </w:r>
      <w:r w:rsidR="00B30F61" w:rsidRPr="00327EDA">
        <w:rPr>
          <w:rFonts w:ascii="Arial" w:hAnsi="Arial" w:cs="Arial"/>
        </w:rPr>
        <w:t xml:space="preserve"> (+ any </w:t>
      </w:r>
      <w:r w:rsidR="00BF3A5A" w:rsidRPr="00327EDA">
        <w:rPr>
          <w:rFonts w:ascii="Arial" w:hAnsi="Arial" w:cs="Arial"/>
        </w:rPr>
        <w:t>self-employed</w:t>
      </w:r>
      <w:r w:rsidR="00B30F61" w:rsidRPr="00327EDA">
        <w:rPr>
          <w:rFonts w:ascii="Arial" w:hAnsi="Arial" w:cs="Arial"/>
        </w:rPr>
        <w:t xml:space="preserve"> income of the spouse)</w:t>
      </w:r>
    </w:p>
    <w:p w14:paraId="6CF3DC6C" w14:textId="77777777" w:rsidR="00F916DA" w:rsidRPr="00327EDA" w:rsidRDefault="00532944" w:rsidP="00532944">
      <w:pPr>
        <w:ind w:left="1134" w:firstLine="567"/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Tax year ended 2015</w:t>
      </w:r>
      <w:r w:rsidRPr="00327EDA">
        <w:rPr>
          <w:rFonts w:ascii="Arial" w:hAnsi="Arial" w:cs="Arial"/>
        </w:rPr>
        <w:tab/>
      </w:r>
      <w:r w:rsidRPr="00327EDA">
        <w:rPr>
          <w:rFonts w:ascii="Arial" w:hAnsi="Arial" w:cs="Arial"/>
        </w:rPr>
        <w:tab/>
      </w:r>
      <w:r w:rsidRPr="00327EDA">
        <w:rPr>
          <w:rFonts w:ascii="Arial" w:hAnsi="Arial" w:cs="Arial"/>
        </w:rPr>
        <w:tab/>
        <w:t>£</w:t>
      </w:r>
      <w:r w:rsidR="00F916DA" w:rsidRPr="00327EDA">
        <w:rPr>
          <w:rFonts w:ascii="Arial" w:hAnsi="Arial" w:cs="Arial"/>
        </w:rPr>
        <w:t>20290</w:t>
      </w:r>
      <w:r w:rsidR="00B30F61" w:rsidRPr="00327EDA">
        <w:rPr>
          <w:rFonts w:ascii="Arial" w:hAnsi="Arial" w:cs="Arial"/>
        </w:rPr>
        <w:t xml:space="preserve"> (+any </w:t>
      </w:r>
      <w:r w:rsidR="00BF3A5A" w:rsidRPr="00327EDA">
        <w:rPr>
          <w:rFonts w:ascii="Arial" w:hAnsi="Arial" w:cs="Arial"/>
        </w:rPr>
        <w:t>self-employed</w:t>
      </w:r>
      <w:r w:rsidR="00B30F61" w:rsidRPr="00327EDA">
        <w:rPr>
          <w:rFonts w:ascii="Arial" w:hAnsi="Arial" w:cs="Arial"/>
        </w:rPr>
        <w:t xml:space="preserve"> income of the spouse)</w:t>
      </w:r>
    </w:p>
    <w:p w14:paraId="625C1D4F" w14:textId="77777777" w:rsidR="00F916DA" w:rsidRPr="00327EDA" w:rsidRDefault="00F916DA" w:rsidP="00532944">
      <w:pPr>
        <w:ind w:left="1134" w:firstLine="567"/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Tax year ended 2016</w:t>
      </w:r>
      <w:r w:rsidRPr="00327EDA">
        <w:rPr>
          <w:rFonts w:ascii="Arial" w:hAnsi="Arial" w:cs="Arial"/>
        </w:rPr>
        <w:tab/>
      </w:r>
      <w:r w:rsidRPr="00327EDA">
        <w:rPr>
          <w:rFonts w:ascii="Arial" w:hAnsi="Arial" w:cs="Arial"/>
        </w:rPr>
        <w:tab/>
      </w:r>
      <w:r w:rsidRPr="00327EDA">
        <w:rPr>
          <w:rFonts w:ascii="Arial" w:hAnsi="Arial" w:cs="Arial"/>
        </w:rPr>
        <w:tab/>
        <w:t>£43223</w:t>
      </w:r>
    </w:p>
    <w:p w14:paraId="02DD4621" w14:textId="77777777" w:rsidR="00F916DA" w:rsidRPr="00327EDA" w:rsidRDefault="00F916DA" w:rsidP="00532944">
      <w:pPr>
        <w:ind w:left="1134" w:firstLine="567"/>
        <w:contextualSpacing/>
        <w:jc w:val="both"/>
        <w:rPr>
          <w:rFonts w:ascii="Arial" w:hAnsi="Arial" w:cs="Arial"/>
        </w:rPr>
      </w:pPr>
    </w:p>
    <w:p w14:paraId="7DD81F13" w14:textId="77777777" w:rsidR="003B464D" w:rsidRPr="00327EDA" w:rsidRDefault="003B464D" w:rsidP="003B464D">
      <w:pPr>
        <w:pStyle w:val="ListParagraph"/>
        <w:rPr>
          <w:rFonts w:ascii="Arial" w:hAnsi="Arial" w:cs="Arial"/>
        </w:rPr>
      </w:pPr>
    </w:p>
    <w:p w14:paraId="672D19DB" w14:textId="77777777" w:rsidR="00E954DE" w:rsidRPr="00327EDA" w:rsidRDefault="004A0A57" w:rsidP="0019655E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It is plain the spouse was working as both a worker and self-employed. It cannot be sustainably argued that her income was minimal or that her employment/self-employment was ineffective.</w:t>
      </w:r>
      <w:r w:rsidR="007C5588" w:rsidRPr="00327EDA">
        <w:rPr>
          <w:rFonts w:ascii="Arial" w:hAnsi="Arial" w:cs="Arial"/>
        </w:rPr>
        <w:t xml:space="preserve"> Although the r</w:t>
      </w:r>
      <w:r w:rsidR="00750931" w:rsidRPr="00327EDA">
        <w:rPr>
          <w:rFonts w:ascii="Arial" w:hAnsi="Arial" w:cs="Arial"/>
        </w:rPr>
        <w:t>e</w:t>
      </w:r>
      <w:r w:rsidR="007C5588" w:rsidRPr="00327EDA">
        <w:rPr>
          <w:rFonts w:ascii="Arial" w:hAnsi="Arial" w:cs="Arial"/>
        </w:rPr>
        <w:t>spondent</w:t>
      </w:r>
      <w:r w:rsidR="00750931" w:rsidRPr="00327EDA">
        <w:rPr>
          <w:rFonts w:ascii="Arial" w:hAnsi="Arial" w:cs="Arial"/>
        </w:rPr>
        <w:t xml:space="preserve"> relied upon </w:t>
      </w:r>
      <w:r w:rsidR="007C5588" w:rsidRPr="00327EDA">
        <w:rPr>
          <w:rFonts w:ascii="Arial" w:hAnsi="Arial" w:cs="Arial"/>
        </w:rPr>
        <w:t xml:space="preserve">what is termed a Minimum </w:t>
      </w:r>
      <w:r w:rsidR="00750931" w:rsidRPr="00327EDA">
        <w:rPr>
          <w:rFonts w:ascii="Arial" w:hAnsi="Arial" w:cs="Arial"/>
        </w:rPr>
        <w:t>Earnings</w:t>
      </w:r>
      <w:r w:rsidR="007C5588" w:rsidRPr="00327EDA">
        <w:rPr>
          <w:rFonts w:ascii="Arial" w:hAnsi="Arial" w:cs="Arial"/>
        </w:rPr>
        <w:t xml:space="preserve"> Threshold there</w:t>
      </w:r>
      <w:r w:rsidR="00750931" w:rsidRPr="00327EDA">
        <w:rPr>
          <w:rFonts w:ascii="Arial" w:hAnsi="Arial" w:cs="Arial"/>
        </w:rPr>
        <w:t xml:space="preserve"> </w:t>
      </w:r>
      <w:r w:rsidR="007C5588" w:rsidRPr="00327EDA">
        <w:rPr>
          <w:rFonts w:ascii="Arial" w:hAnsi="Arial" w:cs="Arial"/>
        </w:rPr>
        <w:t xml:space="preserve">is no indication what that figure should have been or even whether it applies or applied to this couple.  </w:t>
      </w:r>
    </w:p>
    <w:p w14:paraId="4845E45D" w14:textId="77777777" w:rsidR="00E954DE" w:rsidRPr="00327EDA" w:rsidRDefault="00E954DE" w:rsidP="00E954DE">
      <w:pPr>
        <w:pStyle w:val="ListParagraph"/>
        <w:ind w:left="1560"/>
        <w:contextualSpacing/>
        <w:jc w:val="both"/>
        <w:rPr>
          <w:rFonts w:ascii="Arial" w:hAnsi="Arial" w:cs="Arial"/>
        </w:rPr>
      </w:pPr>
    </w:p>
    <w:p w14:paraId="3C569CA7" w14:textId="77777777" w:rsidR="00031B1F" w:rsidRPr="00327EDA" w:rsidRDefault="00E954DE" w:rsidP="0019655E">
      <w:pPr>
        <w:pStyle w:val="ListParagraph"/>
        <w:numPr>
          <w:ilvl w:val="0"/>
          <w:numId w:val="28"/>
        </w:numPr>
        <w:contextualSpacing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 xml:space="preserve">I am satisfied </w:t>
      </w:r>
      <w:r w:rsidR="00BF3A5A" w:rsidRPr="00327EDA">
        <w:rPr>
          <w:rFonts w:ascii="Arial" w:hAnsi="Arial" w:cs="Arial"/>
        </w:rPr>
        <w:t>based on</w:t>
      </w:r>
      <w:r w:rsidRPr="00327EDA">
        <w:rPr>
          <w:rFonts w:ascii="Arial" w:hAnsi="Arial" w:cs="Arial"/>
        </w:rPr>
        <w:t xml:space="preserve"> the documents provided that Mr Waqar</w:t>
      </w:r>
      <w:r w:rsidR="004C372D" w:rsidRPr="00327EDA">
        <w:rPr>
          <w:rFonts w:ascii="Arial" w:hAnsi="Arial" w:cs="Arial"/>
        </w:rPr>
        <w:t xml:space="preserve"> was a family member of a qualified person at the date of termination of his marriage, that he was residing in the UK in accordance with the Regulations</w:t>
      </w:r>
      <w:r w:rsidR="00031B1F" w:rsidRPr="00327EDA">
        <w:rPr>
          <w:rFonts w:ascii="Arial" w:hAnsi="Arial" w:cs="Arial"/>
        </w:rPr>
        <w:t xml:space="preserve"> and although not an EEA national would, if he were an EEA national, be a worker under regulation 6.</w:t>
      </w:r>
    </w:p>
    <w:p w14:paraId="61C4767A" w14:textId="77777777" w:rsidR="00031B1F" w:rsidRPr="00327EDA" w:rsidRDefault="00031B1F" w:rsidP="00031B1F">
      <w:pPr>
        <w:pStyle w:val="ListParagraph"/>
        <w:rPr>
          <w:rFonts w:ascii="Arial" w:hAnsi="Arial" w:cs="Arial"/>
        </w:rPr>
      </w:pPr>
    </w:p>
    <w:p w14:paraId="49020EEC" w14:textId="77777777" w:rsidR="005965E5" w:rsidRPr="00327EDA" w:rsidRDefault="005965E5" w:rsidP="00036813">
      <w:pPr>
        <w:tabs>
          <w:tab w:val="left" w:pos="567"/>
        </w:tabs>
        <w:ind w:left="360"/>
        <w:jc w:val="both"/>
        <w:rPr>
          <w:rFonts w:ascii="Arial" w:hAnsi="Arial" w:cs="Arial"/>
        </w:rPr>
      </w:pPr>
    </w:p>
    <w:p w14:paraId="6F033D16" w14:textId="77777777" w:rsidR="00EB45D2" w:rsidRPr="00327EDA" w:rsidRDefault="00EB45D2" w:rsidP="00EB45D2">
      <w:pPr>
        <w:tabs>
          <w:tab w:val="left" w:pos="567"/>
        </w:tabs>
        <w:jc w:val="both"/>
        <w:rPr>
          <w:rFonts w:ascii="Arial" w:hAnsi="Arial" w:cs="Arial"/>
          <w:u w:val="single"/>
        </w:rPr>
      </w:pPr>
      <w:r w:rsidRPr="00327EDA">
        <w:rPr>
          <w:rFonts w:ascii="Arial" w:hAnsi="Arial" w:cs="Arial"/>
        </w:rPr>
        <w:t xml:space="preserve">          </w:t>
      </w:r>
      <w:r w:rsidRPr="00327EDA">
        <w:rPr>
          <w:rFonts w:ascii="Arial" w:hAnsi="Arial" w:cs="Arial"/>
          <w:u w:val="single"/>
        </w:rPr>
        <w:t>Conclusions:</w:t>
      </w:r>
    </w:p>
    <w:p w14:paraId="6A4B6E86" w14:textId="77777777" w:rsidR="00EB45D2" w:rsidRPr="00327EDA" w:rsidRDefault="00EB45D2" w:rsidP="00EB45D2">
      <w:pPr>
        <w:tabs>
          <w:tab w:val="left" w:pos="567"/>
        </w:tabs>
        <w:jc w:val="both"/>
        <w:rPr>
          <w:rFonts w:ascii="Arial" w:hAnsi="Arial" w:cs="Arial"/>
        </w:rPr>
      </w:pPr>
    </w:p>
    <w:p w14:paraId="6ADBFC7E" w14:textId="77777777" w:rsidR="00EB45D2" w:rsidRPr="00327EDA" w:rsidRDefault="00EB45D2" w:rsidP="00EB45D2">
      <w:pPr>
        <w:tabs>
          <w:tab w:val="left" w:pos="567"/>
        </w:tabs>
        <w:ind w:left="567"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The making of the decision</w:t>
      </w:r>
      <w:r w:rsidR="00031B1F" w:rsidRPr="00327EDA">
        <w:rPr>
          <w:rFonts w:ascii="Arial" w:hAnsi="Arial" w:cs="Arial"/>
        </w:rPr>
        <w:t xml:space="preserve"> of the First-tier Tribunal did</w:t>
      </w:r>
      <w:r w:rsidRPr="00327EDA">
        <w:rPr>
          <w:rFonts w:ascii="Arial" w:hAnsi="Arial" w:cs="Arial"/>
        </w:rPr>
        <w:t xml:space="preserve"> involve the making of an error on a point of law.</w:t>
      </w:r>
    </w:p>
    <w:p w14:paraId="14726A9B" w14:textId="77777777" w:rsidR="00EB45D2" w:rsidRPr="00327EDA" w:rsidRDefault="00EB45D2" w:rsidP="00EB45D2">
      <w:pPr>
        <w:tabs>
          <w:tab w:val="left" w:pos="567"/>
        </w:tabs>
        <w:jc w:val="both"/>
        <w:rPr>
          <w:rFonts w:ascii="Arial" w:hAnsi="Arial" w:cs="Arial"/>
        </w:rPr>
      </w:pPr>
    </w:p>
    <w:p w14:paraId="04708777" w14:textId="77777777" w:rsidR="00EB45D2" w:rsidRPr="00327EDA" w:rsidRDefault="00EB45D2" w:rsidP="00031B1F">
      <w:pPr>
        <w:tabs>
          <w:tab w:val="left" w:pos="567"/>
        </w:tabs>
        <w:ind w:left="567"/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>I set aside the decision</w:t>
      </w:r>
      <w:r w:rsidR="00031B1F" w:rsidRPr="00327EDA">
        <w:rPr>
          <w:rFonts w:ascii="Arial" w:hAnsi="Arial" w:cs="Arial"/>
        </w:rPr>
        <w:t xml:space="preserve"> in so far as the First-tier Tribunal judge found the appellant had not retained rights of residence.</w:t>
      </w:r>
      <w:r w:rsidRPr="00327EDA">
        <w:rPr>
          <w:rFonts w:ascii="Arial" w:hAnsi="Arial" w:cs="Arial"/>
        </w:rPr>
        <w:t xml:space="preserve"> </w:t>
      </w:r>
    </w:p>
    <w:p w14:paraId="6C099AD2" w14:textId="77777777" w:rsidR="00EB45D2" w:rsidRPr="00327EDA" w:rsidRDefault="00EB45D2" w:rsidP="00EB45D2">
      <w:pPr>
        <w:tabs>
          <w:tab w:val="left" w:pos="567"/>
        </w:tabs>
        <w:jc w:val="both"/>
        <w:rPr>
          <w:rFonts w:ascii="Arial" w:hAnsi="Arial" w:cs="Arial"/>
        </w:rPr>
      </w:pPr>
    </w:p>
    <w:p w14:paraId="47856C24" w14:textId="77777777" w:rsidR="00EB45D2" w:rsidRPr="00327EDA" w:rsidRDefault="00EB45D2" w:rsidP="00EB45D2">
      <w:pPr>
        <w:tabs>
          <w:tab w:val="left" w:pos="567"/>
        </w:tabs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ab/>
        <w:t>I re-make the decision in the appeal by allowing it</w:t>
      </w:r>
      <w:r w:rsidR="00031B1F" w:rsidRPr="00327EDA">
        <w:rPr>
          <w:rFonts w:ascii="Arial" w:hAnsi="Arial" w:cs="Arial"/>
        </w:rPr>
        <w:t>.</w:t>
      </w:r>
    </w:p>
    <w:p w14:paraId="649272AC" w14:textId="77777777" w:rsidR="00EB45D2" w:rsidRPr="00327EDA" w:rsidRDefault="00EB45D2" w:rsidP="00EB45D2">
      <w:pPr>
        <w:tabs>
          <w:tab w:val="left" w:pos="567"/>
        </w:tabs>
        <w:jc w:val="both"/>
        <w:rPr>
          <w:rFonts w:ascii="Arial" w:hAnsi="Arial" w:cs="Arial"/>
        </w:rPr>
      </w:pPr>
    </w:p>
    <w:p w14:paraId="61462944" w14:textId="77777777" w:rsidR="00181749" w:rsidRPr="00327EDA" w:rsidRDefault="00EB45D2" w:rsidP="00031B1F">
      <w:pPr>
        <w:tabs>
          <w:tab w:val="left" w:pos="567"/>
        </w:tabs>
        <w:jc w:val="both"/>
        <w:rPr>
          <w:rFonts w:ascii="Arial" w:hAnsi="Arial" w:cs="Arial"/>
        </w:rPr>
      </w:pPr>
      <w:r w:rsidRPr="00327EDA">
        <w:rPr>
          <w:rFonts w:ascii="Arial" w:hAnsi="Arial" w:cs="Arial"/>
        </w:rPr>
        <w:tab/>
      </w:r>
    </w:p>
    <w:p w14:paraId="5BAA0E69" w14:textId="77777777" w:rsidR="009F5220" w:rsidRPr="00327EDA" w:rsidRDefault="009F5220" w:rsidP="00780F86">
      <w:pPr>
        <w:ind w:left="540" w:hanging="540"/>
        <w:jc w:val="both"/>
        <w:rPr>
          <w:rFonts w:ascii="Arial" w:hAnsi="Arial" w:cs="Arial"/>
        </w:rPr>
      </w:pPr>
    </w:p>
    <w:p w14:paraId="25F7C3E3" w14:textId="77777777" w:rsidR="001F2716" w:rsidRPr="00327EDA" w:rsidRDefault="001F2716" w:rsidP="00780F86">
      <w:pPr>
        <w:ind w:left="540" w:hanging="540"/>
        <w:jc w:val="both"/>
        <w:rPr>
          <w:rFonts w:ascii="Arial" w:hAnsi="Arial" w:cs="Arial"/>
        </w:rPr>
      </w:pPr>
    </w:p>
    <w:p w14:paraId="2D22AAF7" w14:textId="77777777" w:rsidR="00A509FA" w:rsidRPr="00327EDA" w:rsidRDefault="00A509FA" w:rsidP="00780F86">
      <w:pPr>
        <w:ind w:left="540" w:hanging="540"/>
        <w:jc w:val="both"/>
        <w:rPr>
          <w:rFonts w:ascii="Arial" w:hAnsi="Arial" w:cs="Arial"/>
        </w:rPr>
      </w:pPr>
    </w:p>
    <w:p w14:paraId="260594DB" w14:textId="77777777" w:rsidR="00423156" w:rsidRPr="00327EDA" w:rsidRDefault="00423156" w:rsidP="00780F86">
      <w:pPr>
        <w:ind w:left="540" w:hanging="540"/>
        <w:jc w:val="both"/>
        <w:rPr>
          <w:rFonts w:ascii="Arial" w:hAnsi="Arial" w:cs="Arial"/>
        </w:rPr>
      </w:pPr>
    </w:p>
    <w:p w14:paraId="3F2C6834" w14:textId="77777777" w:rsidR="001F2716" w:rsidRPr="00327EDA" w:rsidRDefault="00780F86" w:rsidP="00ED036F">
      <w:pPr>
        <w:ind w:left="1079" w:hanging="539"/>
        <w:rPr>
          <w:rFonts w:ascii="Arial" w:hAnsi="Arial" w:cs="Arial"/>
        </w:rPr>
      </w:pPr>
      <w:r w:rsidRPr="00327EDA">
        <w:rPr>
          <w:rFonts w:ascii="Arial" w:hAnsi="Arial" w:cs="Arial"/>
        </w:rPr>
        <w:tab/>
      </w:r>
      <w:r w:rsidRPr="00327EDA">
        <w:rPr>
          <w:rFonts w:ascii="Arial" w:hAnsi="Arial" w:cs="Arial"/>
        </w:rPr>
        <w:tab/>
      </w:r>
      <w:r w:rsidRPr="00327EDA">
        <w:rPr>
          <w:rFonts w:ascii="Arial" w:hAnsi="Arial" w:cs="Arial"/>
        </w:rPr>
        <w:tab/>
      </w:r>
      <w:r w:rsidRPr="00327EDA">
        <w:rPr>
          <w:rFonts w:ascii="Arial" w:hAnsi="Arial" w:cs="Arial"/>
        </w:rPr>
        <w:tab/>
      </w:r>
      <w:r w:rsidRPr="00327EDA">
        <w:rPr>
          <w:rFonts w:ascii="Arial" w:hAnsi="Arial" w:cs="Arial"/>
        </w:rPr>
        <w:tab/>
      </w:r>
      <w:r w:rsidRPr="00327EDA">
        <w:rPr>
          <w:rFonts w:ascii="Arial" w:hAnsi="Arial" w:cs="Arial"/>
        </w:rPr>
        <w:tab/>
      </w:r>
      <w:r w:rsidRPr="00327EDA">
        <w:rPr>
          <w:rFonts w:ascii="Arial" w:hAnsi="Arial" w:cs="Arial"/>
        </w:rPr>
        <w:tab/>
      </w:r>
      <w:r w:rsidRPr="00327EDA">
        <w:rPr>
          <w:rFonts w:ascii="Arial" w:hAnsi="Arial" w:cs="Arial"/>
        </w:rPr>
        <w:tab/>
      </w:r>
      <w:r w:rsidR="001F2716" w:rsidRPr="00327EDA">
        <w:rPr>
          <w:rFonts w:ascii="Arial" w:hAnsi="Arial" w:cs="Arial"/>
        </w:rPr>
        <w:t>Date</w:t>
      </w:r>
      <w:r w:rsidR="002E575D" w:rsidRPr="00327EDA">
        <w:rPr>
          <w:rFonts w:ascii="Arial" w:hAnsi="Arial" w:cs="Arial"/>
        </w:rPr>
        <w:t xml:space="preserve"> </w:t>
      </w:r>
      <w:r w:rsidR="008024F8" w:rsidRPr="00327EDA">
        <w:rPr>
          <w:rFonts w:ascii="Arial" w:hAnsi="Arial" w:cs="Arial"/>
        </w:rPr>
        <w:t>12</w:t>
      </w:r>
      <w:r w:rsidR="008024F8" w:rsidRPr="00327EDA">
        <w:rPr>
          <w:rFonts w:ascii="Arial" w:hAnsi="Arial" w:cs="Arial"/>
          <w:vertAlign w:val="superscript"/>
        </w:rPr>
        <w:t>th</w:t>
      </w:r>
      <w:r w:rsidR="008024F8" w:rsidRPr="00327EDA">
        <w:rPr>
          <w:rFonts w:ascii="Arial" w:hAnsi="Arial" w:cs="Arial"/>
        </w:rPr>
        <w:t xml:space="preserve"> July 2018</w:t>
      </w:r>
    </w:p>
    <w:p w14:paraId="25A67A25" w14:textId="77777777" w:rsidR="00423156" w:rsidRPr="00327EDA" w:rsidRDefault="00082D15" w:rsidP="00B55768">
      <w:pPr>
        <w:tabs>
          <w:tab w:val="left" w:pos="2520"/>
        </w:tabs>
        <w:rPr>
          <w:rFonts w:ascii="Arial" w:hAnsi="Arial" w:cs="Arial"/>
          <w:color w:val="000000"/>
        </w:rPr>
      </w:pPr>
      <w:r w:rsidRPr="00327EDA">
        <w:rPr>
          <w:rFonts w:ascii="Arial" w:hAnsi="Arial" w:cs="Arial"/>
          <w:noProof/>
          <w:color w:val="000000"/>
        </w:rPr>
        <w:drawing>
          <wp:inline distT="0" distB="0" distL="0" distR="0" wp14:anchorId="2214F23B" wp14:editId="189D96EE">
            <wp:extent cx="1257300" cy="523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A89C74" w14:textId="77777777" w:rsidR="00423156" w:rsidRPr="00327EDA" w:rsidRDefault="00423156" w:rsidP="00B55768">
      <w:pPr>
        <w:tabs>
          <w:tab w:val="left" w:pos="2520"/>
        </w:tabs>
        <w:rPr>
          <w:rFonts w:ascii="Arial" w:hAnsi="Arial" w:cs="Arial"/>
          <w:color w:val="000000"/>
        </w:rPr>
      </w:pPr>
    </w:p>
    <w:p w14:paraId="25870521" w14:textId="77777777" w:rsidR="00423156" w:rsidRPr="00327EDA" w:rsidRDefault="00423156" w:rsidP="00B55768">
      <w:pPr>
        <w:tabs>
          <w:tab w:val="left" w:pos="2520"/>
        </w:tabs>
        <w:rPr>
          <w:rFonts w:ascii="Arial" w:hAnsi="Arial" w:cs="Arial"/>
          <w:color w:val="000000"/>
        </w:rPr>
      </w:pPr>
    </w:p>
    <w:p w14:paraId="47DC878C" w14:textId="77777777" w:rsidR="00B95326" w:rsidRPr="00327EDA" w:rsidRDefault="00EB45D2" w:rsidP="00B55768">
      <w:pPr>
        <w:tabs>
          <w:tab w:val="left" w:pos="2520"/>
        </w:tabs>
        <w:rPr>
          <w:rFonts w:ascii="Arial" w:hAnsi="Arial" w:cs="Arial"/>
          <w:color w:val="000000"/>
        </w:rPr>
      </w:pPr>
      <w:r w:rsidRPr="00327EDA">
        <w:rPr>
          <w:rFonts w:ascii="Arial" w:hAnsi="Arial" w:cs="Arial"/>
          <w:color w:val="000000"/>
        </w:rPr>
        <w:t xml:space="preserve">Upper Tribunal </w:t>
      </w:r>
      <w:r w:rsidR="009D055C" w:rsidRPr="00327EDA">
        <w:rPr>
          <w:rFonts w:ascii="Arial" w:hAnsi="Arial" w:cs="Arial"/>
          <w:color w:val="000000"/>
        </w:rPr>
        <w:t xml:space="preserve">Judge </w:t>
      </w:r>
      <w:r w:rsidR="00630C34" w:rsidRPr="00327EDA">
        <w:rPr>
          <w:rFonts w:ascii="Arial" w:hAnsi="Arial" w:cs="Arial"/>
          <w:color w:val="000000"/>
        </w:rPr>
        <w:t>Coker</w:t>
      </w:r>
    </w:p>
    <w:sectPr w:rsidR="00B95326" w:rsidRPr="00327EDA" w:rsidSect="000645AE">
      <w:headerReference w:type="default" r:id="rId10"/>
      <w:footerReference w:type="defaul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151E2" w14:textId="77777777" w:rsidR="00A30B27" w:rsidRDefault="00A30B27">
      <w:r>
        <w:separator/>
      </w:r>
    </w:p>
  </w:endnote>
  <w:endnote w:type="continuationSeparator" w:id="0">
    <w:p w14:paraId="7E10FF45" w14:textId="77777777" w:rsidR="00A30B27" w:rsidRDefault="00A30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AF216" w14:textId="46159E1B" w:rsidR="004F69AE" w:rsidRPr="00593795" w:rsidRDefault="004F69AE" w:rsidP="00593795">
    <w:pPr>
      <w:pStyle w:val="Footer"/>
      <w:jc w:val="center"/>
      <w:rPr>
        <w:rFonts w:ascii="Arial" w:hAnsi="Arial" w:cs="Arial"/>
        <w:sz w:val="16"/>
        <w:szCs w:val="16"/>
      </w:rPr>
    </w:pPr>
    <w:r w:rsidRPr="00593795">
      <w:rPr>
        <w:rStyle w:val="PageNumber"/>
        <w:rFonts w:ascii="Arial" w:hAnsi="Arial" w:cs="Arial"/>
        <w:sz w:val="16"/>
        <w:szCs w:val="16"/>
      </w:rPr>
      <w:fldChar w:fldCharType="begin"/>
    </w:r>
    <w:r w:rsidRPr="0059379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93795">
      <w:rPr>
        <w:rStyle w:val="PageNumber"/>
        <w:rFonts w:ascii="Arial" w:hAnsi="Arial" w:cs="Arial"/>
        <w:sz w:val="16"/>
        <w:szCs w:val="16"/>
      </w:rPr>
      <w:fldChar w:fldCharType="separate"/>
    </w:r>
    <w:r w:rsidR="00CE47DA">
      <w:rPr>
        <w:rStyle w:val="PageNumber"/>
        <w:rFonts w:ascii="Arial" w:hAnsi="Arial" w:cs="Arial"/>
        <w:noProof/>
        <w:sz w:val="16"/>
        <w:szCs w:val="16"/>
      </w:rPr>
      <w:t>6</w:t>
    </w:r>
    <w:r w:rsidRPr="0059379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FA375" w14:textId="77777777" w:rsidR="004F69AE" w:rsidRPr="00090CF9" w:rsidRDefault="004F69AE" w:rsidP="00090CF9">
    <w:pPr>
      <w:jc w:val="center"/>
      <w:rPr>
        <w:rFonts w:ascii="Arial" w:hAnsi="Arial" w:cs="Arial"/>
        <w:b/>
      </w:rPr>
    </w:pPr>
    <w:r w:rsidRPr="00090CF9">
      <w:rPr>
        <w:rFonts w:ascii="Arial" w:hAnsi="Arial" w:cs="Arial"/>
        <w:b/>
        <w:spacing w:val="-6"/>
      </w:rPr>
      <w:t>©</w:t>
    </w:r>
    <w:r>
      <w:rPr>
        <w:rFonts w:ascii="Arial" w:hAnsi="Arial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D7B52" w14:textId="77777777" w:rsidR="00A30B27" w:rsidRDefault="00A30B27">
      <w:r>
        <w:separator/>
      </w:r>
    </w:p>
  </w:footnote>
  <w:footnote w:type="continuationSeparator" w:id="0">
    <w:p w14:paraId="3ACE4579" w14:textId="77777777" w:rsidR="00A30B27" w:rsidRDefault="00A30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15426" w14:textId="77777777" w:rsidR="004F69AE" w:rsidRPr="003C5CE5" w:rsidRDefault="004F69AE" w:rsidP="00593795">
    <w:pPr>
      <w:pStyle w:val="Head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Appeal Number: EA/01935/2017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141"/>
    <w:multiLevelType w:val="hybridMultilevel"/>
    <w:tmpl w:val="0492A806"/>
    <w:lvl w:ilvl="0" w:tplc="D89A3BAE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" w15:restartNumberingAfterBreak="0">
    <w:nsid w:val="03FB548A"/>
    <w:multiLevelType w:val="hybridMultilevel"/>
    <w:tmpl w:val="008E808E"/>
    <w:lvl w:ilvl="0" w:tplc="08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6916E0"/>
    <w:multiLevelType w:val="hybridMultilevel"/>
    <w:tmpl w:val="0B8E96E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F9647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A3375D8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4F7885"/>
    <w:multiLevelType w:val="hybridMultilevel"/>
    <w:tmpl w:val="7B82BD40"/>
    <w:lvl w:ilvl="0" w:tplc="CD0C04AC">
      <w:start w:val="19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1" w:hanging="360"/>
      </w:pPr>
    </w:lvl>
    <w:lvl w:ilvl="2" w:tplc="0809001B" w:tentative="1">
      <w:start w:val="1"/>
      <w:numFmt w:val="lowerRoman"/>
      <w:lvlText w:val="%3."/>
      <w:lvlJc w:val="right"/>
      <w:pPr>
        <w:ind w:left="3501" w:hanging="180"/>
      </w:pPr>
    </w:lvl>
    <w:lvl w:ilvl="3" w:tplc="0809000F" w:tentative="1">
      <w:start w:val="1"/>
      <w:numFmt w:val="decimal"/>
      <w:lvlText w:val="%4."/>
      <w:lvlJc w:val="left"/>
      <w:pPr>
        <w:ind w:left="4221" w:hanging="360"/>
      </w:pPr>
    </w:lvl>
    <w:lvl w:ilvl="4" w:tplc="08090019" w:tentative="1">
      <w:start w:val="1"/>
      <w:numFmt w:val="lowerLetter"/>
      <w:lvlText w:val="%5."/>
      <w:lvlJc w:val="left"/>
      <w:pPr>
        <w:ind w:left="4941" w:hanging="360"/>
      </w:pPr>
    </w:lvl>
    <w:lvl w:ilvl="5" w:tplc="0809001B" w:tentative="1">
      <w:start w:val="1"/>
      <w:numFmt w:val="lowerRoman"/>
      <w:lvlText w:val="%6."/>
      <w:lvlJc w:val="right"/>
      <w:pPr>
        <w:ind w:left="5661" w:hanging="180"/>
      </w:pPr>
    </w:lvl>
    <w:lvl w:ilvl="6" w:tplc="0809000F" w:tentative="1">
      <w:start w:val="1"/>
      <w:numFmt w:val="decimal"/>
      <w:lvlText w:val="%7."/>
      <w:lvlJc w:val="left"/>
      <w:pPr>
        <w:ind w:left="6381" w:hanging="360"/>
      </w:pPr>
    </w:lvl>
    <w:lvl w:ilvl="7" w:tplc="08090019" w:tentative="1">
      <w:start w:val="1"/>
      <w:numFmt w:val="lowerLetter"/>
      <w:lvlText w:val="%8."/>
      <w:lvlJc w:val="left"/>
      <w:pPr>
        <w:ind w:left="7101" w:hanging="360"/>
      </w:pPr>
    </w:lvl>
    <w:lvl w:ilvl="8" w:tplc="0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17D57717"/>
    <w:multiLevelType w:val="hybridMultilevel"/>
    <w:tmpl w:val="F8D0C50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86FBC8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094D3B"/>
    <w:multiLevelType w:val="hybridMultilevel"/>
    <w:tmpl w:val="BE00B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120C1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EC3F29"/>
    <w:multiLevelType w:val="hybridMultilevel"/>
    <w:tmpl w:val="85FCA14A"/>
    <w:lvl w:ilvl="0" w:tplc="8904C1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7B7DCA"/>
    <w:multiLevelType w:val="hybridMultilevel"/>
    <w:tmpl w:val="33D248CA"/>
    <w:lvl w:ilvl="0" w:tplc="102841C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6E08EA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FF6593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7E54E0"/>
    <w:multiLevelType w:val="hybridMultilevel"/>
    <w:tmpl w:val="9306DB2A"/>
    <w:lvl w:ilvl="0" w:tplc="2B6E84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B95EC7C4">
      <w:start w:val="6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eastAsia="Times New Roman" w:hAnsi="Symbol" w:cs="Arial" w:hint="default"/>
      </w:rPr>
    </w:lvl>
    <w:lvl w:ilvl="2" w:tplc="6736DCEA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8A64A2C8">
      <w:start w:val="59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1250ED"/>
    <w:multiLevelType w:val="hybridMultilevel"/>
    <w:tmpl w:val="D3A86C62"/>
    <w:lvl w:ilvl="0" w:tplc="08090013">
      <w:start w:val="1"/>
      <w:numFmt w:val="upperRoman"/>
      <w:lvlText w:val="%1."/>
      <w:lvlJc w:val="right"/>
      <w:pPr>
        <w:tabs>
          <w:tab w:val="num" w:pos="2421"/>
        </w:tabs>
        <w:ind w:left="2421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13" w15:restartNumberingAfterBreak="0">
    <w:nsid w:val="399301EE"/>
    <w:multiLevelType w:val="hybridMultilevel"/>
    <w:tmpl w:val="85243E72"/>
    <w:lvl w:ilvl="0" w:tplc="08090013">
      <w:start w:val="1"/>
      <w:numFmt w:val="upperRoman"/>
      <w:lvlText w:val="%1."/>
      <w:lvlJc w:val="right"/>
      <w:pPr>
        <w:tabs>
          <w:tab w:val="num" w:pos="2988"/>
        </w:tabs>
        <w:ind w:left="2988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708"/>
        </w:tabs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4428"/>
        </w:tabs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5148"/>
        </w:tabs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868"/>
        </w:tabs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588"/>
        </w:tabs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7308"/>
        </w:tabs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8028"/>
        </w:tabs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748"/>
        </w:tabs>
        <w:ind w:left="8748" w:hanging="180"/>
      </w:pPr>
    </w:lvl>
  </w:abstractNum>
  <w:abstractNum w:abstractNumId="14" w15:restartNumberingAfterBreak="0">
    <w:nsid w:val="3DED65B2"/>
    <w:multiLevelType w:val="hybridMultilevel"/>
    <w:tmpl w:val="1FCE9B1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860664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7249C9"/>
    <w:multiLevelType w:val="hybridMultilevel"/>
    <w:tmpl w:val="488EC03A"/>
    <w:lvl w:ilvl="0" w:tplc="34A4ED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46D1C"/>
    <w:multiLevelType w:val="multilevel"/>
    <w:tmpl w:val="33D6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947C00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BD4525F"/>
    <w:multiLevelType w:val="hybridMultilevel"/>
    <w:tmpl w:val="B268CD1A"/>
    <w:lvl w:ilvl="0" w:tplc="08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DCE1B39"/>
    <w:multiLevelType w:val="hybridMultilevel"/>
    <w:tmpl w:val="324E3E4C"/>
    <w:lvl w:ilvl="0" w:tplc="08090013">
      <w:start w:val="1"/>
      <w:numFmt w:val="upperRoman"/>
      <w:lvlText w:val="%1."/>
      <w:lvlJc w:val="right"/>
      <w:pPr>
        <w:tabs>
          <w:tab w:val="num" w:pos="2421"/>
        </w:tabs>
        <w:ind w:left="2421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20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DB4599"/>
    <w:multiLevelType w:val="hybridMultilevel"/>
    <w:tmpl w:val="388EE792"/>
    <w:lvl w:ilvl="0" w:tplc="007AA862">
      <w:start w:val="1"/>
      <w:numFmt w:val="lowerRoman"/>
      <w:lvlText w:val="(%1)"/>
      <w:lvlJc w:val="left"/>
      <w:pPr>
        <w:ind w:left="22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640" w:hanging="360"/>
      </w:pPr>
    </w:lvl>
    <w:lvl w:ilvl="2" w:tplc="0809001B" w:tentative="1">
      <w:start w:val="1"/>
      <w:numFmt w:val="lowerRoman"/>
      <w:lvlText w:val="%3."/>
      <w:lvlJc w:val="right"/>
      <w:pPr>
        <w:ind w:left="3360" w:hanging="180"/>
      </w:pPr>
    </w:lvl>
    <w:lvl w:ilvl="3" w:tplc="0809000F" w:tentative="1">
      <w:start w:val="1"/>
      <w:numFmt w:val="decimal"/>
      <w:lvlText w:val="%4."/>
      <w:lvlJc w:val="left"/>
      <w:pPr>
        <w:ind w:left="4080" w:hanging="360"/>
      </w:pPr>
    </w:lvl>
    <w:lvl w:ilvl="4" w:tplc="08090019" w:tentative="1">
      <w:start w:val="1"/>
      <w:numFmt w:val="lowerLetter"/>
      <w:lvlText w:val="%5."/>
      <w:lvlJc w:val="left"/>
      <w:pPr>
        <w:ind w:left="4800" w:hanging="360"/>
      </w:pPr>
    </w:lvl>
    <w:lvl w:ilvl="5" w:tplc="0809001B" w:tentative="1">
      <w:start w:val="1"/>
      <w:numFmt w:val="lowerRoman"/>
      <w:lvlText w:val="%6."/>
      <w:lvlJc w:val="right"/>
      <w:pPr>
        <w:ind w:left="5520" w:hanging="180"/>
      </w:pPr>
    </w:lvl>
    <w:lvl w:ilvl="6" w:tplc="0809000F" w:tentative="1">
      <w:start w:val="1"/>
      <w:numFmt w:val="decimal"/>
      <w:lvlText w:val="%7."/>
      <w:lvlJc w:val="left"/>
      <w:pPr>
        <w:ind w:left="6240" w:hanging="360"/>
      </w:pPr>
    </w:lvl>
    <w:lvl w:ilvl="7" w:tplc="08090019" w:tentative="1">
      <w:start w:val="1"/>
      <w:numFmt w:val="lowerLetter"/>
      <w:lvlText w:val="%8."/>
      <w:lvlJc w:val="left"/>
      <w:pPr>
        <w:ind w:left="6960" w:hanging="360"/>
      </w:pPr>
    </w:lvl>
    <w:lvl w:ilvl="8" w:tplc="0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2" w15:restartNumberingAfterBreak="0">
    <w:nsid w:val="55B25D3E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4121BF"/>
    <w:multiLevelType w:val="hybridMultilevel"/>
    <w:tmpl w:val="7B80404E"/>
    <w:lvl w:ilvl="0" w:tplc="83BC566A">
      <w:start w:val="3"/>
      <w:numFmt w:val="bullet"/>
      <w:lvlText w:val="-"/>
      <w:lvlJc w:val="left"/>
      <w:pPr>
        <w:tabs>
          <w:tab w:val="num" w:pos="1570"/>
        </w:tabs>
        <w:ind w:left="1570" w:hanging="360"/>
      </w:pPr>
      <w:rPr>
        <w:rFonts w:ascii="Book Antiqua" w:eastAsia="Times New Roman" w:hAnsi="Book Antiqua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2290"/>
        </w:tabs>
        <w:ind w:left="22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010"/>
        </w:tabs>
        <w:ind w:left="30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730"/>
        </w:tabs>
        <w:ind w:left="37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450"/>
        </w:tabs>
        <w:ind w:left="44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170"/>
        </w:tabs>
        <w:ind w:left="51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90"/>
        </w:tabs>
        <w:ind w:left="58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610"/>
        </w:tabs>
        <w:ind w:left="66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330"/>
        </w:tabs>
        <w:ind w:left="7330" w:hanging="360"/>
      </w:pPr>
      <w:rPr>
        <w:rFonts w:ascii="Wingdings" w:hAnsi="Wingdings" w:hint="default"/>
      </w:rPr>
    </w:lvl>
  </w:abstractNum>
  <w:abstractNum w:abstractNumId="24" w15:restartNumberingAfterBreak="0">
    <w:nsid w:val="64961286"/>
    <w:multiLevelType w:val="hybridMultilevel"/>
    <w:tmpl w:val="9D0EA8EE"/>
    <w:lvl w:ilvl="0" w:tplc="BA0E1F8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640" w:hanging="360"/>
      </w:pPr>
    </w:lvl>
    <w:lvl w:ilvl="2" w:tplc="0809001B" w:tentative="1">
      <w:start w:val="1"/>
      <w:numFmt w:val="lowerRoman"/>
      <w:lvlText w:val="%3."/>
      <w:lvlJc w:val="right"/>
      <w:pPr>
        <w:ind w:left="3360" w:hanging="180"/>
      </w:pPr>
    </w:lvl>
    <w:lvl w:ilvl="3" w:tplc="0809000F" w:tentative="1">
      <w:start w:val="1"/>
      <w:numFmt w:val="decimal"/>
      <w:lvlText w:val="%4."/>
      <w:lvlJc w:val="left"/>
      <w:pPr>
        <w:ind w:left="4080" w:hanging="360"/>
      </w:pPr>
    </w:lvl>
    <w:lvl w:ilvl="4" w:tplc="08090019" w:tentative="1">
      <w:start w:val="1"/>
      <w:numFmt w:val="lowerLetter"/>
      <w:lvlText w:val="%5."/>
      <w:lvlJc w:val="left"/>
      <w:pPr>
        <w:ind w:left="4800" w:hanging="360"/>
      </w:pPr>
    </w:lvl>
    <w:lvl w:ilvl="5" w:tplc="0809001B" w:tentative="1">
      <w:start w:val="1"/>
      <w:numFmt w:val="lowerRoman"/>
      <w:lvlText w:val="%6."/>
      <w:lvlJc w:val="right"/>
      <w:pPr>
        <w:ind w:left="5520" w:hanging="180"/>
      </w:pPr>
    </w:lvl>
    <w:lvl w:ilvl="6" w:tplc="0809000F" w:tentative="1">
      <w:start w:val="1"/>
      <w:numFmt w:val="decimal"/>
      <w:lvlText w:val="%7."/>
      <w:lvlJc w:val="left"/>
      <w:pPr>
        <w:ind w:left="6240" w:hanging="360"/>
      </w:pPr>
    </w:lvl>
    <w:lvl w:ilvl="7" w:tplc="08090019" w:tentative="1">
      <w:start w:val="1"/>
      <w:numFmt w:val="lowerLetter"/>
      <w:lvlText w:val="%8."/>
      <w:lvlJc w:val="left"/>
      <w:pPr>
        <w:ind w:left="6960" w:hanging="360"/>
      </w:pPr>
    </w:lvl>
    <w:lvl w:ilvl="8" w:tplc="0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5" w15:restartNumberingAfterBreak="0">
    <w:nsid w:val="65786B74"/>
    <w:multiLevelType w:val="hybridMultilevel"/>
    <w:tmpl w:val="12F6C9DA"/>
    <w:lvl w:ilvl="0" w:tplc="BD004A4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1C55F3"/>
    <w:multiLevelType w:val="hybridMultilevel"/>
    <w:tmpl w:val="3968C7C4"/>
    <w:lvl w:ilvl="0" w:tplc="08090013">
      <w:start w:val="1"/>
      <w:numFmt w:val="upperRoman"/>
      <w:lvlText w:val="%1."/>
      <w:lvlJc w:val="right"/>
      <w:pPr>
        <w:tabs>
          <w:tab w:val="num" w:pos="3528"/>
        </w:tabs>
        <w:ind w:left="3528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4248"/>
        </w:tabs>
        <w:ind w:left="4248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4968"/>
        </w:tabs>
        <w:ind w:left="4968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5688"/>
        </w:tabs>
        <w:ind w:left="5688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</w:lvl>
  </w:abstractNum>
  <w:abstractNum w:abstractNumId="27" w15:restartNumberingAfterBreak="0">
    <w:nsid w:val="710059E9"/>
    <w:multiLevelType w:val="hybridMultilevel"/>
    <w:tmpl w:val="4920DDC6"/>
    <w:lvl w:ilvl="0" w:tplc="0809000F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81E593A"/>
    <w:multiLevelType w:val="hybridMultilevel"/>
    <w:tmpl w:val="CCDC9F84"/>
    <w:lvl w:ilvl="0" w:tplc="D8CEEF16">
      <w:start w:val="1"/>
      <w:numFmt w:val="decimal"/>
      <w:lvlText w:val="%1."/>
      <w:lvlJc w:val="left"/>
      <w:pPr>
        <w:tabs>
          <w:tab w:val="num" w:pos="1560"/>
        </w:tabs>
        <w:ind w:left="1560" w:hanging="57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29" w15:restartNumberingAfterBreak="0">
    <w:nsid w:val="79410371"/>
    <w:multiLevelType w:val="hybridMultilevel"/>
    <w:tmpl w:val="0EF63250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EE14E33"/>
    <w:multiLevelType w:val="hybridMultilevel"/>
    <w:tmpl w:val="B3903FE4"/>
    <w:lvl w:ilvl="0" w:tplc="F9E69C88">
      <w:start w:val="5"/>
      <w:numFmt w:val="bullet"/>
      <w:lvlText w:val=""/>
      <w:lvlJc w:val="left"/>
      <w:pPr>
        <w:ind w:left="2061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1"/>
  </w:num>
  <w:num w:numId="5">
    <w:abstractNumId w:val="23"/>
  </w:num>
  <w:num w:numId="6">
    <w:abstractNumId w:val="27"/>
  </w:num>
  <w:num w:numId="7">
    <w:abstractNumId w:val="25"/>
  </w:num>
  <w:num w:numId="8">
    <w:abstractNumId w:val="29"/>
  </w:num>
  <w:num w:numId="9">
    <w:abstractNumId w:val="10"/>
  </w:num>
  <w:num w:numId="10">
    <w:abstractNumId w:val="14"/>
  </w:num>
  <w:num w:numId="11">
    <w:abstractNumId w:val="1"/>
  </w:num>
  <w:num w:numId="12">
    <w:abstractNumId w:val="9"/>
  </w:num>
  <w:num w:numId="13">
    <w:abstractNumId w:val="0"/>
  </w:num>
  <w:num w:numId="14">
    <w:abstractNumId w:val="17"/>
  </w:num>
  <w:num w:numId="15">
    <w:abstractNumId w:val="19"/>
  </w:num>
  <w:num w:numId="16">
    <w:abstractNumId w:val="22"/>
  </w:num>
  <w:num w:numId="17">
    <w:abstractNumId w:val="18"/>
  </w:num>
  <w:num w:numId="18">
    <w:abstractNumId w:val="8"/>
  </w:num>
  <w:num w:numId="19">
    <w:abstractNumId w:val="13"/>
  </w:num>
  <w:num w:numId="20">
    <w:abstractNumId w:val="3"/>
  </w:num>
  <w:num w:numId="21">
    <w:abstractNumId w:val="26"/>
  </w:num>
  <w:num w:numId="22">
    <w:abstractNumId w:val="4"/>
  </w:num>
  <w:num w:numId="23">
    <w:abstractNumId w:val="12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28"/>
  </w:num>
  <w:num w:numId="29">
    <w:abstractNumId w:val="24"/>
  </w:num>
  <w:num w:numId="30">
    <w:abstractNumId w:val="21"/>
  </w:num>
  <w:num w:numId="31">
    <w:abstractNumId w:val="30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567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32"/>
    <w:rsid w:val="00000621"/>
    <w:rsid w:val="000036C2"/>
    <w:rsid w:val="00005A3D"/>
    <w:rsid w:val="00011F33"/>
    <w:rsid w:val="00015FC4"/>
    <w:rsid w:val="00023FF2"/>
    <w:rsid w:val="00026617"/>
    <w:rsid w:val="00030FB5"/>
    <w:rsid w:val="00031B1F"/>
    <w:rsid w:val="00033D3D"/>
    <w:rsid w:val="00036813"/>
    <w:rsid w:val="00051C2D"/>
    <w:rsid w:val="00062F02"/>
    <w:rsid w:val="000645AE"/>
    <w:rsid w:val="00066ECA"/>
    <w:rsid w:val="0006788E"/>
    <w:rsid w:val="00067D2A"/>
    <w:rsid w:val="00071A7E"/>
    <w:rsid w:val="00073585"/>
    <w:rsid w:val="000746C0"/>
    <w:rsid w:val="00074D1D"/>
    <w:rsid w:val="00077501"/>
    <w:rsid w:val="00082D15"/>
    <w:rsid w:val="00087276"/>
    <w:rsid w:val="00090CF9"/>
    <w:rsid w:val="000918E5"/>
    <w:rsid w:val="00092580"/>
    <w:rsid w:val="00093D4D"/>
    <w:rsid w:val="000A0A34"/>
    <w:rsid w:val="000A0B2D"/>
    <w:rsid w:val="000B2298"/>
    <w:rsid w:val="000C0541"/>
    <w:rsid w:val="000C44DA"/>
    <w:rsid w:val="000C69CA"/>
    <w:rsid w:val="000D572B"/>
    <w:rsid w:val="000D5D94"/>
    <w:rsid w:val="000E3782"/>
    <w:rsid w:val="000F1A0E"/>
    <w:rsid w:val="000F1BC5"/>
    <w:rsid w:val="000F3C7A"/>
    <w:rsid w:val="000F50A8"/>
    <w:rsid w:val="001015A2"/>
    <w:rsid w:val="00101ACE"/>
    <w:rsid w:val="001022EC"/>
    <w:rsid w:val="001114C8"/>
    <w:rsid w:val="001165A7"/>
    <w:rsid w:val="00126036"/>
    <w:rsid w:val="00131A01"/>
    <w:rsid w:val="00152C19"/>
    <w:rsid w:val="00165516"/>
    <w:rsid w:val="00167D3A"/>
    <w:rsid w:val="00171775"/>
    <w:rsid w:val="00172D1A"/>
    <w:rsid w:val="00173551"/>
    <w:rsid w:val="001766C0"/>
    <w:rsid w:val="00181749"/>
    <w:rsid w:val="00186868"/>
    <w:rsid w:val="00190848"/>
    <w:rsid w:val="0019655E"/>
    <w:rsid w:val="001A12DB"/>
    <w:rsid w:val="001A3082"/>
    <w:rsid w:val="001B186A"/>
    <w:rsid w:val="001B2F75"/>
    <w:rsid w:val="001B48F1"/>
    <w:rsid w:val="001C715E"/>
    <w:rsid w:val="001D14B9"/>
    <w:rsid w:val="001D3CBB"/>
    <w:rsid w:val="001E0E74"/>
    <w:rsid w:val="001F2716"/>
    <w:rsid w:val="001F4A9C"/>
    <w:rsid w:val="001F6F7E"/>
    <w:rsid w:val="00206D4B"/>
    <w:rsid w:val="00207617"/>
    <w:rsid w:val="0021104D"/>
    <w:rsid w:val="00212C9C"/>
    <w:rsid w:val="002136D0"/>
    <w:rsid w:val="0023134B"/>
    <w:rsid w:val="00232618"/>
    <w:rsid w:val="00232E7A"/>
    <w:rsid w:val="00233CF5"/>
    <w:rsid w:val="00242BC1"/>
    <w:rsid w:val="00247922"/>
    <w:rsid w:val="00267DEE"/>
    <w:rsid w:val="0027048E"/>
    <w:rsid w:val="00270844"/>
    <w:rsid w:val="00270E13"/>
    <w:rsid w:val="00271186"/>
    <w:rsid w:val="00273160"/>
    <w:rsid w:val="002774EE"/>
    <w:rsid w:val="002814F4"/>
    <w:rsid w:val="00283659"/>
    <w:rsid w:val="00290C6F"/>
    <w:rsid w:val="00296D48"/>
    <w:rsid w:val="002A224B"/>
    <w:rsid w:val="002A559A"/>
    <w:rsid w:val="002A67C1"/>
    <w:rsid w:val="002B1CB1"/>
    <w:rsid w:val="002B6EE0"/>
    <w:rsid w:val="002C6BD4"/>
    <w:rsid w:val="002D3F52"/>
    <w:rsid w:val="002D68BF"/>
    <w:rsid w:val="002D6D9A"/>
    <w:rsid w:val="002E151A"/>
    <w:rsid w:val="002E575D"/>
    <w:rsid w:val="002F12D1"/>
    <w:rsid w:val="002F2F63"/>
    <w:rsid w:val="002F5398"/>
    <w:rsid w:val="002F6B98"/>
    <w:rsid w:val="0031495A"/>
    <w:rsid w:val="003161B0"/>
    <w:rsid w:val="00316BC1"/>
    <w:rsid w:val="003201BD"/>
    <w:rsid w:val="00322A5E"/>
    <w:rsid w:val="00327EDA"/>
    <w:rsid w:val="00336CBF"/>
    <w:rsid w:val="003417D2"/>
    <w:rsid w:val="00341AAD"/>
    <w:rsid w:val="00342F01"/>
    <w:rsid w:val="00343FE3"/>
    <w:rsid w:val="003509D4"/>
    <w:rsid w:val="003546C8"/>
    <w:rsid w:val="00354DD7"/>
    <w:rsid w:val="003645CD"/>
    <w:rsid w:val="00365573"/>
    <w:rsid w:val="00373539"/>
    <w:rsid w:val="00381CAE"/>
    <w:rsid w:val="00386793"/>
    <w:rsid w:val="00392FF4"/>
    <w:rsid w:val="00394820"/>
    <w:rsid w:val="003A10A9"/>
    <w:rsid w:val="003A3EB7"/>
    <w:rsid w:val="003A7CF2"/>
    <w:rsid w:val="003B464D"/>
    <w:rsid w:val="003B4A0E"/>
    <w:rsid w:val="003B6C82"/>
    <w:rsid w:val="003C0E80"/>
    <w:rsid w:val="003C5CE5"/>
    <w:rsid w:val="003C5D94"/>
    <w:rsid w:val="003E1F16"/>
    <w:rsid w:val="003E260A"/>
    <w:rsid w:val="003E267B"/>
    <w:rsid w:val="003E58DC"/>
    <w:rsid w:val="003E7CD1"/>
    <w:rsid w:val="004024BC"/>
    <w:rsid w:val="0040281D"/>
    <w:rsid w:val="00402B9E"/>
    <w:rsid w:val="00406F0F"/>
    <w:rsid w:val="004106DE"/>
    <w:rsid w:val="00415F05"/>
    <w:rsid w:val="00422F82"/>
    <w:rsid w:val="00423156"/>
    <w:rsid w:val="004249CB"/>
    <w:rsid w:val="0043425E"/>
    <w:rsid w:val="0044127D"/>
    <w:rsid w:val="004448DB"/>
    <w:rsid w:val="00446419"/>
    <w:rsid w:val="00446C9A"/>
    <w:rsid w:val="00452EA8"/>
    <w:rsid w:val="00452F2B"/>
    <w:rsid w:val="004751B6"/>
    <w:rsid w:val="00477193"/>
    <w:rsid w:val="0048742E"/>
    <w:rsid w:val="004A0A57"/>
    <w:rsid w:val="004A0BEA"/>
    <w:rsid w:val="004A1848"/>
    <w:rsid w:val="004A6F4A"/>
    <w:rsid w:val="004B1D2E"/>
    <w:rsid w:val="004C040C"/>
    <w:rsid w:val="004C372D"/>
    <w:rsid w:val="004C773C"/>
    <w:rsid w:val="004D2C44"/>
    <w:rsid w:val="004D32F6"/>
    <w:rsid w:val="004D703C"/>
    <w:rsid w:val="004E416B"/>
    <w:rsid w:val="004E4717"/>
    <w:rsid w:val="004F1C8E"/>
    <w:rsid w:val="004F69AE"/>
    <w:rsid w:val="004F77C5"/>
    <w:rsid w:val="005035E7"/>
    <w:rsid w:val="00507FEC"/>
    <w:rsid w:val="00510F0E"/>
    <w:rsid w:val="005176C7"/>
    <w:rsid w:val="00530192"/>
    <w:rsid w:val="00532944"/>
    <w:rsid w:val="0053688D"/>
    <w:rsid w:val="005479E1"/>
    <w:rsid w:val="00550CF9"/>
    <w:rsid w:val="0055283B"/>
    <w:rsid w:val="00553E0A"/>
    <w:rsid w:val="005570FD"/>
    <w:rsid w:val="005575EA"/>
    <w:rsid w:val="00562348"/>
    <w:rsid w:val="005656DF"/>
    <w:rsid w:val="00566287"/>
    <w:rsid w:val="00570EF1"/>
    <w:rsid w:val="0057323B"/>
    <w:rsid w:val="005750C2"/>
    <w:rsid w:val="0057790C"/>
    <w:rsid w:val="00580846"/>
    <w:rsid w:val="00593795"/>
    <w:rsid w:val="00593821"/>
    <w:rsid w:val="005965E5"/>
    <w:rsid w:val="005966DA"/>
    <w:rsid w:val="005A0343"/>
    <w:rsid w:val="005A549B"/>
    <w:rsid w:val="005A75FF"/>
    <w:rsid w:val="005B0A90"/>
    <w:rsid w:val="005B4281"/>
    <w:rsid w:val="005C3681"/>
    <w:rsid w:val="005D10AB"/>
    <w:rsid w:val="005E244D"/>
    <w:rsid w:val="005E52F3"/>
    <w:rsid w:val="005F058B"/>
    <w:rsid w:val="005F0ED1"/>
    <w:rsid w:val="005F484F"/>
    <w:rsid w:val="0060112E"/>
    <w:rsid w:val="00601D8F"/>
    <w:rsid w:val="0060237D"/>
    <w:rsid w:val="006061F8"/>
    <w:rsid w:val="00611276"/>
    <w:rsid w:val="00621BE0"/>
    <w:rsid w:val="006247D1"/>
    <w:rsid w:val="00624F1A"/>
    <w:rsid w:val="0062579D"/>
    <w:rsid w:val="00630C34"/>
    <w:rsid w:val="00633D25"/>
    <w:rsid w:val="00644381"/>
    <w:rsid w:val="00644F4F"/>
    <w:rsid w:val="00645E92"/>
    <w:rsid w:val="00653E97"/>
    <w:rsid w:val="006664A5"/>
    <w:rsid w:val="00666C46"/>
    <w:rsid w:val="00673E8F"/>
    <w:rsid w:val="00680319"/>
    <w:rsid w:val="00683EEF"/>
    <w:rsid w:val="00684A74"/>
    <w:rsid w:val="00690B8A"/>
    <w:rsid w:val="006A345A"/>
    <w:rsid w:val="006A405B"/>
    <w:rsid w:val="006B0197"/>
    <w:rsid w:val="006B1AB5"/>
    <w:rsid w:val="006B57D6"/>
    <w:rsid w:val="006C51D2"/>
    <w:rsid w:val="006D333C"/>
    <w:rsid w:val="006D338A"/>
    <w:rsid w:val="006E08A1"/>
    <w:rsid w:val="006E46D9"/>
    <w:rsid w:val="006F229A"/>
    <w:rsid w:val="006F2CF1"/>
    <w:rsid w:val="006F43A2"/>
    <w:rsid w:val="006F668F"/>
    <w:rsid w:val="007038ED"/>
    <w:rsid w:val="00703BC3"/>
    <w:rsid w:val="00704B61"/>
    <w:rsid w:val="00707B32"/>
    <w:rsid w:val="00714348"/>
    <w:rsid w:val="00717C98"/>
    <w:rsid w:val="0072121B"/>
    <w:rsid w:val="00721E7A"/>
    <w:rsid w:val="00723292"/>
    <w:rsid w:val="007243EE"/>
    <w:rsid w:val="007334B3"/>
    <w:rsid w:val="00734672"/>
    <w:rsid w:val="0074320E"/>
    <w:rsid w:val="00750931"/>
    <w:rsid w:val="00754E1A"/>
    <w:rsid w:val="007552A9"/>
    <w:rsid w:val="007601F3"/>
    <w:rsid w:val="00761858"/>
    <w:rsid w:val="007628BC"/>
    <w:rsid w:val="007656C6"/>
    <w:rsid w:val="00767D59"/>
    <w:rsid w:val="0077393E"/>
    <w:rsid w:val="00776E97"/>
    <w:rsid w:val="00780F86"/>
    <w:rsid w:val="00782743"/>
    <w:rsid w:val="00784D03"/>
    <w:rsid w:val="007912AD"/>
    <w:rsid w:val="007937AD"/>
    <w:rsid w:val="00794787"/>
    <w:rsid w:val="00796712"/>
    <w:rsid w:val="007A10E7"/>
    <w:rsid w:val="007A7B35"/>
    <w:rsid w:val="007B0824"/>
    <w:rsid w:val="007B5D3C"/>
    <w:rsid w:val="007B7552"/>
    <w:rsid w:val="007C5588"/>
    <w:rsid w:val="007C5E07"/>
    <w:rsid w:val="007D501E"/>
    <w:rsid w:val="007D6EAB"/>
    <w:rsid w:val="007E37AC"/>
    <w:rsid w:val="007F5C71"/>
    <w:rsid w:val="007F665C"/>
    <w:rsid w:val="00800360"/>
    <w:rsid w:val="008024F8"/>
    <w:rsid w:val="00813C29"/>
    <w:rsid w:val="00815082"/>
    <w:rsid w:val="00821B72"/>
    <w:rsid w:val="008226DD"/>
    <w:rsid w:val="00823EF2"/>
    <w:rsid w:val="00825109"/>
    <w:rsid w:val="008303B8"/>
    <w:rsid w:val="00833DCE"/>
    <w:rsid w:val="00844156"/>
    <w:rsid w:val="00846BE3"/>
    <w:rsid w:val="00846D61"/>
    <w:rsid w:val="00847DB8"/>
    <w:rsid w:val="0085282C"/>
    <w:rsid w:val="00852DCE"/>
    <w:rsid w:val="00852F5A"/>
    <w:rsid w:val="00855742"/>
    <w:rsid w:val="008578D0"/>
    <w:rsid w:val="00861DFF"/>
    <w:rsid w:val="00870267"/>
    <w:rsid w:val="00871D34"/>
    <w:rsid w:val="00874C7E"/>
    <w:rsid w:val="008825F7"/>
    <w:rsid w:val="00884932"/>
    <w:rsid w:val="00894951"/>
    <w:rsid w:val="00895F9E"/>
    <w:rsid w:val="008A37E3"/>
    <w:rsid w:val="008A7429"/>
    <w:rsid w:val="008B270C"/>
    <w:rsid w:val="008B5078"/>
    <w:rsid w:val="008B545A"/>
    <w:rsid w:val="008C3D3D"/>
    <w:rsid w:val="008C71A2"/>
    <w:rsid w:val="008D382E"/>
    <w:rsid w:val="008D4131"/>
    <w:rsid w:val="008F1932"/>
    <w:rsid w:val="008F1E92"/>
    <w:rsid w:val="00903C06"/>
    <w:rsid w:val="009162E8"/>
    <w:rsid w:val="009164EF"/>
    <w:rsid w:val="00921062"/>
    <w:rsid w:val="00922F5B"/>
    <w:rsid w:val="00924E18"/>
    <w:rsid w:val="00925AB2"/>
    <w:rsid w:val="00936DE4"/>
    <w:rsid w:val="00957BA4"/>
    <w:rsid w:val="0096106A"/>
    <w:rsid w:val="0097096A"/>
    <w:rsid w:val="009722BC"/>
    <w:rsid w:val="0097235D"/>
    <w:rsid w:val="009727A3"/>
    <w:rsid w:val="0097577A"/>
    <w:rsid w:val="00977E5A"/>
    <w:rsid w:val="009873DD"/>
    <w:rsid w:val="00987774"/>
    <w:rsid w:val="00990CF3"/>
    <w:rsid w:val="00992C74"/>
    <w:rsid w:val="009A0F09"/>
    <w:rsid w:val="009A11E8"/>
    <w:rsid w:val="009A1884"/>
    <w:rsid w:val="009A2B75"/>
    <w:rsid w:val="009A4D85"/>
    <w:rsid w:val="009C2408"/>
    <w:rsid w:val="009C40B8"/>
    <w:rsid w:val="009C53A7"/>
    <w:rsid w:val="009C6CC6"/>
    <w:rsid w:val="009D055C"/>
    <w:rsid w:val="009F5220"/>
    <w:rsid w:val="009F526C"/>
    <w:rsid w:val="009F637C"/>
    <w:rsid w:val="00A03857"/>
    <w:rsid w:val="00A15234"/>
    <w:rsid w:val="00A201AB"/>
    <w:rsid w:val="00A27297"/>
    <w:rsid w:val="00A30B27"/>
    <w:rsid w:val="00A31B7C"/>
    <w:rsid w:val="00A31C8B"/>
    <w:rsid w:val="00A343D8"/>
    <w:rsid w:val="00A35CFC"/>
    <w:rsid w:val="00A44483"/>
    <w:rsid w:val="00A509FA"/>
    <w:rsid w:val="00A5238A"/>
    <w:rsid w:val="00A5334F"/>
    <w:rsid w:val="00A719B9"/>
    <w:rsid w:val="00A845DC"/>
    <w:rsid w:val="00A905CD"/>
    <w:rsid w:val="00A91607"/>
    <w:rsid w:val="00A91E1E"/>
    <w:rsid w:val="00A96094"/>
    <w:rsid w:val="00AA384B"/>
    <w:rsid w:val="00AA718C"/>
    <w:rsid w:val="00AA7A2D"/>
    <w:rsid w:val="00AB0287"/>
    <w:rsid w:val="00AB15C9"/>
    <w:rsid w:val="00AB6C32"/>
    <w:rsid w:val="00AC664C"/>
    <w:rsid w:val="00AC6A9F"/>
    <w:rsid w:val="00AD27F4"/>
    <w:rsid w:val="00AE1907"/>
    <w:rsid w:val="00AE43B7"/>
    <w:rsid w:val="00AF39EB"/>
    <w:rsid w:val="00AF4600"/>
    <w:rsid w:val="00B0097A"/>
    <w:rsid w:val="00B03496"/>
    <w:rsid w:val="00B03A37"/>
    <w:rsid w:val="00B10A9C"/>
    <w:rsid w:val="00B11FCD"/>
    <w:rsid w:val="00B26AA2"/>
    <w:rsid w:val="00B27DFE"/>
    <w:rsid w:val="00B300CE"/>
    <w:rsid w:val="00B30F61"/>
    <w:rsid w:val="00B3524D"/>
    <w:rsid w:val="00B37AC9"/>
    <w:rsid w:val="00B40F69"/>
    <w:rsid w:val="00B434A7"/>
    <w:rsid w:val="00B46616"/>
    <w:rsid w:val="00B55768"/>
    <w:rsid w:val="00B564F9"/>
    <w:rsid w:val="00B574ED"/>
    <w:rsid w:val="00B64A78"/>
    <w:rsid w:val="00B668D8"/>
    <w:rsid w:val="00B7040A"/>
    <w:rsid w:val="00B71BF5"/>
    <w:rsid w:val="00B83391"/>
    <w:rsid w:val="00B866FB"/>
    <w:rsid w:val="00B9038B"/>
    <w:rsid w:val="00B94048"/>
    <w:rsid w:val="00B95326"/>
    <w:rsid w:val="00BA7391"/>
    <w:rsid w:val="00BB0BED"/>
    <w:rsid w:val="00BB39BE"/>
    <w:rsid w:val="00BC3703"/>
    <w:rsid w:val="00BC3E53"/>
    <w:rsid w:val="00BC7D66"/>
    <w:rsid w:val="00BD06DD"/>
    <w:rsid w:val="00BD4196"/>
    <w:rsid w:val="00BF1A11"/>
    <w:rsid w:val="00BF22CA"/>
    <w:rsid w:val="00BF23BB"/>
    <w:rsid w:val="00BF3A5A"/>
    <w:rsid w:val="00BF7921"/>
    <w:rsid w:val="00C0003A"/>
    <w:rsid w:val="00C12F97"/>
    <w:rsid w:val="00C22D9F"/>
    <w:rsid w:val="00C26032"/>
    <w:rsid w:val="00C345E1"/>
    <w:rsid w:val="00C43BFD"/>
    <w:rsid w:val="00C46812"/>
    <w:rsid w:val="00C46F62"/>
    <w:rsid w:val="00C640A8"/>
    <w:rsid w:val="00C64A47"/>
    <w:rsid w:val="00C7704B"/>
    <w:rsid w:val="00C80934"/>
    <w:rsid w:val="00C81167"/>
    <w:rsid w:val="00C865C1"/>
    <w:rsid w:val="00C951B1"/>
    <w:rsid w:val="00C95BBD"/>
    <w:rsid w:val="00CA107F"/>
    <w:rsid w:val="00CA10A1"/>
    <w:rsid w:val="00CA4C05"/>
    <w:rsid w:val="00CA5CE4"/>
    <w:rsid w:val="00CB6E35"/>
    <w:rsid w:val="00CC3A26"/>
    <w:rsid w:val="00CC6AB3"/>
    <w:rsid w:val="00CE1A46"/>
    <w:rsid w:val="00CE465E"/>
    <w:rsid w:val="00CE47DA"/>
    <w:rsid w:val="00CF14D4"/>
    <w:rsid w:val="00D03535"/>
    <w:rsid w:val="00D105F2"/>
    <w:rsid w:val="00D129BD"/>
    <w:rsid w:val="00D20757"/>
    <w:rsid w:val="00D20AA6"/>
    <w:rsid w:val="00D21B5D"/>
    <w:rsid w:val="00D22636"/>
    <w:rsid w:val="00D273A7"/>
    <w:rsid w:val="00D31443"/>
    <w:rsid w:val="00D3621D"/>
    <w:rsid w:val="00D40FD9"/>
    <w:rsid w:val="00D463AA"/>
    <w:rsid w:val="00D46C41"/>
    <w:rsid w:val="00D472E1"/>
    <w:rsid w:val="00D53769"/>
    <w:rsid w:val="00D70B67"/>
    <w:rsid w:val="00D74A50"/>
    <w:rsid w:val="00D8561E"/>
    <w:rsid w:val="00D85C13"/>
    <w:rsid w:val="00D86F3A"/>
    <w:rsid w:val="00D9111A"/>
    <w:rsid w:val="00D91BE3"/>
    <w:rsid w:val="00D9326A"/>
    <w:rsid w:val="00D94AFC"/>
    <w:rsid w:val="00DA4D91"/>
    <w:rsid w:val="00DB70AE"/>
    <w:rsid w:val="00DC6C25"/>
    <w:rsid w:val="00DD19E4"/>
    <w:rsid w:val="00DD5071"/>
    <w:rsid w:val="00DD5ADB"/>
    <w:rsid w:val="00DD5C39"/>
    <w:rsid w:val="00DD7829"/>
    <w:rsid w:val="00DE6C66"/>
    <w:rsid w:val="00DE7DB7"/>
    <w:rsid w:val="00E00A0A"/>
    <w:rsid w:val="00E066DE"/>
    <w:rsid w:val="00E07F57"/>
    <w:rsid w:val="00E13F63"/>
    <w:rsid w:val="00E13FE0"/>
    <w:rsid w:val="00E30683"/>
    <w:rsid w:val="00E30A7D"/>
    <w:rsid w:val="00E453D8"/>
    <w:rsid w:val="00E50BCE"/>
    <w:rsid w:val="00E574BF"/>
    <w:rsid w:val="00E61292"/>
    <w:rsid w:val="00E77C4D"/>
    <w:rsid w:val="00E80AD9"/>
    <w:rsid w:val="00E81D01"/>
    <w:rsid w:val="00E83C14"/>
    <w:rsid w:val="00E8712E"/>
    <w:rsid w:val="00E92383"/>
    <w:rsid w:val="00E92AE7"/>
    <w:rsid w:val="00E954DE"/>
    <w:rsid w:val="00EB2144"/>
    <w:rsid w:val="00EB45D2"/>
    <w:rsid w:val="00EC60DE"/>
    <w:rsid w:val="00ED036F"/>
    <w:rsid w:val="00EE1FA1"/>
    <w:rsid w:val="00EE45D8"/>
    <w:rsid w:val="00EF0787"/>
    <w:rsid w:val="00EF49C7"/>
    <w:rsid w:val="00EF5E91"/>
    <w:rsid w:val="00F052AB"/>
    <w:rsid w:val="00F10DE1"/>
    <w:rsid w:val="00F12BB0"/>
    <w:rsid w:val="00F14830"/>
    <w:rsid w:val="00F22AA0"/>
    <w:rsid w:val="00F22EDA"/>
    <w:rsid w:val="00F313E3"/>
    <w:rsid w:val="00F3484C"/>
    <w:rsid w:val="00F52CE2"/>
    <w:rsid w:val="00F558F2"/>
    <w:rsid w:val="00F563B2"/>
    <w:rsid w:val="00F56FAF"/>
    <w:rsid w:val="00F71D8B"/>
    <w:rsid w:val="00F734A7"/>
    <w:rsid w:val="00F829C0"/>
    <w:rsid w:val="00F86938"/>
    <w:rsid w:val="00F902FD"/>
    <w:rsid w:val="00F916DA"/>
    <w:rsid w:val="00F97703"/>
    <w:rsid w:val="00FA0071"/>
    <w:rsid w:val="00FA77E1"/>
    <w:rsid w:val="00FA7A30"/>
    <w:rsid w:val="00FB3868"/>
    <w:rsid w:val="00FC20F8"/>
    <w:rsid w:val="00FD148B"/>
    <w:rsid w:val="00FD50E5"/>
    <w:rsid w:val="00FE06E1"/>
    <w:rsid w:val="00FF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B796E2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8">
    <w:name w:val="heading 8"/>
    <w:basedOn w:val="Normal"/>
    <w:next w:val="Normal"/>
    <w:qFormat/>
    <w:rsid w:val="00F22AA0"/>
    <w:pPr>
      <w:keepNext/>
      <w:ind w:left="360"/>
      <w:jc w:val="both"/>
      <w:outlineLvl w:val="7"/>
    </w:pPr>
    <w:rPr>
      <w:rFonts w:ascii="Arial" w:hAnsi="Arial" w:cs="Arial"/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styleId="DocumentMap">
    <w:name w:val="Document Map"/>
    <w:basedOn w:val="Normal"/>
    <w:semiHidden/>
    <w:rsid w:val="00DA4D9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077501"/>
    <w:rPr>
      <w:rFonts w:ascii="Arial" w:hAnsi="Arial"/>
      <w:sz w:val="20"/>
      <w:szCs w:val="20"/>
    </w:rPr>
  </w:style>
  <w:style w:type="character" w:styleId="FootnoteReference">
    <w:name w:val="footnote reference"/>
    <w:semiHidden/>
    <w:rsid w:val="00077501"/>
    <w:rPr>
      <w:vertAlign w:val="superscript"/>
    </w:rPr>
  </w:style>
  <w:style w:type="character" w:customStyle="1" w:styleId="FootnoteTextChar">
    <w:name w:val="Footnote Text Char"/>
    <w:link w:val="FootnoteText"/>
    <w:rsid w:val="00077501"/>
    <w:rPr>
      <w:rFonts w:ascii="Arial" w:hAnsi="Arial"/>
      <w:lang w:val="en-GB" w:eastAsia="en-GB" w:bidi="ar-SA"/>
    </w:rPr>
  </w:style>
  <w:style w:type="paragraph" w:styleId="EndnoteText">
    <w:name w:val="endnote text"/>
    <w:basedOn w:val="Normal"/>
    <w:semiHidden/>
    <w:rsid w:val="00077501"/>
    <w:pPr>
      <w:ind w:left="360"/>
    </w:pPr>
    <w:rPr>
      <w:rFonts w:ascii="Arial" w:hAnsi="Arial" w:cs="Arial"/>
      <w:sz w:val="20"/>
      <w:szCs w:val="20"/>
    </w:rPr>
  </w:style>
  <w:style w:type="character" w:styleId="EndnoteReference">
    <w:name w:val="endnote reference"/>
    <w:semiHidden/>
    <w:rsid w:val="00077501"/>
    <w:rPr>
      <w:vertAlign w:val="superscript"/>
    </w:rPr>
  </w:style>
  <w:style w:type="paragraph" w:customStyle="1" w:styleId="western">
    <w:name w:val="western"/>
    <w:basedOn w:val="Normal"/>
    <w:rsid w:val="00D70B67"/>
    <w:pPr>
      <w:spacing w:before="100" w:beforeAutospacing="1" w:after="100" w:afterAutospacing="1"/>
    </w:pPr>
    <w:rPr>
      <w:color w:val="000000"/>
    </w:rPr>
  </w:style>
  <w:style w:type="paragraph" w:customStyle="1" w:styleId="TxBrp1">
    <w:name w:val="TxBr_p1"/>
    <w:basedOn w:val="Normal"/>
    <w:rsid w:val="00F22AA0"/>
    <w:pPr>
      <w:tabs>
        <w:tab w:val="left" w:pos="204"/>
      </w:tabs>
      <w:spacing w:line="243" w:lineRule="atLeast"/>
    </w:pPr>
    <w:rPr>
      <w:szCs w:val="20"/>
      <w:lang w:eastAsia="en-US"/>
    </w:rPr>
  </w:style>
  <w:style w:type="paragraph" w:customStyle="1" w:styleId="TxBrp9">
    <w:name w:val="TxBr_p9"/>
    <w:basedOn w:val="Normal"/>
    <w:rsid w:val="00F22AA0"/>
    <w:pPr>
      <w:tabs>
        <w:tab w:val="left" w:pos="204"/>
      </w:tabs>
      <w:spacing w:line="243" w:lineRule="atLeast"/>
      <w:jc w:val="both"/>
    </w:pPr>
    <w:rPr>
      <w:szCs w:val="20"/>
      <w:lang w:eastAsia="en-US"/>
    </w:rPr>
  </w:style>
  <w:style w:type="paragraph" w:styleId="BodyTextIndent">
    <w:name w:val="Body Text Indent"/>
    <w:basedOn w:val="Normal"/>
    <w:rsid w:val="00F22AA0"/>
    <w:pPr>
      <w:ind w:left="1440"/>
      <w:jc w:val="both"/>
    </w:pPr>
    <w:rPr>
      <w:rFonts w:ascii="Courier New" w:hAnsi="Courier New"/>
      <w:szCs w:val="20"/>
      <w:lang w:eastAsia="en-US"/>
    </w:rPr>
  </w:style>
  <w:style w:type="paragraph" w:styleId="ListParagraph">
    <w:name w:val="List Paragraph"/>
    <w:basedOn w:val="Normal"/>
    <w:qFormat/>
    <w:rsid w:val="00BA7391"/>
    <w:pPr>
      <w:ind w:left="720"/>
    </w:pPr>
  </w:style>
  <w:style w:type="paragraph" w:customStyle="1" w:styleId="Default">
    <w:name w:val="Default"/>
    <w:rsid w:val="00296D48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val="en-GB" w:eastAsia="en-GB"/>
    </w:rPr>
  </w:style>
  <w:style w:type="paragraph" w:customStyle="1" w:styleId="CM13">
    <w:name w:val="CM13"/>
    <w:basedOn w:val="Default"/>
    <w:next w:val="Default"/>
    <w:rsid w:val="00296D48"/>
    <w:rPr>
      <w:rFonts w:cs="Times New Roman"/>
      <w:color w:val="auto"/>
    </w:rPr>
  </w:style>
  <w:style w:type="paragraph" w:styleId="NormalWeb">
    <w:name w:val="Normal (Web)"/>
    <w:basedOn w:val="Normal"/>
    <w:uiPriority w:val="99"/>
    <w:unhideWhenUsed/>
    <w:rsid w:val="002136D0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3C587-7C53-4D14-9808-C2C8D8BB8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2311</Words>
  <Characters>11163</Characters>
  <Application>Microsoft Office Word</Application>
  <DocSecurity>0</DocSecurity>
  <Lines>93</Lines>
  <Paragraphs>26</Paragraphs>
  <ScaleCrop>false</ScaleCrop>
  <Company/>
  <LinksUpToDate>false</LinksUpToDate>
  <CharactersWithSpaces>13448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2018-08-01T13:07:00Z</dcterms:created>
  <dcterms:modified xsi:type="dcterms:W3CDTF">2018-08-01T13:07:00Z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