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2809E3" w:rsidRDefault="00A8294D" w:rsidP="00F97703">
      <w:pPr>
        <w:jc w:val="center"/>
        <w:rPr>
          <w:rFonts w:ascii="Sylfaen" w:hAnsi="Sylfaen" w:cs="Arial"/>
          <w:color w:val="000000"/>
          <w:sz w:val="16"/>
          <w:szCs w:val="16"/>
        </w:rPr>
      </w:pPr>
      <w:r w:rsidRPr="002809E3">
        <w:rPr>
          <w:rFonts w:ascii="Sylfaen" w:hAnsi="Sylfaen"/>
          <w:sz w:val="16"/>
          <w:szCs w:val="16"/>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2809E3" w:rsidRPr="002809E3" w:rsidRDefault="002809E3" w:rsidP="002809E3">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395C65">
        <w:rPr>
          <w:rFonts w:ascii="Sylfaen" w:hAnsi="Sylfaen" w:cs="Arial"/>
          <w:b/>
          <w:caps/>
          <w:color w:val="000000"/>
        </w:rPr>
        <w:t>EA</w:t>
      </w:r>
      <w:r w:rsidR="00BD3C0B">
        <w:rPr>
          <w:rFonts w:ascii="Sylfaen" w:hAnsi="Sylfaen" w:cs="Arial"/>
          <w:b/>
          <w:caps/>
          <w:color w:val="000000"/>
        </w:rPr>
        <w:t>/02044/20</w:t>
      </w:r>
      <w:r w:rsidR="00395C65">
        <w:rPr>
          <w:rFonts w:ascii="Sylfaen" w:hAnsi="Sylfaen" w:cs="Arial"/>
          <w:b/>
          <w:caps/>
          <w:color w:val="000000"/>
        </w:rPr>
        <w:t>17</w:t>
      </w:r>
      <w:bookmarkEnd w:id="0"/>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873"/>
        <w:gridCol w:w="3765"/>
      </w:tblGrid>
      <w:tr w:rsidR="00D22636" w:rsidRPr="00D077F9" w:rsidTr="00D077F9">
        <w:tc>
          <w:tcPr>
            <w:tcW w:w="6048" w:type="dxa"/>
            <w:shd w:val="clear" w:color="auto" w:fill="auto"/>
          </w:tcPr>
          <w:p w:rsidR="00D22636" w:rsidRPr="00395C65" w:rsidRDefault="00BD3A9C" w:rsidP="00395C65">
            <w:pPr>
              <w:rPr>
                <w:rFonts w:ascii="Sylfaen" w:hAnsi="Sylfaen" w:cs="Arial"/>
              </w:rPr>
            </w:pPr>
            <w:r w:rsidRPr="00D077F9">
              <w:rPr>
                <w:rFonts w:ascii="Sylfaen" w:hAnsi="Sylfaen" w:cs="Arial"/>
              </w:rPr>
              <w:t>At</w:t>
            </w:r>
            <w:r w:rsidRPr="00D077F9">
              <w:rPr>
                <w:rFonts w:ascii="Sylfaen" w:hAnsi="Sylfaen" w:cs="Arial"/>
                <w:b/>
              </w:rPr>
              <w:t xml:space="preserve">    </w:t>
            </w:r>
            <w:r w:rsidR="00395C65" w:rsidRPr="00395C65">
              <w:rPr>
                <w:rFonts w:ascii="Sylfaen" w:hAnsi="Sylfaen" w:cs="Arial"/>
                <w:b/>
              </w:rPr>
              <w:t>Royal Courts of Justice</w:t>
            </w:r>
            <w:r w:rsidR="00395C65">
              <w:rPr>
                <w:rFonts w:ascii="Sylfaen" w:hAnsi="Sylfaen" w:cs="Arial"/>
                <w:b/>
              </w:rPr>
              <w:t>, Belfast</w:t>
            </w:r>
          </w:p>
        </w:tc>
        <w:tc>
          <w:tcPr>
            <w:tcW w:w="3780" w:type="dxa"/>
            <w:shd w:val="clear" w:color="auto" w:fill="auto"/>
          </w:tcPr>
          <w:p w:rsidR="00D22636" w:rsidRPr="00D077F9" w:rsidRDefault="00A544A8" w:rsidP="00D077F9">
            <w:pPr>
              <w:ind w:left="1872" w:hanging="1872"/>
              <w:jc w:val="both"/>
              <w:rPr>
                <w:rFonts w:ascii="Sylfaen" w:hAnsi="Sylfaen" w:cs="Arial"/>
                <w:b/>
                <w:color w:val="000000"/>
              </w:rPr>
            </w:pPr>
            <w:r w:rsidRPr="00D077F9">
              <w:rPr>
                <w:rFonts w:ascii="Sylfaen" w:hAnsi="Sylfaen" w:cs="Arial"/>
                <w:color w:val="000000"/>
              </w:rPr>
              <w:t xml:space="preserve">Decision </w:t>
            </w:r>
            <w:r w:rsidR="00A270BB">
              <w:rPr>
                <w:rFonts w:ascii="Sylfaen" w:hAnsi="Sylfaen" w:cs="Arial"/>
                <w:color w:val="000000"/>
              </w:rPr>
              <w:t>&amp; Reasons Promulgated</w:t>
            </w:r>
          </w:p>
        </w:tc>
      </w:tr>
      <w:tr w:rsidR="00D22636" w:rsidRPr="00D077F9" w:rsidTr="00D077F9">
        <w:tc>
          <w:tcPr>
            <w:tcW w:w="6048" w:type="dxa"/>
            <w:shd w:val="clear" w:color="auto" w:fill="auto"/>
          </w:tcPr>
          <w:p w:rsidR="00D22636" w:rsidRPr="00D077F9" w:rsidRDefault="00BD3A9C" w:rsidP="00D077F9">
            <w:pPr>
              <w:jc w:val="both"/>
              <w:rPr>
                <w:rFonts w:ascii="Sylfaen" w:hAnsi="Sylfaen" w:cs="Arial"/>
                <w:b/>
              </w:rPr>
            </w:pPr>
            <w:r w:rsidRPr="00D077F9">
              <w:rPr>
                <w:rFonts w:ascii="Sylfaen" w:hAnsi="Sylfaen" w:cs="Arial"/>
              </w:rPr>
              <w:t>on</w:t>
            </w:r>
            <w:r w:rsidRPr="00D077F9">
              <w:rPr>
                <w:rFonts w:ascii="Sylfaen" w:hAnsi="Sylfaen" w:cs="Arial"/>
                <w:b/>
              </w:rPr>
              <w:t xml:space="preserve">    </w:t>
            </w:r>
            <w:r w:rsidR="00395C65">
              <w:rPr>
                <w:rFonts w:ascii="Sylfaen" w:hAnsi="Sylfaen" w:cs="Arial"/>
                <w:b/>
              </w:rPr>
              <w:t>23.07.2018</w:t>
            </w:r>
          </w:p>
        </w:tc>
        <w:tc>
          <w:tcPr>
            <w:tcW w:w="3780" w:type="dxa"/>
            <w:shd w:val="clear" w:color="auto" w:fill="auto"/>
          </w:tcPr>
          <w:p w:rsidR="00D22636" w:rsidRPr="00D077F9" w:rsidRDefault="00A270BB" w:rsidP="00D077F9">
            <w:pPr>
              <w:ind w:left="1872" w:hanging="1872"/>
              <w:jc w:val="both"/>
              <w:rPr>
                <w:rFonts w:ascii="Sylfaen" w:hAnsi="Sylfaen" w:cs="Arial"/>
                <w:b/>
              </w:rPr>
            </w:pPr>
            <w:r>
              <w:rPr>
                <w:rFonts w:ascii="Sylfaen" w:hAnsi="Sylfaen" w:cs="Arial"/>
                <w:color w:val="000000"/>
              </w:rPr>
              <w:t xml:space="preserve">on 31.07.2018 </w:t>
            </w:r>
            <w:r w:rsidR="00F07170" w:rsidRPr="00D077F9">
              <w:rPr>
                <w:rFonts w:ascii="Sylfaen" w:hAnsi="Sylfaen" w:cs="Arial"/>
                <w:b/>
                <w:color w:val="000000"/>
              </w:rPr>
              <w:t xml:space="preserve">                </w:t>
            </w:r>
          </w:p>
        </w:tc>
      </w:tr>
    </w:tbl>
    <w:p w:rsidR="00F07170" w:rsidRDefault="00F07170" w:rsidP="00BD3A9C">
      <w:pPr>
        <w:rPr>
          <w:rFonts w:ascii="Sylfaen" w:hAnsi="Sylfaen" w:cs="Arial"/>
          <w:b/>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395C65" w:rsidP="00A15234">
      <w:pPr>
        <w:jc w:val="center"/>
        <w:rPr>
          <w:rFonts w:ascii="Sylfaen" w:hAnsi="Sylfaen" w:cs="Arial"/>
          <w:b/>
        </w:rPr>
      </w:pPr>
      <w:r>
        <w:rPr>
          <w:rFonts w:ascii="Sylfaen" w:hAnsi="Sylfaen" w:cs="Arial"/>
          <w:b/>
        </w:rPr>
        <w:t>Edgaras SINKUS</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A65951">
        <w:rPr>
          <w:rFonts w:ascii="Sylfaen" w:hAnsi="Sylfaen" w:cs="Arial"/>
          <w:b/>
        </w:rPr>
      </w:r>
      <w:r w:rsidR="00A65951">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2"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rPr>
        <w:t> </w:t>
      </w:r>
      <w:r w:rsidR="00374981">
        <w:rPr>
          <w:rFonts w:ascii="Sylfaen" w:hAnsi="Sylfaen" w:cs="Arial"/>
          <w:b/>
        </w:rPr>
        <w:t> </w:t>
      </w:r>
      <w:r w:rsidR="00374981">
        <w:rPr>
          <w:rFonts w:ascii="Sylfaen" w:hAnsi="Sylfaen" w:cs="Arial"/>
          <w:b/>
        </w:rPr>
        <w:t> </w:t>
      </w:r>
      <w:r w:rsidR="00374981">
        <w:rPr>
          <w:rFonts w:ascii="Sylfaen" w:hAnsi="Sylfaen" w:cs="Arial"/>
          <w:b/>
        </w:rPr>
        <w:t> </w:t>
      </w:r>
      <w:r w:rsidR="00374981">
        <w:rPr>
          <w:rFonts w:ascii="Sylfaen" w:hAnsi="Sylfaen" w:cs="Arial"/>
          <w:b/>
        </w:rPr>
        <w:t> </w:t>
      </w:r>
      <w:r w:rsidR="009E30EE">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2B0A59"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2B0A59">
        <w:rPr>
          <w:rFonts w:ascii="Sylfaen" w:hAnsi="Sylfaen" w:cs="Arial"/>
          <w:i/>
        </w:rPr>
        <w:t>S McTaggart</w:t>
      </w:r>
      <w:r w:rsidR="002B0A59">
        <w:rPr>
          <w:rFonts w:ascii="Sylfaen" w:hAnsi="Sylfaen" w:cs="Arial"/>
        </w:rPr>
        <w:t xml:space="preserve">  (counsel </w:t>
      </w:r>
      <w:r w:rsidR="002B0A59" w:rsidRPr="002B0A59">
        <w:rPr>
          <w:rFonts w:ascii="Sylfaen" w:hAnsi="Sylfaen" w:cs="Arial"/>
        </w:rPr>
        <w:t>instructed by</w:t>
      </w:r>
      <w:r w:rsidR="002B0A59">
        <w:rPr>
          <w:rFonts w:ascii="Sylfaen" w:hAnsi="Sylfaen" w:cs="Arial"/>
        </w:rPr>
        <w:t xml:space="preserve"> Gerard Maguire, Portadown)</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2B0A59">
        <w:rPr>
          <w:rFonts w:ascii="Sylfaen" w:hAnsi="Sylfaen" w:cs="Arial"/>
        </w:rPr>
        <w:t>Mr A Govan</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Pr="00A544A8" w:rsidRDefault="00A270BB" w:rsidP="00BD3A9C">
      <w:pPr>
        <w:tabs>
          <w:tab w:val="left" w:pos="567"/>
        </w:tabs>
        <w:spacing w:after="120"/>
        <w:ind w:left="567" w:hanging="567"/>
        <w:jc w:val="both"/>
        <w:rPr>
          <w:rFonts w:ascii="Sylfaen" w:hAnsi="Sylfaen" w:cs="Arial"/>
        </w:rPr>
      </w:pPr>
      <w:r w:rsidRPr="00A270BB">
        <w:rPr>
          <w:rFonts w:ascii="Sylfaen" w:hAnsi="Sylfaen" w:cs="Arial"/>
          <w:b/>
        </w:rPr>
        <w:t>1.</w:t>
      </w:r>
      <w:r w:rsidR="00402B9E"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2B0A59">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3" w:name="Dropdown4"/>
      <w:r w:rsidR="002B0A59">
        <w:rPr>
          <w:rFonts w:ascii="Sylfaen" w:hAnsi="Sylfaen" w:cs="Arial"/>
        </w:rPr>
        <w:instrText xml:space="preserve"> FORMDROPDOWN </w:instrText>
      </w:r>
      <w:r w:rsidR="00A65951">
        <w:rPr>
          <w:rFonts w:ascii="Sylfaen" w:hAnsi="Sylfaen" w:cs="Arial"/>
        </w:rPr>
      </w:r>
      <w:r w:rsidR="00A65951">
        <w:rPr>
          <w:rFonts w:ascii="Sylfaen" w:hAnsi="Sylfaen" w:cs="Arial"/>
        </w:rPr>
        <w:fldChar w:fldCharType="separate"/>
      </w:r>
      <w:r w:rsidR="002B0A59">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2B0A59">
        <w:rPr>
          <w:rFonts w:ascii="Sylfaen" w:hAnsi="Sylfaen" w:cs="Arial"/>
        </w:rPr>
        <w:t>Francis Farrelly</w:t>
      </w:r>
      <w:r w:rsidR="00194E6E">
        <w:rPr>
          <w:rFonts w:ascii="Sylfaen" w:hAnsi="Sylfaen" w:cs="Arial"/>
        </w:rPr>
        <w:t>)</w:t>
      </w:r>
      <w:r w:rsidR="002B0A59">
        <w:rPr>
          <w:rFonts w:ascii="Sylfaen" w:hAnsi="Sylfaen" w:cs="Arial"/>
        </w:rPr>
        <w:t>, sitting in</w:t>
      </w:r>
      <w:r w:rsidR="00FE4D99">
        <w:rPr>
          <w:rFonts w:ascii="Sylfaen" w:hAnsi="Sylfaen" w:cs="Arial"/>
        </w:rPr>
        <w:t xml:space="preserve"> </w:t>
      </w:r>
      <w:r w:rsidR="002B0A59">
        <w:rPr>
          <w:rFonts w:ascii="Sylfaen" w:hAnsi="Sylfaen" w:cs="Arial"/>
        </w:rPr>
        <w:t>Belfast</w:t>
      </w:r>
      <w:r w:rsidR="00FE4D99">
        <w:rPr>
          <w:rFonts w:ascii="Sylfaen" w:hAnsi="Sylfaen" w:cs="Arial"/>
        </w:rPr>
        <w:t xml:space="preserve"> on </w:t>
      </w:r>
      <w:r w:rsidR="002B0A59">
        <w:rPr>
          <w:rFonts w:ascii="Sylfaen" w:hAnsi="Sylfaen" w:cs="Arial"/>
        </w:rPr>
        <w:t>11 May 2017</w:t>
      </w:r>
      <w:r w:rsidR="00FE4D99">
        <w:rPr>
          <w:rFonts w:ascii="Sylfaen" w:hAnsi="Sylfaen" w:cs="Arial"/>
        </w:rPr>
        <w:t xml:space="preserve">, to </w:t>
      </w:r>
      <w:r w:rsidR="002B0A59">
        <w:rPr>
          <w:rFonts w:ascii="Sylfaen" w:hAnsi="Sylfaen" w:cs="Arial"/>
        </w:rPr>
        <w:fldChar w:fldCharType="begin">
          <w:ffData>
            <w:name w:val="Dropdown2"/>
            <w:enabled/>
            <w:calcOnExit w:val="0"/>
            <w:ddList>
              <w:listEntry w:val="allow"/>
              <w:listEntry w:val="dismiss"/>
            </w:ddList>
          </w:ffData>
        </w:fldChar>
      </w:r>
      <w:bookmarkStart w:id="4" w:name="Dropdown2"/>
      <w:r w:rsidR="002B0A59">
        <w:rPr>
          <w:rFonts w:ascii="Sylfaen" w:hAnsi="Sylfaen" w:cs="Arial"/>
        </w:rPr>
        <w:instrText xml:space="preserve"> FORMDROPDOWN </w:instrText>
      </w:r>
      <w:r w:rsidR="00A65951">
        <w:rPr>
          <w:rFonts w:ascii="Sylfaen" w:hAnsi="Sylfaen" w:cs="Arial"/>
        </w:rPr>
      </w:r>
      <w:r w:rsidR="00A65951">
        <w:rPr>
          <w:rFonts w:ascii="Sylfaen" w:hAnsi="Sylfaen" w:cs="Arial"/>
        </w:rPr>
        <w:fldChar w:fldCharType="separate"/>
      </w:r>
      <w:r w:rsidR="002B0A59">
        <w:rPr>
          <w:rFonts w:ascii="Sylfaen" w:hAnsi="Sylfaen" w:cs="Arial"/>
        </w:rPr>
        <w:fldChar w:fldCharType="end"/>
      </w:r>
      <w:bookmarkEnd w:id="4"/>
      <w:r w:rsidR="00FE4D99">
        <w:rPr>
          <w:rFonts w:ascii="Sylfaen" w:hAnsi="Sylfaen" w:cs="Arial"/>
        </w:rPr>
        <w:t xml:space="preserve"> </w:t>
      </w:r>
      <w:r w:rsidR="002B0A59">
        <w:rPr>
          <w:rFonts w:ascii="Sylfaen" w:hAnsi="Sylfaen" w:cs="Arial"/>
        </w:rPr>
        <w:t xml:space="preserve">an </w:t>
      </w:r>
      <w:r w:rsidR="00FE4D99">
        <w:rPr>
          <w:rFonts w:ascii="Sylfaen" w:hAnsi="Sylfaen" w:cs="Arial"/>
        </w:rPr>
        <w:t xml:space="preserve"> appeal by a citizen of </w:t>
      </w:r>
      <w:r w:rsidR="00D15779">
        <w:rPr>
          <w:rFonts w:ascii="Sylfaen" w:hAnsi="Sylfaen" w:cs="Arial"/>
        </w:rPr>
        <w:t>Lithuania</w:t>
      </w:r>
      <w:r w:rsidR="00102EBC">
        <w:rPr>
          <w:rFonts w:ascii="Sylfaen" w:hAnsi="Sylfaen" w:cs="Arial"/>
        </w:rPr>
        <w:t xml:space="preserve">, born </w:t>
      </w:r>
      <w:r w:rsidR="00D15779">
        <w:rPr>
          <w:rFonts w:ascii="Sylfaen" w:hAnsi="Sylfaen" w:cs="Arial"/>
        </w:rPr>
        <w:t>1987</w:t>
      </w:r>
      <w:r w:rsidR="00FE4D99">
        <w:rPr>
          <w:rFonts w:ascii="Sylfaen" w:hAnsi="Sylfaen" w:cs="Arial"/>
        </w:rPr>
        <w:t>.</w:t>
      </w:r>
      <w:r w:rsidR="00D15779">
        <w:rPr>
          <w:rFonts w:ascii="Sylfaen" w:hAnsi="Sylfaen" w:cs="Arial"/>
        </w:rPr>
        <w:t xml:space="preserve"> The appellant had worked here from 1 September 2007, when he entered the National Insurance scheme, and </w:t>
      </w:r>
      <w:r w:rsidR="00F76228">
        <w:rPr>
          <w:rFonts w:ascii="Sylfaen" w:hAnsi="Sylfaen" w:cs="Arial"/>
        </w:rPr>
        <w:t xml:space="preserve">had had various short-term jobs between then and 2012. I am not surprised that the judge found the print-out before him hard to follow, but he found as a fact (see his paragraph 12) that the appellant had not worked here for as long as a year at any time during that stay. </w:t>
      </w:r>
    </w:p>
    <w:p w:rsidR="00F76228" w:rsidRDefault="00F76228" w:rsidP="00F76228">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returned to Lithuania for some time, then came back here, at that stage with his girl-friend and their son, in May 2016. </w:t>
      </w:r>
      <w:r w:rsidR="00793BFA">
        <w:rPr>
          <w:rFonts w:ascii="Sylfaen" w:hAnsi="Sylfaen" w:cs="Arial"/>
        </w:rPr>
        <w:t>From the 27</w:t>
      </w:r>
      <w:r w:rsidR="00793BFA" w:rsidRPr="00793BFA">
        <w:rPr>
          <w:rFonts w:ascii="Sylfaen" w:hAnsi="Sylfaen" w:cs="Arial"/>
          <w:vertAlign w:val="superscript"/>
        </w:rPr>
        <w:t>th</w:t>
      </w:r>
      <w:r w:rsidR="00793BFA">
        <w:rPr>
          <w:rFonts w:ascii="Sylfaen" w:hAnsi="Sylfaen" w:cs="Arial"/>
        </w:rPr>
        <w:t xml:space="preserve"> he was working through an employment agency called Diamond Recruitment, and there were wage-slips before the judge going up to 14</w:t>
      </w:r>
      <w:r>
        <w:rPr>
          <w:rFonts w:ascii="Sylfaen" w:hAnsi="Sylfaen" w:cs="Arial"/>
        </w:rPr>
        <w:t xml:space="preserve"> August that year</w:t>
      </w:r>
      <w:r w:rsidR="00793BFA">
        <w:rPr>
          <w:rFonts w:ascii="Sylfaen" w:hAnsi="Sylfaen" w:cs="Arial"/>
        </w:rPr>
        <w:t>. The appellant told the judge</w:t>
      </w:r>
      <w:r>
        <w:rPr>
          <w:rFonts w:ascii="Sylfaen" w:hAnsi="Sylfaen" w:cs="Arial"/>
        </w:rPr>
        <w:t xml:space="preserve"> he got a new job</w:t>
      </w:r>
      <w:r w:rsidR="00793BFA">
        <w:rPr>
          <w:rFonts w:ascii="Sylfaen" w:hAnsi="Sylfaen" w:cs="Arial"/>
        </w:rPr>
        <w:t xml:space="preserve"> shortly before</w:t>
      </w:r>
      <w:r>
        <w:rPr>
          <w:rFonts w:ascii="Sylfaen" w:hAnsi="Sylfaen" w:cs="Arial"/>
        </w:rPr>
        <w:t xml:space="preserve"> 18 November</w:t>
      </w:r>
      <w:r w:rsidR="00793BFA">
        <w:rPr>
          <w:rFonts w:ascii="Sylfaen" w:hAnsi="Sylfaen" w:cs="Arial"/>
        </w:rPr>
        <w:t>, when</w:t>
      </w:r>
      <w:r>
        <w:rPr>
          <w:rFonts w:ascii="Sylfaen" w:hAnsi="Sylfaen" w:cs="Arial"/>
        </w:rPr>
        <w:t xml:space="preserve"> he was detained, and on 8 December </w:t>
      </w:r>
      <w:r w:rsidR="00793BFA">
        <w:rPr>
          <w:rFonts w:ascii="Sylfaen" w:hAnsi="Sylfaen" w:cs="Arial"/>
        </w:rPr>
        <w:t xml:space="preserve">he was </w:t>
      </w:r>
      <w:r>
        <w:rPr>
          <w:rFonts w:ascii="Sylfaen" w:hAnsi="Sylfaen" w:cs="Arial"/>
        </w:rPr>
        <w:t xml:space="preserve">served with </w:t>
      </w:r>
      <w:r>
        <w:rPr>
          <w:rFonts w:ascii="Sylfaen" w:hAnsi="Sylfaen" w:cs="Arial"/>
        </w:rPr>
        <w:lastRenderedPageBreak/>
        <w:t xml:space="preserve">removal directions, on the basis that </w:t>
      </w:r>
      <w:r w:rsidR="00793BFA">
        <w:rPr>
          <w:rFonts w:ascii="Sylfaen" w:hAnsi="Sylfaen" w:cs="Arial"/>
        </w:rPr>
        <w:t xml:space="preserve">he had not exercised </w:t>
      </w:r>
      <w:r w:rsidR="00793BFA" w:rsidRPr="00793BFA">
        <w:rPr>
          <w:rFonts w:ascii="Sylfaen" w:hAnsi="Sylfaen" w:cs="Arial"/>
        </w:rPr>
        <w:t>Treaty rights</w:t>
      </w:r>
      <w:r w:rsidR="00793BFA">
        <w:rPr>
          <w:rFonts w:ascii="Sylfaen" w:hAnsi="Sylfaen" w:cs="Arial"/>
        </w:rPr>
        <w:t xml:space="preserve">, as his employment claims had not been validated. </w:t>
      </w:r>
    </w:p>
    <w:p w:rsidR="00592DA9" w:rsidRPr="00592DA9" w:rsidRDefault="00793BFA" w:rsidP="00592DA9">
      <w:pPr>
        <w:numPr>
          <w:ilvl w:val="0"/>
          <w:numId w:val="1"/>
        </w:numPr>
        <w:tabs>
          <w:tab w:val="clear" w:pos="757"/>
          <w:tab w:val="num" w:pos="567"/>
        </w:tabs>
        <w:spacing w:after="120"/>
        <w:ind w:left="567" w:hanging="567"/>
        <w:jc w:val="both"/>
        <w:rPr>
          <w:rFonts w:ascii="Sylfaen" w:hAnsi="Sylfaen" w:cs="Arial"/>
          <w:b/>
        </w:rPr>
      </w:pPr>
      <w:r w:rsidRPr="00AF6C29">
        <w:rPr>
          <w:rFonts w:ascii="Sylfaen" w:hAnsi="Sylfaen" w:cs="Arial"/>
        </w:rPr>
        <w:t xml:space="preserve">Neither side’s grounds of appeal set out the relevant provisions; nor do they appear in the judge’s decision. The legislation in force at the time in question was the </w:t>
      </w:r>
      <w:r w:rsidR="00AF6C29" w:rsidRPr="00AF6C29">
        <w:rPr>
          <w:rFonts w:ascii="Sylfaen" w:hAnsi="Sylfaen" w:cs="Arial"/>
          <w:color w:val="000000"/>
        </w:rPr>
        <w:t>Immigration (European Economic Area) Regulations 2006</w:t>
      </w:r>
      <w:r w:rsidR="00AF6C29">
        <w:rPr>
          <w:rFonts w:ascii="Sylfaen" w:hAnsi="Sylfaen" w:cs="Arial"/>
          <w:color w:val="000000"/>
        </w:rPr>
        <w:t xml:space="preserve">, and </w:t>
      </w:r>
      <w:r w:rsidR="00E246E2">
        <w:rPr>
          <w:rFonts w:ascii="Sylfaen" w:hAnsi="Sylfaen" w:cs="Arial"/>
          <w:color w:val="000000"/>
        </w:rPr>
        <w:t xml:space="preserve">the appellant was no longer an employed person at the date of the decision under appeal. It </w:t>
      </w:r>
      <w:r w:rsidR="00AF6C29">
        <w:rPr>
          <w:rFonts w:ascii="Sylfaen" w:hAnsi="Sylfaen" w:cs="Arial"/>
          <w:color w:val="000000"/>
        </w:rPr>
        <w:t xml:space="preserve">is common ground that the only way for the appellant to show that he was a ‘qualified person’, and so resist removal, was to provide evidence that he </w:t>
      </w:r>
      <w:r w:rsidR="00E246E2">
        <w:rPr>
          <w:rFonts w:ascii="Sylfaen" w:hAnsi="Sylfaen" w:cs="Arial"/>
          <w:color w:val="000000"/>
        </w:rPr>
        <w:t>was a jobseeker</w:t>
      </w:r>
      <w:r w:rsidR="00592DA9">
        <w:rPr>
          <w:rFonts w:ascii="Sylfaen" w:hAnsi="Sylfaen" w:cs="Arial"/>
          <w:color w:val="000000"/>
        </w:rPr>
        <w:t xml:space="preserve"> (or else a person with retained rights as a worker under reg. 6 (2)). </w:t>
      </w:r>
    </w:p>
    <w:p w:rsidR="00592DA9" w:rsidRPr="00592DA9" w:rsidRDefault="00592DA9" w:rsidP="00592DA9">
      <w:pPr>
        <w:numPr>
          <w:ilvl w:val="0"/>
          <w:numId w:val="1"/>
        </w:numPr>
        <w:tabs>
          <w:tab w:val="clear" w:pos="757"/>
          <w:tab w:val="num" w:pos="567"/>
        </w:tabs>
        <w:spacing w:after="120"/>
        <w:ind w:left="567" w:hanging="567"/>
        <w:jc w:val="both"/>
        <w:rPr>
          <w:rFonts w:ascii="Sylfaen" w:hAnsi="Sylfaen" w:cs="Arial"/>
          <w:b/>
        </w:rPr>
      </w:pPr>
      <w:r>
        <w:rPr>
          <w:rFonts w:ascii="Sylfaen" w:hAnsi="Sylfaen" w:cs="Arial"/>
          <w:color w:val="000000"/>
        </w:rPr>
        <w:t xml:space="preserve">Whichever basis the appellant chose, he had to satisfy (reg. 6 (6)) Condition B, which required him to provide evidence, not only that he was seeking employment; but that he had ‘a genuine chance of being engaged’. </w:t>
      </w:r>
      <w:r w:rsidR="00E246E2">
        <w:rPr>
          <w:rFonts w:ascii="Sylfaen" w:hAnsi="Sylfaen" w:cs="Arial"/>
          <w:color w:val="000000"/>
        </w:rPr>
        <w:t xml:space="preserve"> </w:t>
      </w:r>
      <w:r>
        <w:rPr>
          <w:rFonts w:ascii="Sylfaen" w:hAnsi="Sylfaen" w:cs="Arial"/>
          <w:color w:val="000000"/>
        </w:rPr>
        <w:t>The judge had an e-mail from Diamond, sent on 4 May 2017, which confirmed that the appellant had completed induction with a food company through them, and would start work as soon as the company had a job for him; so there was no issue about him seeking employment.</w:t>
      </w:r>
    </w:p>
    <w:p w:rsidR="00592DA9" w:rsidRPr="005D207D" w:rsidRDefault="00592DA9" w:rsidP="00592DA9">
      <w:pPr>
        <w:numPr>
          <w:ilvl w:val="0"/>
          <w:numId w:val="1"/>
        </w:numPr>
        <w:tabs>
          <w:tab w:val="clear" w:pos="757"/>
          <w:tab w:val="num" w:pos="567"/>
        </w:tabs>
        <w:spacing w:after="120"/>
        <w:ind w:left="567" w:hanging="567"/>
        <w:jc w:val="both"/>
        <w:rPr>
          <w:rFonts w:ascii="Sylfaen" w:hAnsi="Sylfaen" w:cs="Arial"/>
          <w:b/>
        </w:rPr>
      </w:pPr>
      <w:r>
        <w:rPr>
          <w:rFonts w:ascii="Sylfaen" w:hAnsi="Sylfaen" w:cs="Arial"/>
          <w:color w:val="000000"/>
        </w:rPr>
        <w:t xml:space="preserve">The point on which the judge’s decision is challenged by the respondent is the conclusion he reached on whether the appellant had a genuine chance of being engaged. This was of course a </w:t>
      </w:r>
      <w:r w:rsidR="005D207D">
        <w:rPr>
          <w:rFonts w:ascii="Sylfaen" w:hAnsi="Sylfaen" w:cs="Arial"/>
          <w:color w:val="000000"/>
        </w:rPr>
        <w:t>question of fact for him; but it is suggested that his finding in favour of the appellant can only be explained by his rather general statement of the law at 12:</w:t>
      </w:r>
    </w:p>
    <w:p w:rsidR="005D207D" w:rsidRPr="005D207D" w:rsidRDefault="002809E3" w:rsidP="005D207D">
      <w:pPr>
        <w:spacing w:after="120"/>
        <w:ind w:left="851"/>
        <w:jc w:val="both"/>
        <w:rPr>
          <w:rFonts w:ascii="Sylfaen" w:hAnsi="Sylfaen" w:cs="Arial"/>
          <w:sz w:val="22"/>
          <w:szCs w:val="22"/>
        </w:rPr>
      </w:pPr>
      <w:r>
        <w:rPr>
          <w:rFonts w:ascii="Sylfaen" w:hAnsi="Sylfaen" w:cs="Arial"/>
          <w:sz w:val="22"/>
          <w:szCs w:val="22"/>
        </w:rPr>
        <w:t>“</w:t>
      </w:r>
      <w:r w:rsidR="005D207D">
        <w:rPr>
          <w:rFonts w:ascii="Sylfaen" w:hAnsi="Sylfaen" w:cs="Arial"/>
          <w:sz w:val="22"/>
          <w:szCs w:val="22"/>
        </w:rPr>
        <w:t xml:space="preserve">Given the inbuilt flexibility in the regulations in relation to someone with a realistic prospect of work [it] is my conclusion that he could be considered as still exercising </w:t>
      </w:r>
      <w:r w:rsidR="005D207D" w:rsidRPr="005D207D">
        <w:rPr>
          <w:rFonts w:ascii="Sylfaen" w:hAnsi="Sylfaen" w:cs="Arial"/>
          <w:sz w:val="22"/>
          <w:szCs w:val="22"/>
        </w:rPr>
        <w:t>Treaty rights</w:t>
      </w:r>
      <w:r w:rsidR="005D207D">
        <w:rPr>
          <w:rFonts w:ascii="Sylfaen" w:hAnsi="Sylfaen" w:cs="Arial"/>
          <w:sz w:val="22"/>
          <w:szCs w:val="22"/>
        </w:rPr>
        <w:t>.</w:t>
      </w:r>
      <w:r>
        <w:rPr>
          <w:rFonts w:ascii="Sylfaen" w:hAnsi="Sylfaen" w:cs="Arial"/>
          <w:sz w:val="22"/>
          <w:szCs w:val="22"/>
        </w:rPr>
        <w:t>”</w:t>
      </w:r>
    </w:p>
    <w:p w:rsidR="005D207D" w:rsidRPr="00942807" w:rsidRDefault="005D207D" w:rsidP="00592DA9">
      <w:pPr>
        <w:numPr>
          <w:ilvl w:val="0"/>
          <w:numId w:val="1"/>
        </w:numPr>
        <w:tabs>
          <w:tab w:val="clear" w:pos="757"/>
          <w:tab w:val="num" w:pos="567"/>
        </w:tabs>
        <w:spacing w:after="120"/>
        <w:ind w:left="567" w:hanging="567"/>
        <w:jc w:val="both"/>
        <w:rPr>
          <w:rFonts w:ascii="Sylfaen" w:hAnsi="Sylfaen" w:cs="Arial"/>
          <w:b/>
        </w:rPr>
      </w:pPr>
      <w:r>
        <w:rPr>
          <w:rFonts w:ascii="Sylfaen" w:hAnsi="Sylfaen" w:cs="Arial"/>
        </w:rPr>
        <w:t xml:space="preserve">The judge did not explain what he meant by ‘inbuilt flexibility’; and Mr McTaggart’s best suggestion was that he was referring to the greater freedom allowed under the EEA Regulations than under the rules on the points-based system. However it is clear that on Condition B, the judge had a </w:t>
      </w:r>
      <w:r w:rsidRPr="005D207D">
        <w:rPr>
          <w:rFonts w:ascii="Sylfaen" w:hAnsi="Sylfaen" w:cs="Arial"/>
        </w:rPr>
        <w:t>straightforward</w:t>
      </w:r>
      <w:r>
        <w:rPr>
          <w:rFonts w:ascii="Sylfaen" w:hAnsi="Sylfaen" w:cs="Arial"/>
        </w:rPr>
        <w:t xml:space="preserve"> question of fact before him, which he had to decide on an objective basis, without </w:t>
      </w:r>
      <w:r w:rsidR="00201D89">
        <w:rPr>
          <w:rFonts w:ascii="Sylfaen" w:hAnsi="Sylfaen" w:cs="Arial"/>
        </w:rPr>
        <w:t>giving latitude on the basis of an ‘inbuilt flexibility’ for which the Regulations do not make any special provision.</w:t>
      </w:r>
    </w:p>
    <w:p w:rsidR="00942807" w:rsidRPr="00942807" w:rsidRDefault="00942807" w:rsidP="00942807">
      <w:pPr>
        <w:numPr>
          <w:ilvl w:val="0"/>
          <w:numId w:val="1"/>
        </w:numPr>
        <w:tabs>
          <w:tab w:val="clear" w:pos="757"/>
          <w:tab w:val="num" w:pos="567"/>
        </w:tabs>
        <w:spacing w:after="120"/>
        <w:ind w:left="567" w:hanging="567"/>
        <w:jc w:val="both"/>
        <w:rPr>
          <w:rFonts w:ascii="Sylfaen" w:hAnsi="Sylfaen" w:cs="Arial"/>
          <w:b/>
        </w:rPr>
      </w:pPr>
      <w:r>
        <w:rPr>
          <w:rFonts w:ascii="Sylfaen" w:hAnsi="Sylfaen" w:cs="Arial"/>
        </w:rPr>
        <w:t xml:space="preserve">Looking at the judge’s findings of fact at 11, he noted the appellant’s ‘extended periods of employment’ in the past, and his work for Diamond from May to August 2016. He was about to start another job when arrested that November, but in the end was not bailed till March 2017. Since then he had not been in work, but had done the induction course referred to at </w:t>
      </w:r>
      <w:r>
        <w:rPr>
          <w:rFonts w:ascii="Sylfaen" w:hAnsi="Sylfaen" w:cs="Arial"/>
          <w:b/>
        </w:rPr>
        <w:t>4</w:t>
      </w:r>
      <w:r>
        <w:rPr>
          <w:rFonts w:ascii="Sylfaen" w:hAnsi="Sylfaen" w:cs="Arial"/>
        </w:rPr>
        <w:t>. Then the judge notes that Diamond’s e-mail of 4 May was sent to the appellant’s solicitors (who as it happens were also dealing with the criminal case against him): he goes on</w:t>
      </w:r>
    </w:p>
    <w:p w:rsidR="00942807" w:rsidRPr="00942807" w:rsidRDefault="002809E3" w:rsidP="00942807">
      <w:pPr>
        <w:spacing w:after="120"/>
        <w:ind w:left="851"/>
        <w:jc w:val="both"/>
        <w:rPr>
          <w:rFonts w:ascii="Sylfaen" w:hAnsi="Sylfaen" w:cs="Arial"/>
          <w:sz w:val="22"/>
          <w:szCs w:val="22"/>
        </w:rPr>
      </w:pPr>
      <w:r>
        <w:rPr>
          <w:rFonts w:ascii="Sylfaen" w:hAnsi="Sylfaen" w:cs="Arial"/>
          <w:sz w:val="22"/>
          <w:szCs w:val="22"/>
        </w:rPr>
        <w:t>“</w:t>
      </w:r>
      <w:r w:rsidR="00942807">
        <w:rPr>
          <w:rFonts w:ascii="Sylfaen" w:hAnsi="Sylfaen" w:cs="Arial"/>
          <w:sz w:val="22"/>
          <w:szCs w:val="22"/>
        </w:rPr>
        <w:t>Consequently the agency should have some appreciation that there are complications. I accept the appellant has sought employment in other venues but has been unsuccessful. It would seem hardly surprising that an employer would be reluctant to engage someone who is on bail pending a Crown Court trial.</w:t>
      </w:r>
      <w:r>
        <w:rPr>
          <w:rFonts w:ascii="Sylfaen" w:hAnsi="Sylfaen" w:cs="Arial"/>
          <w:sz w:val="22"/>
          <w:szCs w:val="22"/>
        </w:rPr>
        <w:t>”</w:t>
      </w:r>
    </w:p>
    <w:p w:rsidR="00671FF4" w:rsidRPr="00671FF4" w:rsidRDefault="00671FF4" w:rsidP="00671FF4">
      <w:pPr>
        <w:spacing w:after="120"/>
        <w:jc w:val="both"/>
        <w:rPr>
          <w:rFonts w:ascii="Sylfaen" w:hAnsi="Sylfaen" w:cs="Arial"/>
          <w:b/>
        </w:rPr>
      </w:pPr>
    </w:p>
    <w:p w:rsidR="00671FF4" w:rsidRPr="00671FF4" w:rsidRDefault="00671FF4" w:rsidP="00671FF4">
      <w:pPr>
        <w:spacing w:after="120"/>
        <w:jc w:val="both"/>
        <w:rPr>
          <w:rFonts w:ascii="Sylfaen" w:hAnsi="Sylfaen" w:cs="Arial"/>
          <w:b/>
        </w:rPr>
      </w:pPr>
    </w:p>
    <w:p w:rsidR="00942807" w:rsidRPr="00671FF4" w:rsidRDefault="00671FF4" w:rsidP="00942807">
      <w:pPr>
        <w:numPr>
          <w:ilvl w:val="0"/>
          <w:numId w:val="1"/>
        </w:numPr>
        <w:tabs>
          <w:tab w:val="clear" w:pos="757"/>
          <w:tab w:val="num" w:pos="567"/>
        </w:tabs>
        <w:spacing w:after="120"/>
        <w:ind w:left="567" w:hanging="567"/>
        <w:jc w:val="both"/>
        <w:rPr>
          <w:rFonts w:ascii="Sylfaen" w:hAnsi="Sylfaen" w:cs="Arial"/>
          <w:b/>
        </w:rPr>
      </w:pPr>
      <w:r>
        <w:rPr>
          <w:rFonts w:ascii="Sylfaen" w:hAnsi="Sylfaen" w:cs="Arial"/>
        </w:rPr>
        <w:lastRenderedPageBreak/>
        <w:t xml:space="preserve">The passage cited is entirely understandable in terms of the appellant’s work problems not being his fault, other than through committing the offences, to which he later pled guilty and received </w:t>
      </w:r>
      <w:r w:rsidRPr="00671FF4">
        <w:rPr>
          <w:rFonts w:ascii="Sylfaen" w:hAnsi="Sylfaen" w:cs="Arial"/>
        </w:rPr>
        <w:t>suspended sentence</w:t>
      </w:r>
      <w:r>
        <w:rPr>
          <w:rFonts w:ascii="Sylfaen" w:hAnsi="Sylfaen" w:cs="Arial"/>
        </w:rPr>
        <w:t>s. However, it did not amount to an objective assessment of whether as things stood the appellant had a ‘genuine chance of being engaged’, or, in the judge’s words, a realistic prospect of work. So far as the passage on its own is concerned, it tends to go against that conclusion, if anything.</w:t>
      </w:r>
    </w:p>
    <w:p w:rsidR="00671FF4" w:rsidRPr="00942807" w:rsidRDefault="00671FF4" w:rsidP="00942807">
      <w:pPr>
        <w:numPr>
          <w:ilvl w:val="0"/>
          <w:numId w:val="1"/>
        </w:numPr>
        <w:tabs>
          <w:tab w:val="clear" w:pos="757"/>
          <w:tab w:val="num" w:pos="567"/>
        </w:tabs>
        <w:spacing w:after="120"/>
        <w:ind w:left="567" w:hanging="567"/>
        <w:jc w:val="both"/>
        <w:rPr>
          <w:rFonts w:ascii="Sylfaen" w:hAnsi="Sylfaen" w:cs="Arial"/>
          <w:b/>
        </w:rPr>
      </w:pPr>
      <w:r>
        <w:rPr>
          <w:rFonts w:ascii="Sylfaen" w:hAnsi="Sylfaen" w:cs="Arial"/>
        </w:rPr>
        <w:t>The result is that there will have to be a fresh hearing, at which the appellant’s current prospects of work can be assessed, in the light of his up-to-date record.</w:t>
      </w:r>
    </w:p>
    <w:p w:rsidR="00671FF4" w:rsidRDefault="008F23F4" w:rsidP="00671FF4">
      <w:pPr>
        <w:jc w:val="both"/>
        <w:rPr>
          <w:rFonts w:ascii="Sylfaen" w:hAnsi="Sylfaen" w:cs="Arial"/>
          <w:b/>
        </w:rPr>
      </w:pPr>
      <w:r w:rsidRPr="00AF6C29">
        <w:rPr>
          <w:rFonts w:ascii="Sylfaen" w:hAnsi="Sylfaen" w:cs="Arial"/>
          <w:b/>
        </w:rPr>
        <w:t xml:space="preserve">Appeal </w:t>
      </w:r>
      <w:r w:rsidR="00671FF4">
        <w:rPr>
          <w:rFonts w:ascii="Sylfaen" w:hAnsi="Sylfaen" w:cs="Arial"/>
          <w:b/>
        </w:rPr>
        <w:fldChar w:fldCharType="begin">
          <w:ffData>
            <w:name w:val="Dropdown3"/>
            <w:enabled/>
            <w:calcOnExit w:val="0"/>
            <w:ddList>
              <w:listEntry w:val="allowed"/>
              <w:listEntry w:val="dismissed"/>
            </w:ddList>
          </w:ffData>
        </w:fldChar>
      </w:r>
      <w:bookmarkStart w:id="5" w:name="Dropdown3"/>
      <w:r w:rsidR="00671FF4">
        <w:rPr>
          <w:rFonts w:ascii="Sylfaen" w:hAnsi="Sylfaen" w:cs="Arial"/>
          <w:b/>
        </w:rPr>
        <w:instrText xml:space="preserve"> FORMDROPDOWN </w:instrText>
      </w:r>
      <w:r w:rsidR="00A65951">
        <w:rPr>
          <w:rFonts w:ascii="Sylfaen" w:hAnsi="Sylfaen" w:cs="Arial"/>
          <w:b/>
        </w:rPr>
      </w:r>
      <w:r w:rsidR="00A65951">
        <w:rPr>
          <w:rFonts w:ascii="Sylfaen" w:hAnsi="Sylfaen" w:cs="Arial"/>
          <w:b/>
        </w:rPr>
        <w:fldChar w:fldCharType="separate"/>
      </w:r>
      <w:r w:rsidR="00671FF4">
        <w:rPr>
          <w:rFonts w:ascii="Sylfaen" w:hAnsi="Sylfaen" w:cs="Arial"/>
          <w:b/>
        </w:rPr>
        <w:fldChar w:fldCharType="end"/>
      </w:r>
      <w:bookmarkEnd w:id="5"/>
      <w:r w:rsidR="00671FF4">
        <w:rPr>
          <w:rFonts w:ascii="Sylfaen" w:hAnsi="Sylfaen" w:cs="Arial"/>
          <w:b/>
        </w:rPr>
        <w:t>: first-tier decision set aside</w:t>
      </w:r>
    </w:p>
    <w:p w:rsidR="00671FF4" w:rsidRPr="00AF6C29" w:rsidRDefault="00671FF4" w:rsidP="00592DA9">
      <w:pPr>
        <w:spacing w:after="120"/>
        <w:jc w:val="both"/>
        <w:rPr>
          <w:rFonts w:ascii="Sylfaen" w:hAnsi="Sylfaen" w:cs="Arial"/>
          <w:b/>
        </w:rPr>
      </w:pPr>
      <w:r>
        <w:rPr>
          <w:rFonts w:ascii="Sylfaen" w:hAnsi="Sylfaen" w:cs="Arial"/>
          <w:b/>
        </w:rPr>
        <w:t xml:space="preserve">Fresh hearing in First-Tier Tribunal at Belfast, not before </w:t>
      </w:r>
      <w:r w:rsidRPr="00671FF4">
        <w:rPr>
          <w:rFonts w:ascii="Sylfaen" w:hAnsi="Sylfaen" w:cs="Arial"/>
          <w:b/>
        </w:rPr>
        <w:t>Judge Farrelly</w:t>
      </w:r>
    </w:p>
    <w:p w:rsidR="00B95326" w:rsidRDefault="00A8294D" w:rsidP="00F07170">
      <w:pPr>
        <w:ind w:left="4508" w:hanging="539"/>
        <w:rPr>
          <w:rFonts w:ascii="Sylfaen" w:hAnsi="Sylfaen" w:cs="Arial"/>
          <w:color w:val="000000"/>
        </w:rPr>
      </w:pPr>
      <w:r w:rsidRPr="00A544A8">
        <w:rPr>
          <w:rFonts w:ascii="Sylfaen" w:hAnsi="Sylfaen" w:cs="Arial"/>
          <w:b/>
        </w:rPr>
        <w:drawing>
          <wp:inline distT="0" distB="0" distL="0" distR="0">
            <wp:extent cx="214312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A270BB" w:rsidRDefault="00A270BB" w:rsidP="00F07170">
      <w:pPr>
        <w:ind w:left="4508" w:hanging="539"/>
        <w:rPr>
          <w:rFonts w:ascii="Sylfaen" w:hAnsi="Sylfaen" w:cs="Arial"/>
        </w:rPr>
      </w:pPr>
    </w:p>
    <w:p w:rsidR="00A270BB" w:rsidRPr="00D077F9" w:rsidRDefault="00A270BB" w:rsidP="00A270BB">
      <w:pPr>
        <w:ind w:left="6127"/>
        <w:rPr>
          <w:rFonts w:ascii="Sylfaen" w:hAnsi="Sylfaen" w:cs="Arial"/>
          <w:b/>
          <w:color w:val="000000"/>
        </w:rPr>
      </w:pPr>
      <w:r w:rsidRPr="00D077F9">
        <w:rPr>
          <w:rFonts w:ascii="Sylfaen" w:hAnsi="Sylfaen" w:cs="Arial"/>
          <w:color w:val="000000"/>
        </w:rPr>
        <w:t>Decision signed:</w:t>
      </w:r>
      <w:r w:rsidRPr="00D077F9">
        <w:rPr>
          <w:rFonts w:ascii="Sylfaen" w:hAnsi="Sylfaen" w:cs="Arial"/>
          <w:b/>
          <w:color w:val="000000"/>
        </w:rPr>
        <w:t xml:space="preserve">   </w:t>
      </w:r>
      <w:r>
        <w:rPr>
          <w:rFonts w:ascii="Sylfaen" w:hAnsi="Sylfaen" w:cs="Arial"/>
          <w:b/>
          <w:color w:val="000000"/>
        </w:rPr>
        <w:t>24.07.2018</w:t>
      </w:r>
    </w:p>
    <w:p w:rsidR="00A270BB" w:rsidRPr="00A544A8" w:rsidRDefault="00A270BB" w:rsidP="00F07170">
      <w:pPr>
        <w:ind w:left="4508" w:hanging="539"/>
        <w:rPr>
          <w:rFonts w:ascii="Sylfaen" w:hAnsi="Sylfaen" w:cs="Arial"/>
          <w:color w:val="000000"/>
        </w:rPr>
      </w:pPr>
    </w:p>
    <w:sectPr w:rsidR="00A270BB" w:rsidRPr="00A544A8" w:rsidSect="00AF6C29">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469" w:rsidRDefault="00AB0469">
      <w:r>
        <w:separator/>
      </w:r>
    </w:p>
  </w:endnote>
  <w:endnote w:type="continuationSeparator" w:id="0">
    <w:p w:rsidR="00AB0469" w:rsidRDefault="00AB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555" w:rsidRPr="006B058B" w:rsidRDefault="00984555"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A65951">
      <w:rPr>
        <w:rStyle w:val="PageNumber"/>
        <w:rFonts w:ascii="Sylfaen" w:hAnsi="Sylfaen" w:cs="Arial"/>
        <w:sz w:val="22"/>
        <w:szCs w:val="22"/>
      </w:rPr>
      <w:t>3</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555" w:rsidRPr="00686C0C" w:rsidRDefault="00984555"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rsidR="00984555" w:rsidRPr="00686C0C" w:rsidRDefault="00984555"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4F6968" w:rsidRDefault="004F6968" w:rsidP="00090CF9">
    <w:pPr>
      <w:jc w:val="center"/>
      <w:rPr>
        <w:rFonts w:ascii="Sylfaen" w:hAnsi="Sylfaen" w:cs="Arial"/>
        <w:i/>
        <w:spacing w:val="-6"/>
        <w:sz w:val="22"/>
        <w:szCs w:val="22"/>
      </w:rPr>
    </w:pPr>
  </w:p>
  <w:p w:rsidR="00984555" w:rsidRPr="00686C0C" w:rsidRDefault="00984555"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469" w:rsidRDefault="00AB0469">
      <w:r>
        <w:separator/>
      </w:r>
    </w:p>
  </w:footnote>
  <w:footnote w:type="continuationSeparator" w:id="0">
    <w:p w:rsidR="00AB0469" w:rsidRDefault="00AB0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555" w:rsidRPr="000B6DE3" w:rsidRDefault="000B6DE3" w:rsidP="000B6DE3">
    <w:pPr>
      <w:pStyle w:val="Header"/>
      <w:jc w:val="right"/>
      <w:rPr>
        <w:sz w:val="22"/>
        <w:szCs w:val="22"/>
      </w:rPr>
    </w:pPr>
    <w:r w:rsidRPr="000B6DE3">
      <w:rPr>
        <w:sz w:val="22"/>
        <w:szCs w:val="22"/>
      </w:rPr>
      <w:t>EA/02044/2017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65"/>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B6DE3"/>
    <w:rsid w:val="000D5D94"/>
    <w:rsid w:val="000F1A0E"/>
    <w:rsid w:val="00102EBC"/>
    <w:rsid w:val="001165A7"/>
    <w:rsid w:val="00117FD8"/>
    <w:rsid w:val="001401BB"/>
    <w:rsid w:val="001435AF"/>
    <w:rsid w:val="00167D3A"/>
    <w:rsid w:val="00194E6E"/>
    <w:rsid w:val="001A3082"/>
    <w:rsid w:val="001A5D86"/>
    <w:rsid w:val="001B186A"/>
    <w:rsid w:val="001B2F75"/>
    <w:rsid w:val="001E6DE8"/>
    <w:rsid w:val="001F114E"/>
    <w:rsid w:val="001F2716"/>
    <w:rsid w:val="001F38D3"/>
    <w:rsid w:val="00201D89"/>
    <w:rsid w:val="00206F6B"/>
    <w:rsid w:val="00207617"/>
    <w:rsid w:val="0023134B"/>
    <w:rsid w:val="0026015E"/>
    <w:rsid w:val="002667BE"/>
    <w:rsid w:val="00270E13"/>
    <w:rsid w:val="002809E3"/>
    <w:rsid w:val="00283659"/>
    <w:rsid w:val="002B0A59"/>
    <w:rsid w:val="002B5149"/>
    <w:rsid w:val="002C6BD4"/>
    <w:rsid w:val="002D68BF"/>
    <w:rsid w:val="002F6B98"/>
    <w:rsid w:val="003028C0"/>
    <w:rsid w:val="00310B90"/>
    <w:rsid w:val="00336CBF"/>
    <w:rsid w:val="00343FE3"/>
    <w:rsid w:val="003546C8"/>
    <w:rsid w:val="00374981"/>
    <w:rsid w:val="003860CF"/>
    <w:rsid w:val="00395C65"/>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85FEB"/>
    <w:rsid w:val="004A1848"/>
    <w:rsid w:val="004A6F4A"/>
    <w:rsid w:val="004C5C63"/>
    <w:rsid w:val="004E4717"/>
    <w:rsid w:val="004F6968"/>
    <w:rsid w:val="005035E7"/>
    <w:rsid w:val="00507FEC"/>
    <w:rsid w:val="00510F0E"/>
    <w:rsid w:val="00531929"/>
    <w:rsid w:val="005479E1"/>
    <w:rsid w:val="00553E0A"/>
    <w:rsid w:val="005570FD"/>
    <w:rsid w:val="005575EA"/>
    <w:rsid w:val="00574462"/>
    <w:rsid w:val="00574E42"/>
    <w:rsid w:val="0057790C"/>
    <w:rsid w:val="005829AB"/>
    <w:rsid w:val="00592DA9"/>
    <w:rsid w:val="00593795"/>
    <w:rsid w:val="00593821"/>
    <w:rsid w:val="00597008"/>
    <w:rsid w:val="005A549B"/>
    <w:rsid w:val="005A75FF"/>
    <w:rsid w:val="005D10AB"/>
    <w:rsid w:val="005D207D"/>
    <w:rsid w:val="005D721A"/>
    <w:rsid w:val="005F1F19"/>
    <w:rsid w:val="00601D8F"/>
    <w:rsid w:val="00611011"/>
    <w:rsid w:val="00653E97"/>
    <w:rsid w:val="00655341"/>
    <w:rsid w:val="00671FF4"/>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87A8B"/>
    <w:rsid w:val="007912AD"/>
    <w:rsid w:val="00793BFA"/>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42807"/>
    <w:rsid w:val="009722BC"/>
    <w:rsid w:val="009727A3"/>
    <w:rsid w:val="00977EB3"/>
    <w:rsid w:val="00984555"/>
    <w:rsid w:val="00987774"/>
    <w:rsid w:val="00996FBB"/>
    <w:rsid w:val="009A11E8"/>
    <w:rsid w:val="009C5F92"/>
    <w:rsid w:val="009E30EE"/>
    <w:rsid w:val="009F3381"/>
    <w:rsid w:val="009F5220"/>
    <w:rsid w:val="00A11F19"/>
    <w:rsid w:val="00A15234"/>
    <w:rsid w:val="00A201AB"/>
    <w:rsid w:val="00A240AA"/>
    <w:rsid w:val="00A253BF"/>
    <w:rsid w:val="00A270BB"/>
    <w:rsid w:val="00A31C8B"/>
    <w:rsid w:val="00A44B39"/>
    <w:rsid w:val="00A509FA"/>
    <w:rsid w:val="00A544A8"/>
    <w:rsid w:val="00A65951"/>
    <w:rsid w:val="00A8294D"/>
    <w:rsid w:val="00A845DC"/>
    <w:rsid w:val="00A8721C"/>
    <w:rsid w:val="00AB0469"/>
    <w:rsid w:val="00AE226C"/>
    <w:rsid w:val="00AF6C29"/>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3C0B"/>
    <w:rsid w:val="00BD4196"/>
    <w:rsid w:val="00BF22CA"/>
    <w:rsid w:val="00BF23BB"/>
    <w:rsid w:val="00C12F97"/>
    <w:rsid w:val="00C217AF"/>
    <w:rsid w:val="00C26032"/>
    <w:rsid w:val="00C345E1"/>
    <w:rsid w:val="00C43BFD"/>
    <w:rsid w:val="00C45496"/>
    <w:rsid w:val="00CB6E35"/>
    <w:rsid w:val="00CC0CC9"/>
    <w:rsid w:val="00CE1A46"/>
    <w:rsid w:val="00D077F9"/>
    <w:rsid w:val="00D15779"/>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24EB"/>
    <w:rsid w:val="00E066DE"/>
    <w:rsid w:val="00E07F57"/>
    <w:rsid w:val="00E246E2"/>
    <w:rsid w:val="00E30683"/>
    <w:rsid w:val="00E418CE"/>
    <w:rsid w:val="00E453D8"/>
    <w:rsid w:val="00E50BCE"/>
    <w:rsid w:val="00E574BF"/>
    <w:rsid w:val="00E61292"/>
    <w:rsid w:val="00E74B5A"/>
    <w:rsid w:val="00E77C4D"/>
    <w:rsid w:val="00E80AD9"/>
    <w:rsid w:val="00E81D01"/>
    <w:rsid w:val="00E862ED"/>
    <w:rsid w:val="00EE43F3"/>
    <w:rsid w:val="00EE45D8"/>
    <w:rsid w:val="00F07170"/>
    <w:rsid w:val="00F118C6"/>
    <w:rsid w:val="00F22EDA"/>
    <w:rsid w:val="00F556F2"/>
    <w:rsid w:val="00F60407"/>
    <w:rsid w:val="00F76228"/>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B1BE3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customStyle="1" w:styleId="phone">
    <w:name w:val="phone"/>
    <w:rsid w:val="0039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BACC265-5E8F-412F-923B-A265AA84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4549</Characters>
  <Application>Microsoft Office Word</Application>
  <DocSecurity>0</DocSecurity>
  <Lines>37</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2018-08-14T10:56:00Z</dcterms:created>
  <dcterms:modified xsi:type="dcterms:W3CDTF">2018-08-14T10:56:00Z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