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FD1930" w:rsidP="00A842AA">
      <w:pPr>
        <w:jc w:val="center"/>
        <w:rPr>
          <w:rFonts w:ascii="Book Antiqua" w:hAnsi="Book Antiqua" w:cs="Arial"/>
          <w:caps/>
          <w:color w:val="000000"/>
          <w:sz w:val="16"/>
          <w:szCs w:val="16"/>
        </w:rPr>
      </w:pPr>
      <w:r>
        <w:rPr>
          <w:noProof/>
        </w:rPr>
        <w:drawing>
          <wp:inline distT="0" distB="0" distL="0" distR="0" wp14:anchorId="7014E44B" wp14:editId="6C86F306">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FD1930" w:rsidRPr="00FD1930">
        <w:rPr>
          <w:rFonts w:ascii="Book Antiqua" w:hAnsi="Book Antiqua" w:cs="Arial"/>
          <w:caps/>
          <w:color w:val="000000"/>
        </w:rPr>
        <w:t>EA</w:t>
      </w:r>
      <w:r w:rsidR="00465A6D">
        <w:rPr>
          <w:rFonts w:ascii="Book Antiqua" w:hAnsi="Book Antiqua" w:cs="Arial"/>
          <w:caps/>
          <w:color w:val="000000"/>
        </w:rPr>
        <w:t xml:space="preserve"> </w:t>
      </w:r>
      <w:r w:rsidR="00FD1930" w:rsidRPr="00FD1930">
        <w:rPr>
          <w:rFonts w:ascii="Book Antiqua" w:hAnsi="Book Antiqua" w:cs="Arial"/>
          <w:caps/>
          <w:color w:val="000000"/>
        </w:rPr>
        <w:t>02113</w:t>
      </w:r>
      <w:r w:rsidR="00465A6D">
        <w:rPr>
          <w:rFonts w:ascii="Book Antiqua" w:hAnsi="Book Antiqua" w:cs="Arial"/>
          <w:caps/>
          <w:color w:val="000000"/>
        </w:rPr>
        <w:t xml:space="preserve"> </w:t>
      </w:r>
      <w:r w:rsidR="00FD1930" w:rsidRPr="00FD1930">
        <w:rPr>
          <w:rFonts w:ascii="Book Antiqua" w:hAnsi="Book Antiqua" w:cs="Arial"/>
          <w:caps/>
          <w:color w:val="000000"/>
        </w:rPr>
        <w:t>2017</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FD1930">
              <w:rPr>
                <w:rFonts w:ascii="Book Antiqua" w:hAnsi="Book Antiqua" w:cs="Arial"/>
                <w:b/>
              </w:rPr>
              <w:t xml:space="preserve">Field House </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FD1930">
              <w:rPr>
                <w:rFonts w:ascii="Book Antiqua" w:hAnsi="Book Antiqua" w:cs="Arial"/>
                <w:b/>
              </w:rPr>
              <w:t>3 September 2018</w:t>
            </w:r>
          </w:p>
        </w:tc>
        <w:tc>
          <w:tcPr>
            <w:tcW w:w="3960" w:type="dxa"/>
          </w:tcPr>
          <w:p w:rsidR="00D22636" w:rsidRPr="00AC04A0" w:rsidRDefault="00AC5B0D" w:rsidP="004A1848">
            <w:pPr>
              <w:jc w:val="both"/>
              <w:rPr>
                <w:rFonts w:ascii="Book Antiqua" w:hAnsi="Book Antiqua" w:cs="Arial"/>
                <w:b/>
              </w:rPr>
            </w:pPr>
            <w:r>
              <w:rPr>
                <w:rFonts w:ascii="Book Antiqua" w:hAnsi="Book Antiqua" w:cs="Arial"/>
                <w:b/>
              </w:rPr>
              <w:t>On 14 September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465A6D" w:rsidRDefault="00465A6D" w:rsidP="00704B61">
      <w:pPr>
        <w:jc w:val="center"/>
        <w:rPr>
          <w:rFonts w:ascii="Book Antiqua" w:hAnsi="Book Antiqua" w:cs="Arial"/>
          <w:b/>
        </w:rPr>
      </w:pPr>
      <w:r>
        <w:rPr>
          <w:rFonts w:ascii="Book Antiqua" w:hAnsi="Book Antiqua" w:cs="Arial"/>
          <w:b/>
        </w:rPr>
        <w:t>SECRETARY OF STATE FOR THE HOME DEPARTMENT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FD1930" w:rsidP="00704B61">
      <w:pPr>
        <w:jc w:val="center"/>
        <w:rPr>
          <w:rFonts w:ascii="Book Antiqua" w:hAnsi="Book Antiqua" w:cs="Arial"/>
          <w:b/>
        </w:rPr>
      </w:pPr>
      <w:r w:rsidRPr="00FD1930">
        <w:rPr>
          <w:rFonts w:ascii="Book Antiqua" w:hAnsi="Book Antiqua" w:cs="Arial"/>
          <w:b/>
        </w:rPr>
        <w:t>ASRAR</w:t>
      </w:r>
      <w:r>
        <w:rPr>
          <w:rFonts w:ascii="Book Antiqua" w:hAnsi="Book Antiqua" w:cs="Arial"/>
          <w:b/>
        </w:rPr>
        <w:t xml:space="preserve"> </w:t>
      </w:r>
      <w:r w:rsidRPr="00FD1930">
        <w:rPr>
          <w:rFonts w:ascii="Book Antiqua" w:hAnsi="Book Antiqua" w:cs="Arial"/>
          <w:b/>
        </w:rPr>
        <w:t>AHMAD</w:t>
      </w:r>
    </w:p>
    <w:p w:rsidR="00DD5071" w:rsidRPr="00465A6D" w:rsidRDefault="00465A6D" w:rsidP="00704B61">
      <w:pPr>
        <w:jc w:val="center"/>
        <w:rPr>
          <w:rFonts w:ascii="Book Antiqua" w:hAnsi="Book Antiqua" w:cs="Arial"/>
        </w:rPr>
      </w:pPr>
      <w:r w:rsidRPr="00465A6D">
        <w:rPr>
          <w:rFonts w:ascii="Book Antiqua" w:hAnsi="Book Antiqua" w:cs="Arial"/>
        </w:rPr>
        <w:t>(anonymity direction not made)</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FD1930">
        <w:rPr>
          <w:rFonts w:ascii="Book Antiqua" w:hAnsi="Book Antiqua" w:cs="Arial"/>
        </w:rPr>
        <w:t xml:space="preserve">Mr L Tarlow, Senior Home Office Presenting Officer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FD1930">
        <w:rPr>
          <w:rFonts w:ascii="Book Antiqua" w:hAnsi="Book Antiqua" w:cs="Arial"/>
        </w:rPr>
        <w:t>Mr Z Raza, Counsel instructed by Maher &amp; Co, Slough</w:t>
      </w:r>
    </w:p>
    <w:p w:rsidR="00DE7DB7" w:rsidRPr="00465A6D" w:rsidRDefault="009F14B8" w:rsidP="00465A6D">
      <w:pPr>
        <w:tabs>
          <w:tab w:val="left" w:pos="2520"/>
        </w:tabs>
        <w:spacing w:before="100" w:beforeAutospacing="1" w:after="100" w:afterAutospacing="1"/>
        <w:jc w:val="center"/>
        <w:rPr>
          <w:rFonts w:ascii="Book Antiqua" w:hAnsi="Book Antiqua" w:cs="Arial"/>
          <w:sz w:val="28"/>
          <w:szCs w:val="28"/>
        </w:rPr>
      </w:pPr>
      <w:r w:rsidRPr="00465A6D">
        <w:rPr>
          <w:rFonts w:ascii="Book Antiqua" w:hAnsi="Book Antiqua" w:cs="Arial"/>
          <w:b/>
          <w:sz w:val="28"/>
          <w:szCs w:val="28"/>
          <w:u w:val="single"/>
        </w:rPr>
        <w:t xml:space="preserve">DECISION </w:t>
      </w:r>
      <w:r w:rsidR="00402B9E" w:rsidRPr="00465A6D">
        <w:rPr>
          <w:rFonts w:ascii="Book Antiqua" w:hAnsi="Book Antiqua" w:cs="Arial"/>
          <w:b/>
          <w:sz w:val="28"/>
          <w:szCs w:val="28"/>
          <w:u w:val="single"/>
        </w:rPr>
        <w:t>AND REASONS</w:t>
      </w:r>
    </w:p>
    <w:p w:rsidR="00465A6D" w:rsidRDefault="00B61ECF"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This is an appeal by the Secretary of State against the decision of the First-tier Tribunal allowing the appeal of the respondent, hereinafter “the claimant”</w:t>
      </w:r>
      <w:r w:rsidR="0073683A">
        <w:rPr>
          <w:rFonts w:ascii="Book Antiqua" w:hAnsi="Book Antiqua" w:cs="Arial"/>
        </w:rPr>
        <w:t>,</w:t>
      </w:r>
      <w:r w:rsidRPr="00465A6D">
        <w:rPr>
          <w:rFonts w:ascii="Book Antiqua" w:hAnsi="Book Antiqua" w:cs="Arial"/>
        </w:rPr>
        <w:t xml:space="preserve"> against the decision of the Secretary of State refusing him a residence card as the former husband of an EEA national exercising treaty rights.</w:t>
      </w:r>
    </w:p>
    <w:p w:rsidR="00465A6D" w:rsidRDefault="00B61ECF"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There is a mistake on the face of the decision where the claimant is described as a national of India.  He is not.  He is a national of Pakistan.</w:t>
      </w:r>
      <w:r w:rsidR="00E97643">
        <w:rPr>
          <w:rFonts w:ascii="Book Antiqua" w:hAnsi="Book Antiqua" w:cs="Arial"/>
        </w:rPr>
        <w:t xml:space="preserve"> This is annoying and suggests carelessness but it is not a material error of law.</w:t>
      </w:r>
    </w:p>
    <w:p w:rsidR="00465A6D" w:rsidRDefault="0073683A" w:rsidP="00465A6D">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 xml:space="preserve">The core point in the grounds </w:t>
      </w:r>
      <w:r w:rsidR="00B61ECF" w:rsidRPr="00465A6D">
        <w:rPr>
          <w:rFonts w:ascii="Book Antiqua" w:hAnsi="Book Antiqua" w:cs="Arial"/>
        </w:rPr>
        <w:t>is that the decision is not explained adequately.</w:t>
      </w:r>
    </w:p>
    <w:p w:rsidR="00465A6D" w:rsidRDefault="00B61ECF"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Before considering the First-tier Tribunal’s decision and reasons I look at the Reasons for Refusal Letter dated 10 February 2017.</w:t>
      </w:r>
    </w:p>
    <w:p w:rsidR="00465A6D" w:rsidRDefault="0073683A" w:rsidP="00465A6D">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lastRenderedPageBreak/>
        <w:t>T</w:t>
      </w:r>
      <w:r w:rsidR="006E44BD" w:rsidRPr="00465A6D">
        <w:rPr>
          <w:rFonts w:ascii="Book Antiqua" w:hAnsi="Book Antiqua" w:cs="Arial"/>
        </w:rPr>
        <w:t>he Secretary of State gave two reasons for refusing the application.  The first was that the marriage relied on was a marriage of convenience and therefore did not give rise to treaty rights.  Further</w:t>
      </w:r>
      <w:r w:rsidR="00465A6D" w:rsidRPr="00465A6D">
        <w:rPr>
          <w:rFonts w:ascii="Book Antiqua" w:hAnsi="Book Antiqua" w:cs="Arial"/>
        </w:rPr>
        <w:t>,</w:t>
      </w:r>
      <w:r w:rsidR="006E44BD" w:rsidRPr="00465A6D">
        <w:rPr>
          <w:rFonts w:ascii="Book Antiqua" w:hAnsi="Book Antiqua" w:cs="Arial"/>
        </w:rPr>
        <w:t xml:space="preserve"> or in the alternative</w:t>
      </w:r>
      <w:r w:rsidR="00465A6D" w:rsidRPr="00465A6D">
        <w:rPr>
          <w:rFonts w:ascii="Book Antiqua" w:hAnsi="Book Antiqua" w:cs="Arial"/>
        </w:rPr>
        <w:t>,</w:t>
      </w:r>
      <w:r w:rsidR="006E44BD" w:rsidRPr="00465A6D">
        <w:rPr>
          <w:rFonts w:ascii="Book Antiqua" w:hAnsi="Book Antiqua" w:cs="Arial"/>
        </w:rPr>
        <w:t xml:space="preserve"> it was the Secretary of State’s case that even if there had been a genuine marriage the claimant did not satisfy the requirements of Regulation 10(5) of the Immigration (EEA) Regulations 2016.  Although the exact terms of the Rules are not repeated a paraphrase </w:t>
      </w:r>
      <w:r>
        <w:rPr>
          <w:rFonts w:ascii="Book Antiqua" w:hAnsi="Book Antiqua" w:cs="Arial"/>
        </w:rPr>
        <w:t xml:space="preserve">is </w:t>
      </w:r>
      <w:r w:rsidR="006E44BD" w:rsidRPr="00465A6D">
        <w:rPr>
          <w:rFonts w:ascii="Book Antiqua" w:hAnsi="Book Antiqua" w:cs="Arial"/>
        </w:rPr>
        <w:t>set out in the decision.  The Secretary of State maintains that the claimant had to show that the EEA national and former spouse was exercising free movement rights in the United Kingdom at the time of the divorce, that the marriage had lasted for three years and that the claimant and his former spouse had resided in the United Kingdom for at least one year during that marriage and that the claimant himself was employed, self-employed or economically self-sufficient as if he were an EEA national.</w:t>
      </w:r>
    </w:p>
    <w:p w:rsidR="00465A6D" w:rsidRDefault="00F06987"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The Secretary of State then gave reasons for not being satisfied on either of these points.</w:t>
      </w:r>
    </w:p>
    <w:p w:rsidR="00465A6D" w:rsidRDefault="00F06987"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 xml:space="preserve">The First-tier Tribunal’s decision is in rather withering terms.  It is very critical of the Secretary of State not doing more to justify the allegations that had been made.  The First-tier Tribunal then concluded that the </w:t>
      </w:r>
      <w:r w:rsidR="00B911B6" w:rsidRPr="00465A6D">
        <w:rPr>
          <w:rFonts w:ascii="Book Antiqua" w:hAnsi="Book Antiqua" w:cs="Arial"/>
        </w:rPr>
        <w:t xml:space="preserve">claimant </w:t>
      </w:r>
      <w:r w:rsidRPr="00465A6D">
        <w:rPr>
          <w:rFonts w:ascii="Book Antiqua" w:hAnsi="Book Antiqua" w:cs="Arial"/>
        </w:rPr>
        <w:t>had proved his case and allowed the appeal.</w:t>
      </w:r>
    </w:p>
    <w:p w:rsidR="00465A6D" w:rsidRDefault="00F06987"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I can deal easily with the complaint that the First-tier Tribunal allowed the appeal on the basis that the Secretary of State had not established that the marriage was a marriage of convenience.  Th</w:t>
      </w:r>
      <w:r w:rsidR="0073683A">
        <w:rPr>
          <w:rFonts w:ascii="Book Antiqua" w:hAnsi="Book Antiqua" w:cs="Arial"/>
        </w:rPr>
        <w:t>is was something for the Secretary of State to prove and th</w:t>
      </w:r>
      <w:r w:rsidRPr="00465A6D">
        <w:rPr>
          <w:rFonts w:ascii="Book Antiqua" w:hAnsi="Book Antiqua" w:cs="Arial"/>
        </w:rPr>
        <w:t xml:space="preserve">ere is very little evidence to justify a conclusion </w:t>
      </w:r>
      <w:r w:rsidR="00465A6D">
        <w:rPr>
          <w:rFonts w:ascii="Book Antiqua" w:hAnsi="Book Antiqua" w:cs="Arial"/>
        </w:rPr>
        <w:t xml:space="preserve">that the marriage was one of convenience </w:t>
      </w:r>
      <w:r w:rsidRPr="00465A6D">
        <w:rPr>
          <w:rFonts w:ascii="Book Antiqua" w:hAnsi="Book Antiqua" w:cs="Arial"/>
        </w:rPr>
        <w:t xml:space="preserve">and certainly </w:t>
      </w:r>
      <w:r w:rsidR="000875EA" w:rsidRPr="00465A6D">
        <w:rPr>
          <w:rFonts w:ascii="Book Antiqua" w:hAnsi="Book Antiqua" w:cs="Arial"/>
        </w:rPr>
        <w:t xml:space="preserve">not sufficient evidence to show that the First-tier Tribunal was in any way perverse in being unpersuaded by it.  </w:t>
      </w:r>
      <w:r w:rsidR="00C34DB0" w:rsidRPr="00465A6D">
        <w:rPr>
          <w:rFonts w:ascii="Book Antiqua" w:hAnsi="Book Antiqua" w:cs="Arial"/>
        </w:rPr>
        <w:t xml:space="preserve">The Secretary of State relied in part on answers given by the claimant and </w:t>
      </w:r>
      <w:r w:rsidR="00465A6D">
        <w:rPr>
          <w:rFonts w:ascii="Book Antiqua" w:hAnsi="Book Antiqua" w:cs="Arial"/>
        </w:rPr>
        <w:t xml:space="preserve">his </w:t>
      </w:r>
      <w:r w:rsidR="00C34DB0" w:rsidRPr="00465A6D">
        <w:rPr>
          <w:rFonts w:ascii="Book Antiqua" w:hAnsi="Book Antiqua" w:cs="Arial"/>
        </w:rPr>
        <w:t>partner in an interview about their circumstances.  The First-tier Tribunal Judge</w:t>
      </w:r>
      <w:r w:rsidR="0073683A">
        <w:rPr>
          <w:rFonts w:ascii="Book Antiqua" w:hAnsi="Book Antiqua" w:cs="Arial"/>
        </w:rPr>
        <w:t xml:space="preserve"> </w:t>
      </w:r>
      <w:r w:rsidR="00C34DB0" w:rsidRPr="00465A6D">
        <w:rPr>
          <w:rFonts w:ascii="Book Antiqua" w:hAnsi="Book Antiqua" w:cs="Arial"/>
        </w:rPr>
        <w:t>f</w:t>
      </w:r>
      <w:r w:rsidR="0073683A">
        <w:rPr>
          <w:rFonts w:ascii="Book Antiqua" w:hAnsi="Book Antiqua" w:cs="Arial"/>
        </w:rPr>
        <w:t>ou</w:t>
      </w:r>
      <w:r w:rsidR="00C34DB0" w:rsidRPr="00465A6D">
        <w:rPr>
          <w:rFonts w:ascii="Book Antiqua" w:hAnsi="Book Antiqua" w:cs="Arial"/>
        </w:rPr>
        <w:t>nd nothing in the answers that was inconsistent</w:t>
      </w:r>
      <w:r w:rsidR="00E97643">
        <w:rPr>
          <w:rFonts w:ascii="Book Antiqua" w:hAnsi="Book Antiqua" w:cs="Arial"/>
        </w:rPr>
        <w:t xml:space="preserve"> with a genuine marriage</w:t>
      </w:r>
      <w:r w:rsidR="00C34DB0" w:rsidRPr="00465A6D">
        <w:rPr>
          <w:rFonts w:ascii="Book Antiqua" w:hAnsi="Book Antiqua" w:cs="Arial"/>
        </w:rPr>
        <w:t>, still less proof that the marriage was one of convenience</w:t>
      </w:r>
      <w:r w:rsidR="00705434" w:rsidRPr="00465A6D">
        <w:rPr>
          <w:rFonts w:ascii="Book Antiqua" w:hAnsi="Book Antiqua" w:cs="Arial"/>
        </w:rPr>
        <w:t>,</w:t>
      </w:r>
      <w:r w:rsidR="00C34DB0" w:rsidRPr="00465A6D">
        <w:rPr>
          <w:rFonts w:ascii="Book Antiqua" w:hAnsi="Book Antiqua" w:cs="Arial"/>
        </w:rPr>
        <w:t xml:space="preserve"> and I see no basis whatsoever for criticising that part of the reasoning.</w:t>
      </w:r>
    </w:p>
    <w:p w:rsidR="00FE23D9" w:rsidRDefault="00C34DB0" w:rsidP="00465A6D">
      <w:pPr>
        <w:pStyle w:val="ListParagraph"/>
        <w:numPr>
          <w:ilvl w:val="0"/>
          <w:numId w:val="2"/>
        </w:numPr>
        <w:tabs>
          <w:tab w:val="left" w:pos="567"/>
        </w:tabs>
        <w:spacing w:before="120"/>
        <w:ind w:left="0"/>
        <w:contextualSpacing w:val="0"/>
        <w:jc w:val="both"/>
        <w:rPr>
          <w:rFonts w:ascii="Book Antiqua" w:hAnsi="Book Antiqua" w:cs="Arial"/>
        </w:rPr>
      </w:pPr>
      <w:r w:rsidRPr="00FE23D9">
        <w:rPr>
          <w:rFonts w:ascii="Book Antiqua" w:hAnsi="Book Antiqua" w:cs="Arial"/>
        </w:rPr>
        <w:t xml:space="preserve">It is also the Secretary of State’s case that the claimant and his wife had spent very little time together.  According to the Reasons for Refusal Letter </w:t>
      </w:r>
      <w:r w:rsidR="000223C9" w:rsidRPr="00FE23D9">
        <w:rPr>
          <w:rFonts w:ascii="Book Antiqua" w:hAnsi="Book Antiqua" w:cs="Arial"/>
        </w:rPr>
        <w:t xml:space="preserve">the Secretary of State had records showing that the claimant’s partner left Heathrow Airport to travel to Lisbon on 16 August 2012 having married the claimant the previous day.  The Secretary of State’s records then show that the wife returned to the United Kingdom on 18 January 2014 but returned to Lisbon two days later.  She was next in the United Kingdom on 19 January 2017 when she landed at Edinburgh Airport.  The Secretary of State concluded that the sponsor’s wife had been in the United Kingdom “for no more than three days throughout the time when she was married to you which raises questions about the genuineness of your relationship and marriage”. </w:t>
      </w:r>
      <w:r w:rsidR="00E97643" w:rsidRPr="00FE23D9">
        <w:rPr>
          <w:rFonts w:ascii="Book Antiqua" w:hAnsi="Book Antiqua" w:cs="Arial"/>
        </w:rPr>
        <w:t>Th</w:t>
      </w:r>
      <w:r w:rsidR="00FE23D9" w:rsidRPr="00FE23D9">
        <w:rPr>
          <w:rFonts w:ascii="Book Antiqua" w:hAnsi="Book Antiqua" w:cs="Arial"/>
        </w:rPr>
        <w:t>is is a potentially powerful strand of evidence and points in favour of disbelieving the claimant. Th</w:t>
      </w:r>
      <w:r w:rsidR="00E97643" w:rsidRPr="00FE23D9">
        <w:rPr>
          <w:rFonts w:ascii="Book Antiqua" w:hAnsi="Book Antiqua" w:cs="Arial"/>
        </w:rPr>
        <w:t xml:space="preserve">e problem with this evidence is that it was inconsistent with tax records </w:t>
      </w:r>
      <w:r w:rsidR="00FE23D9" w:rsidRPr="00FE23D9">
        <w:rPr>
          <w:rFonts w:ascii="Book Antiqua" w:hAnsi="Book Antiqua" w:cs="Arial"/>
        </w:rPr>
        <w:t xml:space="preserve">produced by the Secretary of State that </w:t>
      </w:r>
      <w:r w:rsidR="00E97643" w:rsidRPr="00FE23D9">
        <w:rPr>
          <w:rFonts w:ascii="Book Antiqua" w:hAnsi="Book Antiqua" w:cs="Arial"/>
        </w:rPr>
        <w:t>indicat</w:t>
      </w:r>
      <w:r w:rsidR="00FE23D9" w:rsidRPr="00FE23D9">
        <w:rPr>
          <w:rFonts w:ascii="Book Antiqua" w:hAnsi="Book Antiqua" w:cs="Arial"/>
        </w:rPr>
        <w:t xml:space="preserve">e </w:t>
      </w:r>
      <w:r w:rsidR="00E97643" w:rsidRPr="00FE23D9">
        <w:rPr>
          <w:rFonts w:ascii="Book Antiqua" w:hAnsi="Book Antiqua" w:cs="Arial"/>
        </w:rPr>
        <w:t>that the claimant’s wife was working</w:t>
      </w:r>
      <w:r w:rsidR="00FE23D9" w:rsidRPr="00FE23D9">
        <w:rPr>
          <w:rFonts w:ascii="Book Antiqua" w:hAnsi="Book Antiqua" w:cs="Arial"/>
        </w:rPr>
        <w:t xml:space="preserve"> in the United Kingdom when the Secretary of State thought that she was elsewhere,</w:t>
      </w:r>
      <w:r w:rsidR="00E97643" w:rsidRPr="00FE23D9">
        <w:rPr>
          <w:rFonts w:ascii="Book Antiqua" w:hAnsi="Book Antiqua" w:cs="Arial"/>
        </w:rPr>
        <w:t xml:space="preserve"> and the Secretary of State did not explain why his arrival and departure records should have been preferred</w:t>
      </w:r>
      <w:r w:rsidR="00FE23D9" w:rsidRPr="00FE23D9">
        <w:rPr>
          <w:rFonts w:ascii="Book Antiqua" w:hAnsi="Book Antiqua" w:cs="Arial"/>
        </w:rPr>
        <w:t xml:space="preserve"> to the tax records</w:t>
      </w:r>
      <w:r w:rsidR="00E97643" w:rsidRPr="00FE23D9">
        <w:rPr>
          <w:rFonts w:ascii="Book Antiqua" w:hAnsi="Book Antiqua" w:cs="Arial"/>
        </w:rPr>
        <w:t>.</w:t>
      </w:r>
    </w:p>
    <w:p w:rsidR="00465A6D" w:rsidRPr="00FE23D9" w:rsidRDefault="000223C9" w:rsidP="00465A6D">
      <w:pPr>
        <w:pStyle w:val="ListParagraph"/>
        <w:numPr>
          <w:ilvl w:val="0"/>
          <w:numId w:val="2"/>
        </w:numPr>
        <w:tabs>
          <w:tab w:val="left" w:pos="567"/>
        </w:tabs>
        <w:spacing w:before="120"/>
        <w:ind w:left="0"/>
        <w:contextualSpacing w:val="0"/>
        <w:jc w:val="both"/>
        <w:rPr>
          <w:rFonts w:ascii="Book Antiqua" w:hAnsi="Book Antiqua" w:cs="Arial"/>
        </w:rPr>
      </w:pPr>
      <w:r w:rsidRPr="00FE23D9">
        <w:rPr>
          <w:rFonts w:ascii="Book Antiqua" w:hAnsi="Book Antiqua" w:cs="Arial"/>
        </w:rPr>
        <w:t>The Secretary of State then noted that there were two home visits which found no evidence to show cohabitation.  The first was on the morning of 20 January 2017 and the next on 7 February 2017.</w:t>
      </w:r>
    </w:p>
    <w:p w:rsidR="00465A6D" w:rsidRDefault="000223C9"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lastRenderedPageBreak/>
        <w:t xml:space="preserve">However in each case the evidence relied on was of the Immigration Officers not being able to find the claimant or his wife.  On the first occasion an unidentified person led the officers to a box room and the officers knocked on the door for about five minutes and left when they got no response.  On 7 February 2017 they claimed to have arrived at the address and </w:t>
      </w:r>
      <w:r w:rsidR="00465A6D" w:rsidRPr="00465A6D">
        <w:rPr>
          <w:rFonts w:ascii="Book Antiqua" w:hAnsi="Book Antiqua" w:cs="Arial"/>
        </w:rPr>
        <w:t xml:space="preserve">to have </w:t>
      </w:r>
      <w:r w:rsidRPr="00465A6D">
        <w:rPr>
          <w:rFonts w:ascii="Book Antiqua" w:hAnsi="Book Antiqua" w:cs="Arial"/>
        </w:rPr>
        <w:t xml:space="preserve">seen a light on the </w:t>
      </w:r>
      <w:r w:rsidR="00CC6354" w:rsidRPr="00465A6D">
        <w:rPr>
          <w:rFonts w:ascii="Book Antiqua" w:hAnsi="Book Antiqua" w:cs="Arial"/>
        </w:rPr>
        <w:t>first-floor</w:t>
      </w:r>
      <w:r w:rsidRPr="00465A6D">
        <w:rPr>
          <w:rFonts w:ascii="Book Antiqua" w:hAnsi="Book Antiqua" w:cs="Arial"/>
        </w:rPr>
        <w:t xml:space="preserve"> bedroom and a light in the passageway on the ground floor.  The officers knocked several times but there was no answer although they did see an unidentified figure through the frosted glazing on the front door.  </w:t>
      </w:r>
      <w:r w:rsidR="004759F0" w:rsidRPr="00465A6D">
        <w:rPr>
          <w:rFonts w:ascii="Book Antiqua" w:hAnsi="Book Antiqua" w:cs="Arial"/>
        </w:rPr>
        <w:t>They called through the door to explain the purpose of their visit but there was no answer.  The officers were satisfied that somebody was in the house.</w:t>
      </w:r>
    </w:p>
    <w:p w:rsidR="00465A6D" w:rsidRDefault="000A0D79"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The Secretary of State also considered documents produced and found little sign of cohabitation in the documents disclosed.</w:t>
      </w:r>
    </w:p>
    <w:p w:rsidR="00465A6D" w:rsidRDefault="000A0D79"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 xml:space="preserve">These are not telling points.  In his statement the claimant explained that he worked long shifts and left for work early.  Although the recording of the evidence in the refusal letter verges on the theatrical and is rich in intrigue it amounts to nothing more than visiting the address where the </w:t>
      </w:r>
      <w:r w:rsidR="00B911B6" w:rsidRPr="00465A6D">
        <w:rPr>
          <w:rFonts w:ascii="Book Antiqua" w:hAnsi="Book Antiqua" w:cs="Arial"/>
        </w:rPr>
        <w:t xml:space="preserve">claimant </w:t>
      </w:r>
      <w:r w:rsidRPr="00465A6D">
        <w:rPr>
          <w:rFonts w:ascii="Book Antiqua" w:hAnsi="Book Antiqua" w:cs="Arial"/>
        </w:rPr>
        <w:t>was supposed to live a</w:t>
      </w:r>
      <w:r w:rsidR="00FE23D9">
        <w:rPr>
          <w:rFonts w:ascii="Book Antiqua" w:hAnsi="Book Antiqua" w:cs="Arial"/>
        </w:rPr>
        <w:t>fter he says that his wife had left him a</w:t>
      </w:r>
      <w:r w:rsidRPr="00465A6D">
        <w:rPr>
          <w:rFonts w:ascii="Book Antiqua" w:hAnsi="Book Antiqua" w:cs="Arial"/>
        </w:rPr>
        <w:t>nd finding him not there.  They are not proof of anything other than apparent absence on the time of the visit</w:t>
      </w:r>
      <w:r w:rsidR="00E97643">
        <w:rPr>
          <w:rFonts w:ascii="Book Antiqua" w:hAnsi="Book Antiqua" w:cs="Arial"/>
        </w:rPr>
        <w:t>s</w:t>
      </w:r>
      <w:r w:rsidRPr="00465A6D">
        <w:rPr>
          <w:rFonts w:ascii="Book Antiqua" w:hAnsi="Book Antiqua" w:cs="Arial"/>
        </w:rPr>
        <w:t>.</w:t>
      </w:r>
    </w:p>
    <w:p w:rsidR="00465A6D" w:rsidRDefault="000A0D79"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 xml:space="preserve">The Secretary of State did make enquiries of HMRC and did produce evidence of the </w:t>
      </w:r>
      <w:r w:rsidR="00B911B6" w:rsidRPr="00465A6D">
        <w:rPr>
          <w:rFonts w:ascii="Book Antiqua" w:hAnsi="Book Antiqua" w:cs="Arial"/>
        </w:rPr>
        <w:t>claimant’s</w:t>
      </w:r>
      <w:r w:rsidRPr="00465A6D">
        <w:rPr>
          <w:rFonts w:ascii="Book Antiqua" w:hAnsi="Book Antiqua" w:cs="Arial"/>
        </w:rPr>
        <w:t xml:space="preserve"> wife’s tax records and these show declarations of tax on a modest income, not sufficient to attract an obligation to pay tax in the tax years ending in April 2013, 2014, 2015 and incurring </w:t>
      </w:r>
      <w:r w:rsidR="00F40592" w:rsidRPr="00465A6D">
        <w:rPr>
          <w:rFonts w:ascii="Book Antiqua" w:hAnsi="Book Antiqua" w:cs="Arial"/>
        </w:rPr>
        <w:t>P</w:t>
      </w:r>
      <w:r w:rsidRPr="00465A6D">
        <w:rPr>
          <w:rFonts w:ascii="Book Antiqua" w:hAnsi="Book Antiqua" w:cs="Arial"/>
        </w:rPr>
        <w:t xml:space="preserve">ay </w:t>
      </w:r>
      <w:r w:rsidR="00F40592" w:rsidRPr="00465A6D">
        <w:rPr>
          <w:rFonts w:ascii="Book Antiqua" w:hAnsi="Book Antiqua" w:cs="Arial"/>
        </w:rPr>
        <w:t>A</w:t>
      </w:r>
      <w:r w:rsidRPr="00465A6D">
        <w:rPr>
          <w:rFonts w:ascii="Book Antiqua" w:hAnsi="Book Antiqua" w:cs="Arial"/>
        </w:rPr>
        <w:t xml:space="preserve">s </w:t>
      </w:r>
      <w:r w:rsidR="00F40592" w:rsidRPr="00465A6D">
        <w:rPr>
          <w:rFonts w:ascii="Book Antiqua" w:hAnsi="Book Antiqua" w:cs="Arial"/>
        </w:rPr>
        <w:t>Y</w:t>
      </w:r>
      <w:r w:rsidRPr="00465A6D">
        <w:rPr>
          <w:rFonts w:ascii="Book Antiqua" w:hAnsi="Book Antiqua" w:cs="Arial"/>
        </w:rPr>
        <w:t xml:space="preserve">ou </w:t>
      </w:r>
      <w:r w:rsidR="00F40592" w:rsidRPr="00465A6D">
        <w:rPr>
          <w:rFonts w:ascii="Book Antiqua" w:hAnsi="Book Antiqua" w:cs="Arial"/>
        </w:rPr>
        <w:t>E</w:t>
      </w:r>
      <w:r w:rsidRPr="00465A6D">
        <w:rPr>
          <w:rFonts w:ascii="Book Antiqua" w:hAnsi="Book Antiqua" w:cs="Arial"/>
        </w:rPr>
        <w:t>arn tax in the tax years ending 2015, 2016, 2017 and that is all.</w:t>
      </w:r>
    </w:p>
    <w:p w:rsidR="00E97643" w:rsidRDefault="00DE3A89"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 xml:space="preserve">The evidence of cohabitation is skimpy.  In his statement the claimant said that he applied for a residence card in August 2016.  He said that he and his wife gave notice of intention to marry in August 2012 and that his wife started to live “at the home address” in January 2012 and continued to live there until August 2012 when they gave notice of intention to marry.  The claimant then moved to the house and cohabitation began.  </w:t>
      </w:r>
      <w:r w:rsidR="00EA7BB7" w:rsidRPr="00465A6D">
        <w:rPr>
          <w:rFonts w:ascii="Book Antiqua" w:hAnsi="Book Antiqua" w:cs="Arial"/>
        </w:rPr>
        <w:t xml:space="preserve">Clearly there is a marked inconsistency between the tax records produced by the Secretary of State and the very short period of time in which the claimant’s wife lived in the United Kingdom according to the airport records which were not produced.  The </w:t>
      </w:r>
      <w:r w:rsidR="00162030" w:rsidRPr="00465A6D">
        <w:rPr>
          <w:rFonts w:ascii="Book Antiqua" w:hAnsi="Book Antiqua" w:cs="Arial"/>
        </w:rPr>
        <w:t>claimant’s</w:t>
      </w:r>
      <w:r w:rsidR="00EA7BB7" w:rsidRPr="00465A6D">
        <w:rPr>
          <w:rFonts w:ascii="Book Antiqua" w:hAnsi="Book Antiqua" w:cs="Arial"/>
        </w:rPr>
        <w:t xml:space="preserve"> statement included a claim that they had chosen to marry and commence cohabitation but the marriage did not work.</w:t>
      </w:r>
    </w:p>
    <w:p w:rsidR="00465A6D" w:rsidRDefault="00EA7BB7" w:rsidP="00465A6D">
      <w:pPr>
        <w:pStyle w:val="ListParagraph"/>
        <w:numPr>
          <w:ilvl w:val="0"/>
          <w:numId w:val="2"/>
        </w:numPr>
        <w:tabs>
          <w:tab w:val="left" w:pos="567"/>
        </w:tabs>
        <w:spacing w:before="120"/>
        <w:ind w:left="0"/>
        <w:contextualSpacing w:val="0"/>
        <w:jc w:val="both"/>
        <w:rPr>
          <w:rFonts w:ascii="Book Antiqua" w:hAnsi="Book Antiqua" w:cs="Arial"/>
        </w:rPr>
      </w:pPr>
      <w:r w:rsidRPr="00465A6D">
        <w:rPr>
          <w:rFonts w:ascii="Book Antiqua" w:hAnsi="Book Antiqua" w:cs="Arial"/>
        </w:rPr>
        <w:t xml:space="preserve">The judge’s notes of evidence are typed and are clear.  These show that the </w:t>
      </w:r>
      <w:r w:rsidR="00162030" w:rsidRPr="00465A6D">
        <w:rPr>
          <w:rFonts w:ascii="Book Antiqua" w:hAnsi="Book Antiqua" w:cs="Arial"/>
        </w:rPr>
        <w:t xml:space="preserve">claimant </w:t>
      </w:r>
      <w:r w:rsidRPr="00465A6D">
        <w:rPr>
          <w:rFonts w:ascii="Book Antiqua" w:hAnsi="Book Antiqua" w:cs="Arial"/>
        </w:rPr>
        <w:t>gave evidence and adopted his statement.  He said that his ex-wife moved out of the house they shared together in 2016</w:t>
      </w:r>
      <w:r w:rsidR="002709A1" w:rsidRPr="00465A6D">
        <w:rPr>
          <w:rFonts w:ascii="Book Antiqua" w:hAnsi="Book Antiqua" w:cs="Arial"/>
        </w:rPr>
        <w:t xml:space="preserve"> in January before the divorce.  Some documents were sent to her after that time but they were redirected.  </w:t>
      </w:r>
      <w:r w:rsidR="00732C37" w:rsidRPr="00465A6D">
        <w:rPr>
          <w:rFonts w:ascii="Book Antiqua" w:hAnsi="Book Antiqua" w:cs="Arial"/>
        </w:rPr>
        <w:t>He was quizzed about the documents that had been provided.  He said that they had lived together at 129 Trinity Road from sometime in 2012 to March 2014.  He could not explain why pay slips in February and March showed that she still lived at the Trinity Road address [that is January, February, March 2016].</w:t>
      </w:r>
    </w:p>
    <w:p w:rsidR="0073683A" w:rsidRDefault="00BB5AA9" w:rsidP="00465A6D">
      <w:pPr>
        <w:pStyle w:val="ListParagraph"/>
        <w:numPr>
          <w:ilvl w:val="0"/>
          <w:numId w:val="2"/>
        </w:numPr>
        <w:tabs>
          <w:tab w:val="left" w:pos="567"/>
        </w:tabs>
        <w:spacing w:before="120"/>
        <w:ind w:left="0"/>
        <w:contextualSpacing w:val="0"/>
        <w:jc w:val="both"/>
        <w:rPr>
          <w:rFonts w:ascii="Book Antiqua" w:hAnsi="Book Antiqua" w:cs="Arial"/>
        </w:rPr>
      </w:pPr>
      <w:r w:rsidRPr="0073683A">
        <w:rPr>
          <w:rFonts w:ascii="Book Antiqua" w:hAnsi="Book Antiqua" w:cs="Arial"/>
        </w:rPr>
        <w:t xml:space="preserve">The grounds and Mr Tarlow were particularly critical of the First-tier Tribunal Judge for not engaging with the requirement </w:t>
      </w:r>
      <w:r w:rsidR="00717DC1" w:rsidRPr="0073683A">
        <w:rPr>
          <w:rFonts w:ascii="Book Antiqua" w:hAnsi="Book Antiqua" w:cs="Arial"/>
        </w:rPr>
        <w:t>in</w:t>
      </w:r>
      <w:r w:rsidRPr="0073683A">
        <w:rPr>
          <w:rFonts w:ascii="Book Antiqua" w:hAnsi="Book Antiqua" w:cs="Arial"/>
        </w:rPr>
        <w:t xml:space="preserve"> the Rules that there be twelve months’ cohabitation after the marriage.  </w:t>
      </w:r>
      <w:r w:rsidR="00C8367D" w:rsidRPr="0073683A">
        <w:rPr>
          <w:rFonts w:ascii="Book Antiqua" w:hAnsi="Book Antiqua" w:cs="Arial"/>
        </w:rPr>
        <w:t xml:space="preserve">Certainly there is no detailed consideration of that requirement of the Rule or the evidence that shows that it was satisfied.  However the note of the oral evidence shows that the </w:t>
      </w:r>
      <w:r w:rsidR="00162030" w:rsidRPr="0073683A">
        <w:rPr>
          <w:rFonts w:ascii="Book Antiqua" w:hAnsi="Book Antiqua" w:cs="Arial"/>
        </w:rPr>
        <w:t xml:space="preserve">claimant </w:t>
      </w:r>
      <w:r w:rsidR="00C8367D" w:rsidRPr="0073683A">
        <w:rPr>
          <w:rFonts w:ascii="Book Antiqua" w:hAnsi="Book Antiqua" w:cs="Arial"/>
        </w:rPr>
        <w:t xml:space="preserve">did marry on 15 August 2012 and separated in January 2016 and in answers to questions in cross-examination </w:t>
      </w:r>
      <w:r w:rsidR="00FE23D9">
        <w:rPr>
          <w:rFonts w:ascii="Book Antiqua" w:hAnsi="Book Antiqua" w:cs="Arial"/>
        </w:rPr>
        <w:t xml:space="preserve">the claimant </w:t>
      </w:r>
      <w:r w:rsidR="00C8367D" w:rsidRPr="0073683A">
        <w:rPr>
          <w:rFonts w:ascii="Book Antiqua" w:hAnsi="Book Antiqua" w:cs="Arial"/>
        </w:rPr>
        <w:t xml:space="preserve">clearly claimed to have lived with his wife throughout 2013.  It was not put to the witness that he had not lived with his wife </w:t>
      </w:r>
      <w:r w:rsidR="00C8367D" w:rsidRPr="0073683A">
        <w:rPr>
          <w:rFonts w:ascii="Book Antiqua" w:hAnsi="Book Antiqua" w:cs="Arial"/>
        </w:rPr>
        <w:lastRenderedPageBreak/>
        <w:t xml:space="preserve">throughout 2013 and the fact is the judge was presented with oral evidence of cohabitation that was not challenged.  It would have been better if he had made this point himself in the decision and reasons but the evidence was there and was clearly accepted and against this background the Secretary of State’s complaints start to look less impressive.  </w:t>
      </w:r>
      <w:r w:rsidR="004D1A65" w:rsidRPr="0073683A">
        <w:rPr>
          <w:rFonts w:ascii="Book Antiqua" w:hAnsi="Book Antiqua" w:cs="Arial"/>
        </w:rPr>
        <w:t>Both the Secretary of State in the refusal letter and the judge were, to some extent, critical of the quality of documents provided by the claimant but they were disclosed and the Secretary of State could have checked and appears not to have done.</w:t>
      </w:r>
    </w:p>
    <w:p w:rsidR="0073683A" w:rsidRDefault="004D1A65" w:rsidP="00465A6D">
      <w:pPr>
        <w:pStyle w:val="ListParagraph"/>
        <w:numPr>
          <w:ilvl w:val="0"/>
          <w:numId w:val="2"/>
        </w:numPr>
        <w:tabs>
          <w:tab w:val="left" w:pos="567"/>
        </w:tabs>
        <w:spacing w:before="120"/>
        <w:ind w:left="0"/>
        <w:contextualSpacing w:val="0"/>
        <w:jc w:val="both"/>
        <w:rPr>
          <w:rFonts w:ascii="Book Antiqua" w:hAnsi="Book Antiqua" w:cs="Arial"/>
        </w:rPr>
      </w:pPr>
      <w:r w:rsidRPr="0073683A">
        <w:rPr>
          <w:rFonts w:ascii="Book Antiqua" w:hAnsi="Book Antiqua" w:cs="Arial"/>
        </w:rPr>
        <w:t>This is not an entirely satisfactory decision and reasons.  Having criticised the Secretary of State the judge expressed the view that he was “left in the position that there is no option but to find for the [claimant]”.  That is not right.  However it is clear that the judge had unchallenged evidence which made out the claimant’s case.  In the circumstances I am not able to say that the First-tier Tribunal has reached the decision that was not open to it or has given unlawful reasons for reaching the decision.</w:t>
      </w:r>
    </w:p>
    <w:p w:rsidR="00B911B6" w:rsidRDefault="00FE23D9" w:rsidP="00FE23D9">
      <w:pPr>
        <w:pStyle w:val="ListParagraph"/>
        <w:numPr>
          <w:ilvl w:val="0"/>
          <w:numId w:val="2"/>
        </w:numPr>
        <w:tabs>
          <w:tab w:val="left" w:pos="567"/>
        </w:tabs>
        <w:spacing w:before="120"/>
        <w:ind w:left="0"/>
        <w:contextualSpacing w:val="0"/>
        <w:jc w:val="both"/>
        <w:rPr>
          <w:rFonts w:ascii="Book Antiqua" w:hAnsi="Book Antiqua" w:cs="Arial"/>
        </w:rPr>
      </w:pPr>
      <w:r w:rsidRPr="00FE23D9">
        <w:rPr>
          <w:rFonts w:ascii="Century Schoolbook" w:hAnsi="Century Schoolbook" w:cs="Arial"/>
          <w:b/>
          <w:noProof/>
          <w:color w:val="000000"/>
          <w:highlight w:val="yellow"/>
          <w:u w:val="single"/>
        </w:rPr>
        <w:drawing>
          <wp:anchor distT="0" distB="0" distL="114300" distR="114300" simplePos="0" relativeHeight="251659264" behindDoc="1" locked="0" layoutInCell="1" allowOverlap="1" wp14:anchorId="1202623C" wp14:editId="7F45726A">
            <wp:simplePos x="0" y="0"/>
            <wp:positionH relativeFrom="column">
              <wp:posOffset>2020070</wp:posOffset>
            </wp:positionH>
            <wp:positionV relativeFrom="paragraph">
              <wp:posOffset>445108</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4D1A65" w:rsidRPr="0073683A">
        <w:rPr>
          <w:rFonts w:ascii="Book Antiqua" w:hAnsi="Book Antiqua" w:cs="Arial"/>
        </w:rPr>
        <w:t xml:space="preserve">Read carefully this is a case of the judge believing the evidence </w:t>
      </w:r>
      <w:r w:rsidR="00FB7101" w:rsidRPr="0073683A">
        <w:rPr>
          <w:rFonts w:ascii="Book Antiqua" w:hAnsi="Book Antiqua" w:cs="Arial"/>
        </w:rPr>
        <w:t>given</w:t>
      </w:r>
      <w:r w:rsidR="004D1A65" w:rsidRPr="0073683A">
        <w:rPr>
          <w:rFonts w:ascii="Book Antiqua" w:hAnsi="Book Antiqua" w:cs="Arial"/>
        </w:rPr>
        <w:t xml:space="preserve"> orally by the claimant and that is not an error of law.  It follows therefore that I dismiss the Secretary of State’s appeal </w:t>
      </w:r>
      <w:r w:rsidR="00B911B6" w:rsidRPr="0073683A">
        <w:rPr>
          <w:rFonts w:ascii="Book Antiqua" w:hAnsi="Book Antiqua" w:cs="Arial"/>
        </w:rPr>
        <w:t>against</w:t>
      </w:r>
      <w:r w:rsidR="004D1A65" w:rsidRPr="0073683A">
        <w:rPr>
          <w:rFonts w:ascii="Book Antiqua" w:hAnsi="Book Antiqua" w:cs="Arial"/>
        </w:rPr>
        <w:t xml:space="preserve"> </w:t>
      </w:r>
      <w:r w:rsidR="00B911B6" w:rsidRPr="0073683A">
        <w:rPr>
          <w:rFonts w:ascii="Book Antiqua" w:hAnsi="Book Antiqua" w:cs="Arial"/>
        </w:rPr>
        <w:t>the</w:t>
      </w:r>
      <w:r w:rsidR="004D1A65" w:rsidRPr="0073683A">
        <w:rPr>
          <w:rFonts w:ascii="Book Antiqua" w:hAnsi="Book Antiqua" w:cs="Arial"/>
        </w:rPr>
        <w:t xml:space="preserve"> First-tier Tribunals decision.  </w:t>
      </w:r>
    </w:p>
    <w:p w:rsidR="00FE23D9" w:rsidRDefault="00FE23D9" w:rsidP="005E4B29">
      <w:pPr>
        <w:spacing w:before="120"/>
        <w:jc w:val="both"/>
        <w:rPr>
          <w:rFonts w:ascii="Book Antiqua" w:hAnsi="Book Antiqua" w:cs="Arial"/>
          <w:b/>
          <w:highlight w:val="yellow"/>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E23D9" w:rsidTr="00FE23D9">
        <w:tc>
          <w:tcPr>
            <w:tcW w:w="4814" w:type="dxa"/>
          </w:tcPr>
          <w:p w:rsidR="00FE23D9" w:rsidRDefault="00FE23D9" w:rsidP="007C38B5">
            <w:pPr>
              <w:jc w:val="both"/>
              <w:rPr>
                <w:rFonts w:ascii="Book Antiqua" w:hAnsi="Book Antiqua" w:cs="Arial"/>
              </w:rPr>
            </w:pPr>
            <w:r>
              <w:rPr>
                <w:rFonts w:ascii="Book Antiqua" w:hAnsi="Book Antiqua" w:cs="Arial"/>
              </w:rPr>
              <w:t>Signed</w:t>
            </w:r>
          </w:p>
        </w:tc>
        <w:tc>
          <w:tcPr>
            <w:tcW w:w="4814" w:type="dxa"/>
          </w:tcPr>
          <w:p w:rsidR="00FE23D9" w:rsidRDefault="00FE23D9" w:rsidP="007C38B5">
            <w:pPr>
              <w:jc w:val="both"/>
              <w:rPr>
                <w:rFonts w:ascii="Book Antiqua" w:hAnsi="Book Antiqua" w:cs="Arial"/>
              </w:rPr>
            </w:pPr>
          </w:p>
        </w:tc>
      </w:tr>
      <w:tr w:rsidR="00FE23D9" w:rsidTr="00FE23D9">
        <w:tc>
          <w:tcPr>
            <w:tcW w:w="4814" w:type="dxa"/>
          </w:tcPr>
          <w:p w:rsidR="00FE23D9" w:rsidRDefault="00FE23D9" w:rsidP="007C38B5">
            <w:pPr>
              <w:jc w:val="both"/>
              <w:rPr>
                <w:rFonts w:ascii="Book Antiqua" w:hAnsi="Book Antiqua" w:cs="Arial"/>
              </w:rPr>
            </w:pPr>
            <w:r>
              <w:rPr>
                <w:rFonts w:ascii="Book Antiqua" w:hAnsi="Book Antiqua" w:cs="Arial"/>
              </w:rPr>
              <w:t>Jonathan Perkins</w:t>
            </w:r>
          </w:p>
        </w:tc>
        <w:tc>
          <w:tcPr>
            <w:tcW w:w="4814" w:type="dxa"/>
          </w:tcPr>
          <w:p w:rsidR="00FE23D9" w:rsidRDefault="00FE23D9" w:rsidP="007C38B5">
            <w:pPr>
              <w:jc w:val="both"/>
              <w:rPr>
                <w:rFonts w:ascii="Book Antiqua" w:hAnsi="Book Antiqua" w:cs="Arial"/>
              </w:rPr>
            </w:pPr>
          </w:p>
        </w:tc>
      </w:tr>
      <w:tr w:rsidR="00FE23D9" w:rsidTr="00FE23D9">
        <w:tc>
          <w:tcPr>
            <w:tcW w:w="4814" w:type="dxa"/>
          </w:tcPr>
          <w:p w:rsidR="00FE23D9" w:rsidRDefault="00FE23D9" w:rsidP="007C38B5">
            <w:pPr>
              <w:jc w:val="both"/>
              <w:rPr>
                <w:rFonts w:ascii="Book Antiqua" w:hAnsi="Book Antiqua" w:cs="Arial"/>
              </w:rPr>
            </w:pPr>
            <w:r>
              <w:rPr>
                <w:rFonts w:ascii="Book Antiqua" w:hAnsi="Book Antiqua" w:cs="Arial"/>
              </w:rPr>
              <w:t>Judge of the Upper Tribunal</w:t>
            </w:r>
          </w:p>
        </w:tc>
        <w:tc>
          <w:tcPr>
            <w:tcW w:w="4814" w:type="dxa"/>
          </w:tcPr>
          <w:p w:rsidR="00FE23D9" w:rsidRDefault="00FE23D9" w:rsidP="007C38B5">
            <w:pPr>
              <w:jc w:val="right"/>
              <w:rPr>
                <w:rFonts w:ascii="Book Antiqua" w:hAnsi="Book Antiqua" w:cs="Arial"/>
              </w:rPr>
            </w:pPr>
            <w:r>
              <w:rPr>
                <w:rFonts w:ascii="Book Antiqua" w:hAnsi="Book Antiqua" w:cs="Arial"/>
              </w:rPr>
              <w:t>Dated 12 September 2018</w:t>
            </w:r>
          </w:p>
        </w:tc>
      </w:tr>
    </w:tbl>
    <w:p w:rsidR="00FE23D9" w:rsidRDefault="00FE23D9" w:rsidP="005E4B29">
      <w:pPr>
        <w:spacing w:before="120"/>
        <w:jc w:val="both"/>
        <w:rPr>
          <w:rFonts w:ascii="Book Antiqua" w:hAnsi="Book Antiqua" w:cs="Arial"/>
        </w:rPr>
      </w:pPr>
    </w:p>
    <w:p w:rsidR="00FE23D9" w:rsidRPr="00FE23D9" w:rsidRDefault="00FE23D9" w:rsidP="00FE23D9">
      <w:pPr>
        <w:pStyle w:val="ListParagraph"/>
        <w:tabs>
          <w:tab w:val="left" w:pos="567"/>
        </w:tabs>
        <w:spacing w:before="120"/>
        <w:ind w:left="0"/>
        <w:contextualSpacing w:val="0"/>
        <w:jc w:val="both"/>
        <w:rPr>
          <w:rFonts w:ascii="Book Antiqua" w:hAnsi="Book Antiqua" w:cs="Arial"/>
        </w:rPr>
      </w:pPr>
    </w:p>
    <w:sectPr w:rsidR="00FE23D9" w:rsidRPr="00FE23D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D6D" w:rsidRDefault="00585D6D">
      <w:r>
        <w:separator/>
      </w:r>
    </w:p>
  </w:endnote>
  <w:endnote w:type="continuationSeparator" w:id="0">
    <w:p w:rsidR="00585D6D" w:rsidRDefault="0058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592" w:rsidRPr="00AC04A0" w:rsidRDefault="00F40592"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6A1900">
      <w:rPr>
        <w:rStyle w:val="PageNumber"/>
        <w:rFonts w:ascii="Book Antiqua" w:hAnsi="Book Antiqua" w:cs="Arial"/>
        <w:noProof/>
        <w:sz w:val="16"/>
        <w:szCs w:val="16"/>
      </w:rPr>
      <w:t>4</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592" w:rsidRPr="00AC04A0" w:rsidRDefault="00F40592" w:rsidP="00DE5E10">
    <w:pPr>
      <w:jc w:val="center"/>
      <w:rPr>
        <w:rFonts w:ascii="Book Antiqua" w:hAnsi="Book Antiqua" w:cs="Arial"/>
        <w:b/>
      </w:rPr>
    </w:pPr>
    <w:r w:rsidRPr="00AC04A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D6D" w:rsidRDefault="00585D6D">
      <w:r>
        <w:separator/>
      </w:r>
    </w:p>
  </w:footnote>
  <w:footnote w:type="continuationSeparator" w:id="0">
    <w:p w:rsidR="00585D6D" w:rsidRDefault="00585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592" w:rsidRPr="00AC04A0" w:rsidRDefault="00F40592" w:rsidP="00593795">
    <w:pPr>
      <w:pStyle w:val="Header"/>
      <w:jc w:val="right"/>
      <w:rPr>
        <w:rFonts w:ascii="Book Antiqua" w:hAnsi="Book Antiqua" w:cs="Arial"/>
        <w:sz w:val="16"/>
        <w:szCs w:val="16"/>
      </w:rPr>
    </w:pPr>
    <w:r w:rsidRPr="00AC04A0">
      <w:rPr>
        <w:rFonts w:ascii="Book Antiqua" w:hAnsi="Book Antiqua" w:cs="Arial"/>
        <w:sz w:val="16"/>
        <w:szCs w:val="16"/>
      </w:rPr>
      <w:t xml:space="preserve">Appeal Number: </w:t>
    </w:r>
    <w:r w:rsidRPr="00B61ECF">
      <w:rPr>
        <w:rFonts w:ascii="Book Antiqua" w:hAnsi="Book Antiqua" w:cs="Arial"/>
        <w:sz w:val="16"/>
        <w:szCs w:val="16"/>
      </w:rPr>
      <w:t>EA</w:t>
    </w:r>
    <w:r w:rsidR="00465A6D">
      <w:rPr>
        <w:rFonts w:ascii="Book Antiqua" w:hAnsi="Book Antiqua" w:cs="Arial"/>
        <w:sz w:val="16"/>
        <w:szCs w:val="16"/>
      </w:rPr>
      <w:t xml:space="preserve"> </w:t>
    </w:r>
    <w:r w:rsidRPr="00B61ECF">
      <w:rPr>
        <w:rFonts w:ascii="Book Antiqua" w:hAnsi="Book Antiqua" w:cs="Arial"/>
        <w:sz w:val="16"/>
        <w:szCs w:val="16"/>
      </w:rPr>
      <w:t>02113</w:t>
    </w:r>
    <w:r w:rsidR="00465A6D">
      <w:rPr>
        <w:rFonts w:ascii="Book Antiqua" w:hAnsi="Book Antiqua" w:cs="Arial"/>
        <w:sz w:val="16"/>
        <w:szCs w:val="16"/>
      </w:rPr>
      <w:t xml:space="preserve"> </w:t>
    </w:r>
    <w:r w:rsidRPr="00B61ECF">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592" w:rsidRPr="00AC04A0" w:rsidRDefault="00F40592">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81527"/>
    <w:multiLevelType w:val="hybridMultilevel"/>
    <w:tmpl w:val="B10EEA3A"/>
    <w:lvl w:ilvl="0" w:tplc="5BF8B920">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37F1E"/>
    <w:multiLevelType w:val="hybridMultilevel"/>
    <w:tmpl w:val="EA682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30"/>
    <w:rsid w:val="00000621"/>
    <w:rsid w:val="000036C2"/>
    <w:rsid w:val="000223C9"/>
    <w:rsid w:val="000225BC"/>
    <w:rsid w:val="00033D3D"/>
    <w:rsid w:val="00044B55"/>
    <w:rsid w:val="00061D6C"/>
    <w:rsid w:val="00062F02"/>
    <w:rsid w:val="00071A7E"/>
    <w:rsid w:val="000746C0"/>
    <w:rsid w:val="00074D1D"/>
    <w:rsid w:val="00084992"/>
    <w:rsid w:val="000875EA"/>
    <w:rsid w:val="00092580"/>
    <w:rsid w:val="00093D4D"/>
    <w:rsid w:val="000A0D79"/>
    <w:rsid w:val="000B2BA7"/>
    <w:rsid w:val="000B3442"/>
    <w:rsid w:val="000D5D94"/>
    <w:rsid w:val="000F064A"/>
    <w:rsid w:val="000F1A0E"/>
    <w:rsid w:val="001165A7"/>
    <w:rsid w:val="00127ECB"/>
    <w:rsid w:val="001554B5"/>
    <w:rsid w:val="00162030"/>
    <w:rsid w:val="00167D3A"/>
    <w:rsid w:val="00171434"/>
    <w:rsid w:val="001A3082"/>
    <w:rsid w:val="001B186A"/>
    <w:rsid w:val="001B2F75"/>
    <w:rsid w:val="001E13A7"/>
    <w:rsid w:val="001F2716"/>
    <w:rsid w:val="001F5024"/>
    <w:rsid w:val="00205F1D"/>
    <w:rsid w:val="00207617"/>
    <w:rsid w:val="00213859"/>
    <w:rsid w:val="00223251"/>
    <w:rsid w:val="0023134B"/>
    <w:rsid w:val="00243169"/>
    <w:rsid w:val="00245E38"/>
    <w:rsid w:val="00265840"/>
    <w:rsid w:val="002709A1"/>
    <w:rsid w:val="00283659"/>
    <w:rsid w:val="002A4371"/>
    <w:rsid w:val="002C0F46"/>
    <w:rsid w:val="002C6BD4"/>
    <w:rsid w:val="002D290A"/>
    <w:rsid w:val="002D3A8C"/>
    <w:rsid w:val="002D68BF"/>
    <w:rsid w:val="002E7586"/>
    <w:rsid w:val="002F0753"/>
    <w:rsid w:val="002F6B98"/>
    <w:rsid w:val="00336CBF"/>
    <w:rsid w:val="00343FE3"/>
    <w:rsid w:val="003546C8"/>
    <w:rsid w:val="003A7CF2"/>
    <w:rsid w:val="003C5CE5"/>
    <w:rsid w:val="003E267B"/>
    <w:rsid w:val="003E7CD1"/>
    <w:rsid w:val="003F1117"/>
    <w:rsid w:val="00402B9E"/>
    <w:rsid w:val="004249CB"/>
    <w:rsid w:val="0044127D"/>
    <w:rsid w:val="004448DB"/>
    <w:rsid w:val="00446C9A"/>
    <w:rsid w:val="00452F2B"/>
    <w:rsid w:val="00465A6D"/>
    <w:rsid w:val="00471BC4"/>
    <w:rsid w:val="004759F0"/>
    <w:rsid w:val="00477193"/>
    <w:rsid w:val="004A1848"/>
    <w:rsid w:val="004A3DDC"/>
    <w:rsid w:val="004A41A6"/>
    <w:rsid w:val="004A6F4A"/>
    <w:rsid w:val="004D1A65"/>
    <w:rsid w:val="004E0F3D"/>
    <w:rsid w:val="004E4717"/>
    <w:rsid w:val="00507FEC"/>
    <w:rsid w:val="00510F0E"/>
    <w:rsid w:val="00526E55"/>
    <w:rsid w:val="00537F23"/>
    <w:rsid w:val="005479E1"/>
    <w:rsid w:val="00553E0A"/>
    <w:rsid w:val="005570FD"/>
    <w:rsid w:val="005575EA"/>
    <w:rsid w:val="00562F7A"/>
    <w:rsid w:val="0057790C"/>
    <w:rsid w:val="00585D6D"/>
    <w:rsid w:val="00593795"/>
    <w:rsid w:val="005A75FF"/>
    <w:rsid w:val="005C5DE1"/>
    <w:rsid w:val="005D10AB"/>
    <w:rsid w:val="005D737D"/>
    <w:rsid w:val="005E6B70"/>
    <w:rsid w:val="005F10EC"/>
    <w:rsid w:val="00601D8F"/>
    <w:rsid w:val="00607D3E"/>
    <w:rsid w:val="00642B91"/>
    <w:rsid w:val="00645A84"/>
    <w:rsid w:val="00653E97"/>
    <w:rsid w:val="006701F7"/>
    <w:rsid w:val="00684A74"/>
    <w:rsid w:val="00690B8A"/>
    <w:rsid w:val="006A1900"/>
    <w:rsid w:val="006E44BD"/>
    <w:rsid w:val="006F2CF1"/>
    <w:rsid w:val="007038ED"/>
    <w:rsid w:val="00703BC3"/>
    <w:rsid w:val="00704B61"/>
    <w:rsid w:val="00705434"/>
    <w:rsid w:val="00717DC1"/>
    <w:rsid w:val="00725472"/>
    <w:rsid w:val="00732C37"/>
    <w:rsid w:val="0073683A"/>
    <w:rsid w:val="007552A9"/>
    <w:rsid w:val="00756090"/>
    <w:rsid w:val="00761858"/>
    <w:rsid w:val="0076727C"/>
    <w:rsid w:val="00767D59"/>
    <w:rsid w:val="00776E97"/>
    <w:rsid w:val="00780F86"/>
    <w:rsid w:val="007912AD"/>
    <w:rsid w:val="007A0B84"/>
    <w:rsid w:val="007A0B88"/>
    <w:rsid w:val="007B0824"/>
    <w:rsid w:val="007B5D3C"/>
    <w:rsid w:val="007B74C8"/>
    <w:rsid w:val="007F2A46"/>
    <w:rsid w:val="00806249"/>
    <w:rsid w:val="00816114"/>
    <w:rsid w:val="00821B72"/>
    <w:rsid w:val="00823EF2"/>
    <w:rsid w:val="008303B8"/>
    <w:rsid w:val="00833DCE"/>
    <w:rsid w:val="00851D4F"/>
    <w:rsid w:val="00871D34"/>
    <w:rsid w:val="008A3898"/>
    <w:rsid w:val="008B270C"/>
    <w:rsid w:val="008B5078"/>
    <w:rsid w:val="008C3D3D"/>
    <w:rsid w:val="008D4131"/>
    <w:rsid w:val="008F1932"/>
    <w:rsid w:val="00921062"/>
    <w:rsid w:val="00940AF0"/>
    <w:rsid w:val="00951C5A"/>
    <w:rsid w:val="00957B0F"/>
    <w:rsid w:val="0096040C"/>
    <w:rsid w:val="009722BC"/>
    <w:rsid w:val="009727A3"/>
    <w:rsid w:val="00980711"/>
    <w:rsid w:val="00983F46"/>
    <w:rsid w:val="00987774"/>
    <w:rsid w:val="0099069C"/>
    <w:rsid w:val="009A11E8"/>
    <w:rsid w:val="009D557B"/>
    <w:rsid w:val="009F14B8"/>
    <w:rsid w:val="009F5220"/>
    <w:rsid w:val="00A15234"/>
    <w:rsid w:val="00A201AB"/>
    <w:rsid w:val="00A31C8B"/>
    <w:rsid w:val="00A509FA"/>
    <w:rsid w:val="00A71C11"/>
    <w:rsid w:val="00A842AA"/>
    <w:rsid w:val="00A845DC"/>
    <w:rsid w:val="00AC04A0"/>
    <w:rsid w:val="00AC5B0D"/>
    <w:rsid w:val="00B01D90"/>
    <w:rsid w:val="00B11E54"/>
    <w:rsid w:val="00B26AA2"/>
    <w:rsid w:val="00B26FDA"/>
    <w:rsid w:val="00B315A7"/>
    <w:rsid w:val="00B3524D"/>
    <w:rsid w:val="00B40F69"/>
    <w:rsid w:val="00B46616"/>
    <w:rsid w:val="00B57AE9"/>
    <w:rsid w:val="00B61ECF"/>
    <w:rsid w:val="00B7040A"/>
    <w:rsid w:val="00B83391"/>
    <w:rsid w:val="00B911B6"/>
    <w:rsid w:val="00B91640"/>
    <w:rsid w:val="00B95326"/>
    <w:rsid w:val="00BA4811"/>
    <w:rsid w:val="00BB5AA9"/>
    <w:rsid w:val="00BD4196"/>
    <w:rsid w:val="00BF22CA"/>
    <w:rsid w:val="00BF23BB"/>
    <w:rsid w:val="00C04DBC"/>
    <w:rsid w:val="00C2080F"/>
    <w:rsid w:val="00C26032"/>
    <w:rsid w:val="00C345E1"/>
    <w:rsid w:val="00C34DB0"/>
    <w:rsid w:val="00C43BFD"/>
    <w:rsid w:val="00C43E5A"/>
    <w:rsid w:val="00C57AB5"/>
    <w:rsid w:val="00C8367D"/>
    <w:rsid w:val="00C93356"/>
    <w:rsid w:val="00CA050F"/>
    <w:rsid w:val="00CB6E35"/>
    <w:rsid w:val="00CB73DE"/>
    <w:rsid w:val="00CC2549"/>
    <w:rsid w:val="00CC6354"/>
    <w:rsid w:val="00CD3D3A"/>
    <w:rsid w:val="00CE1A46"/>
    <w:rsid w:val="00CE456F"/>
    <w:rsid w:val="00D20757"/>
    <w:rsid w:val="00D22636"/>
    <w:rsid w:val="00D2612B"/>
    <w:rsid w:val="00D27637"/>
    <w:rsid w:val="00D40FD9"/>
    <w:rsid w:val="00D53769"/>
    <w:rsid w:val="00D74629"/>
    <w:rsid w:val="00D8280B"/>
    <w:rsid w:val="00D85C13"/>
    <w:rsid w:val="00D9111A"/>
    <w:rsid w:val="00D91BE3"/>
    <w:rsid w:val="00D94AFC"/>
    <w:rsid w:val="00DB70AE"/>
    <w:rsid w:val="00DC2238"/>
    <w:rsid w:val="00DD5071"/>
    <w:rsid w:val="00DD5C39"/>
    <w:rsid w:val="00DE3A89"/>
    <w:rsid w:val="00DE5E10"/>
    <w:rsid w:val="00DE7DB7"/>
    <w:rsid w:val="00E00A0A"/>
    <w:rsid w:val="00E066DE"/>
    <w:rsid w:val="00E07F57"/>
    <w:rsid w:val="00E30683"/>
    <w:rsid w:val="00E453D8"/>
    <w:rsid w:val="00E50BCE"/>
    <w:rsid w:val="00E574BF"/>
    <w:rsid w:val="00E61292"/>
    <w:rsid w:val="00E7529C"/>
    <w:rsid w:val="00E77C4D"/>
    <w:rsid w:val="00E81D01"/>
    <w:rsid w:val="00E972C5"/>
    <w:rsid w:val="00E97643"/>
    <w:rsid w:val="00EA7BB7"/>
    <w:rsid w:val="00EE45D8"/>
    <w:rsid w:val="00F06987"/>
    <w:rsid w:val="00F22EDA"/>
    <w:rsid w:val="00F40592"/>
    <w:rsid w:val="00F41C53"/>
    <w:rsid w:val="00F93DF8"/>
    <w:rsid w:val="00FB7101"/>
    <w:rsid w:val="00FD1930"/>
    <w:rsid w:val="00FE23D9"/>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6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1767</Words>
  <Characters>8466</Characters>
  <Application>Microsoft Office Word</Application>
  <DocSecurity>0</DocSecurity>
  <Lines>70</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2018-10-03T10:43:00Z</dcterms:created>
  <dcterms:modified xsi:type="dcterms:W3CDTF">2018-10-03T10:44:00Z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