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D5E37" w14:textId="77777777" w:rsidR="00B705D9" w:rsidRPr="002D5966" w:rsidRDefault="004308F8" w:rsidP="00C321B5">
      <w:pPr>
        <w:jc w:val="center"/>
        <w:rPr>
          <w:rFonts w:ascii="Book Antiqua" w:hAnsi="Book Antiqua" w:cs="Arial"/>
          <w:sz w:val="16"/>
          <w:szCs w:val="16"/>
        </w:rPr>
      </w:pPr>
      <w:r w:rsidRPr="002D5966">
        <w:rPr>
          <w:noProof/>
          <w:sz w:val="16"/>
          <w:szCs w:val="16"/>
        </w:rPr>
        <w:drawing>
          <wp:inline distT="0" distB="0" distL="0" distR="0" wp14:anchorId="105FD93B" wp14:editId="481D5C2A">
            <wp:extent cx="10312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1240" cy="906780"/>
                    </a:xfrm>
                    <a:prstGeom prst="rect">
                      <a:avLst/>
                    </a:prstGeom>
                    <a:noFill/>
                    <a:ln>
                      <a:noFill/>
                    </a:ln>
                  </pic:spPr>
                </pic:pic>
              </a:graphicData>
            </a:graphic>
          </wp:inline>
        </w:drawing>
      </w:r>
    </w:p>
    <w:p w14:paraId="69844E60" w14:textId="77777777" w:rsidR="00B705D9" w:rsidRPr="002D5966" w:rsidRDefault="00B705D9">
      <w:pPr>
        <w:rPr>
          <w:rFonts w:ascii="Book Antiqua" w:hAnsi="Book Antiqua" w:cs="Arial"/>
          <w:sz w:val="16"/>
          <w:szCs w:val="16"/>
        </w:rPr>
      </w:pPr>
      <w:r w:rsidRPr="002D5966">
        <w:rPr>
          <w:rFonts w:ascii="Book Antiqua" w:hAnsi="Book Antiqua" w:cs="Arial"/>
          <w:sz w:val="16"/>
          <w:szCs w:val="16"/>
        </w:rPr>
        <w:t>IAC-AH-</w:t>
      </w:r>
      <w:r w:rsidR="00534E2A" w:rsidRPr="002D5966">
        <w:rPr>
          <w:rFonts w:ascii="Book Antiqua" w:hAnsi="Book Antiqua" w:cs="Arial"/>
          <w:caps/>
          <w:sz w:val="16"/>
          <w:szCs w:val="16"/>
        </w:rPr>
        <w:t>SC</w:t>
      </w:r>
      <w:r w:rsidRPr="002D5966">
        <w:rPr>
          <w:rFonts w:ascii="Book Antiqua" w:hAnsi="Book Antiqua" w:cs="Arial"/>
          <w:sz w:val="16"/>
          <w:szCs w:val="16"/>
        </w:rPr>
        <w:t>-V1</w:t>
      </w:r>
    </w:p>
    <w:p w14:paraId="13BFB662" w14:textId="77777777" w:rsidR="00B705D9" w:rsidRPr="002D5966" w:rsidRDefault="00B705D9">
      <w:pPr>
        <w:rPr>
          <w:rFonts w:ascii="Book Antiqua" w:hAnsi="Book Antiqua" w:cs="Arial"/>
          <w:sz w:val="16"/>
          <w:szCs w:val="16"/>
        </w:rPr>
      </w:pPr>
    </w:p>
    <w:p w14:paraId="3CC48A98" w14:textId="77777777" w:rsidR="00B705D9" w:rsidRPr="00F5664C" w:rsidRDefault="00B705D9" w:rsidP="00B626FA">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14:paraId="5B05BD83" w14:textId="77777777" w:rsidR="00B705D9" w:rsidRPr="00F5664C" w:rsidRDefault="00B705D9" w:rsidP="00B626FA">
      <w:pPr>
        <w:tabs>
          <w:tab w:val="right" w:pos="9639"/>
        </w:tabs>
        <w:rPr>
          <w:rFonts w:ascii="Book Antiqua" w:hAnsi="Book Antiqua" w:cs="Arial"/>
        </w:rPr>
      </w:pPr>
      <w:r w:rsidRPr="00F5664C">
        <w:rPr>
          <w:rFonts w:ascii="Book Antiqua" w:hAnsi="Book Antiqua" w:cs="Arial"/>
          <w:b/>
        </w:rPr>
        <w:t>(Immigration and Asylum Chamber)</w:t>
      </w:r>
      <w:r w:rsidRPr="00F5664C">
        <w:rPr>
          <w:rFonts w:ascii="Book Antiqua" w:hAnsi="Book Antiqua" w:cs="Arial"/>
          <w:b/>
        </w:rPr>
        <w:tab/>
      </w:r>
      <w:r w:rsidRPr="00F5664C">
        <w:rPr>
          <w:rFonts w:ascii="Book Antiqua" w:hAnsi="Book Antiqua" w:cs="Arial"/>
        </w:rPr>
        <w:t xml:space="preserve">Appeal Number: </w:t>
      </w:r>
      <w:bookmarkStart w:id="0" w:name="_GoBack"/>
      <w:r w:rsidR="00534E2A">
        <w:rPr>
          <w:rFonts w:ascii="Book Antiqua" w:hAnsi="Book Antiqua" w:cs="Arial"/>
          <w:caps/>
        </w:rPr>
        <w:t>EA/02235/2017</w:t>
      </w:r>
      <w:bookmarkEnd w:id="0"/>
    </w:p>
    <w:p w14:paraId="064431B2" w14:textId="77777777" w:rsidR="00B705D9" w:rsidRPr="00F5664C" w:rsidRDefault="00B705D9" w:rsidP="00C345E1">
      <w:pPr>
        <w:jc w:val="center"/>
        <w:rPr>
          <w:rFonts w:ascii="Book Antiqua" w:hAnsi="Book Antiqua" w:cs="Arial"/>
        </w:rPr>
      </w:pPr>
    </w:p>
    <w:p w14:paraId="01332ABF" w14:textId="77777777" w:rsidR="00B705D9" w:rsidRPr="00F5664C" w:rsidRDefault="00B705D9" w:rsidP="00C345E1">
      <w:pPr>
        <w:jc w:val="center"/>
        <w:rPr>
          <w:rFonts w:ascii="Book Antiqua" w:hAnsi="Book Antiqua" w:cs="Arial"/>
        </w:rPr>
      </w:pPr>
    </w:p>
    <w:p w14:paraId="22FB93E4" w14:textId="77777777" w:rsidR="00B705D9" w:rsidRPr="00F5664C" w:rsidRDefault="00B705D9" w:rsidP="00C345E1">
      <w:pPr>
        <w:jc w:val="center"/>
        <w:rPr>
          <w:rFonts w:ascii="Book Antiqua" w:hAnsi="Book Antiqua" w:cs="Arial"/>
          <w:b/>
          <w:u w:val="single"/>
        </w:rPr>
      </w:pPr>
      <w:r w:rsidRPr="00F5664C">
        <w:rPr>
          <w:rFonts w:ascii="Book Antiqua" w:hAnsi="Book Antiqua" w:cs="Arial"/>
          <w:b/>
          <w:u w:val="single"/>
        </w:rPr>
        <w:t>THE IMMIGRATION ACTS</w:t>
      </w:r>
    </w:p>
    <w:p w14:paraId="286555A4" w14:textId="77777777" w:rsidR="00B705D9" w:rsidRPr="00F5664C" w:rsidRDefault="00B705D9" w:rsidP="00C345E1">
      <w:pPr>
        <w:jc w:val="center"/>
        <w:rPr>
          <w:rFonts w:ascii="Book Antiqua" w:hAnsi="Book Antiqua" w:cs="Arial"/>
          <w:b/>
          <w:u w:val="single"/>
        </w:rPr>
      </w:pPr>
    </w:p>
    <w:p w14:paraId="52934251" w14:textId="77777777" w:rsidR="00B705D9" w:rsidRPr="00F5664C" w:rsidRDefault="00B705D9"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B705D9" w:rsidRPr="00F5664C" w14:paraId="59DF32E1" w14:textId="77777777" w:rsidTr="00321493">
        <w:tc>
          <w:tcPr>
            <w:tcW w:w="6048" w:type="dxa"/>
          </w:tcPr>
          <w:p w14:paraId="7663F56D" w14:textId="77777777" w:rsidR="00B705D9" w:rsidRPr="00321493" w:rsidRDefault="00B705D9" w:rsidP="00321493">
            <w:pPr>
              <w:jc w:val="both"/>
              <w:rPr>
                <w:rFonts w:ascii="Book Antiqua" w:hAnsi="Book Antiqua" w:cs="Arial"/>
                <w:b/>
              </w:rPr>
            </w:pPr>
            <w:r w:rsidRPr="00321493">
              <w:rPr>
                <w:rFonts w:ascii="Book Antiqua" w:hAnsi="Book Antiqua" w:cs="Arial"/>
                <w:b/>
              </w:rPr>
              <w:t>Heard at Field House</w:t>
            </w:r>
          </w:p>
        </w:tc>
        <w:tc>
          <w:tcPr>
            <w:tcW w:w="3960" w:type="dxa"/>
          </w:tcPr>
          <w:p w14:paraId="73CB5094" w14:textId="77777777" w:rsidR="00B705D9" w:rsidRPr="00321493" w:rsidRDefault="00B705D9" w:rsidP="00321493">
            <w:pPr>
              <w:jc w:val="both"/>
              <w:rPr>
                <w:rFonts w:ascii="Book Antiqua" w:hAnsi="Book Antiqua" w:cs="Arial"/>
                <w:b/>
              </w:rPr>
            </w:pPr>
            <w:r w:rsidRPr="00321493">
              <w:rPr>
                <w:rFonts w:ascii="Book Antiqua" w:hAnsi="Book Antiqua" w:cs="Arial"/>
                <w:b/>
              </w:rPr>
              <w:t>Decision sent to parties on</w:t>
            </w:r>
          </w:p>
        </w:tc>
      </w:tr>
      <w:tr w:rsidR="00B705D9" w:rsidRPr="00F5664C" w14:paraId="39833D53" w14:textId="77777777" w:rsidTr="00321493">
        <w:tc>
          <w:tcPr>
            <w:tcW w:w="6048" w:type="dxa"/>
          </w:tcPr>
          <w:p w14:paraId="62AFB7FB" w14:textId="77777777" w:rsidR="00B705D9" w:rsidRPr="00321493" w:rsidRDefault="00B705D9" w:rsidP="00321493">
            <w:pPr>
              <w:jc w:val="both"/>
              <w:rPr>
                <w:rFonts w:ascii="Book Antiqua" w:hAnsi="Book Antiqua" w:cs="Arial"/>
                <w:b/>
              </w:rPr>
            </w:pPr>
            <w:r w:rsidRPr="00321493">
              <w:rPr>
                <w:rFonts w:ascii="Book Antiqua" w:hAnsi="Book Antiqua" w:cs="Arial"/>
                <w:b/>
              </w:rPr>
              <w:t xml:space="preserve">On </w:t>
            </w:r>
            <w:r w:rsidR="00A60F3F">
              <w:rPr>
                <w:rFonts w:ascii="Book Antiqua" w:hAnsi="Book Antiqua" w:cs="Arial"/>
                <w:b/>
              </w:rPr>
              <w:t>9</w:t>
            </w:r>
            <w:r w:rsidR="00534E2A">
              <w:rPr>
                <w:rFonts w:ascii="Book Antiqua" w:hAnsi="Book Antiqua" w:cs="Arial"/>
                <w:b/>
              </w:rPr>
              <w:t xml:space="preserve"> August 2018</w:t>
            </w:r>
          </w:p>
        </w:tc>
        <w:tc>
          <w:tcPr>
            <w:tcW w:w="3960" w:type="dxa"/>
          </w:tcPr>
          <w:p w14:paraId="0A31F4A6" w14:textId="77777777" w:rsidR="00B705D9" w:rsidRPr="00321493" w:rsidRDefault="00C06A31" w:rsidP="00321493">
            <w:pPr>
              <w:jc w:val="both"/>
              <w:rPr>
                <w:rFonts w:ascii="Book Antiqua" w:hAnsi="Book Antiqua" w:cs="Arial"/>
                <w:b/>
              </w:rPr>
            </w:pPr>
            <w:r>
              <w:rPr>
                <w:rFonts w:ascii="Book Antiqua" w:hAnsi="Book Antiqua" w:cs="Arial"/>
                <w:b/>
              </w:rPr>
              <w:t>O</w:t>
            </w:r>
            <w:r w:rsidR="00AE6E89" w:rsidRPr="00AE6E89">
              <w:rPr>
                <w:rFonts w:ascii="Book Antiqua" w:hAnsi="Book Antiqua" w:cs="Arial"/>
                <w:b/>
              </w:rPr>
              <w:t>n 4 September 2018</w:t>
            </w:r>
          </w:p>
        </w:tc>
      </w:tr>
      <w:tr w:rsidR="00B705D9" w:rsidRPr="00F5664C" w14:paraId="4738C196" w14:textId="77777777" w:rsidTr="00321493">
        <w:tc>
          <w:tcPr>
            <w:tcW w:w="6048" w:type="dxa"/>
          </w:tcPr>
          <w:p w14:paraId="7AD47BC1" w14:textId="77777777" w:rsidR="00B705D9" w:rsidRPr="00321493" w:rsidRDefault="00B705D9" w:rsidP="00321493">
            <w:pPr>
              <w:jc w:val="both"/>
              <w:rPr>
                <w:rFonts w:ascii="Book Antiqua" w:hAnsi="Book Antiqua" w:cs="Arial"/>
                <w:b/>
              </w:rPr>
            </w:pPr>
          </w:p>
        </w:tc>
        <w:tc>
          <w:tcPr>
            <w:tcW w:w="3960" w:type="dxa"/>
          </w:tcPr>
          <w:p w14:paraId="449C9CD0" w14:textId="77777777" w:rsidR="00B705D9" w:rsidRPr="00321493" w:rsidRDefault="00B705D9" w:rsidP="00321493">
            <w:pPr>
              <w:jc w:val="both"/>
              <w:rPr>
                <w:rFonts w:ascii="Book Antiqua" w:hAnsi="Book Antiqua" w:cs="Arial"/>
                <w:b/>
              </w:rPr>
            </w:pPr>
          </w:p>
        </w:tc>
      </w:tr>
    </w:tbl>
    <w:p w14:paraId="67677227" w14:textId="77777777" w:rsidR="00B705D9" w:rsidRPr="00F5664C" w:rsidRDefault="00B705D9" w:rsidP="00A15234">
      <w:pPr>
        <w:jc w:val="center"/>
        <w:rPr>
          <w:rFonts w:ascii="Book Antiqua" w:hAnsi="Book Antiqua" w:cs="Arial"/>
        </w:rPr>
      </w:pPr>
    </w:p>
    <w:p w14:paraId="06933A22" w14:textId="77777777" w:rsidR="00B705D9" w:rsidRPr="00F5664C" w:rsidRDefault="00B705D9" w:rsidP="00A15234">
      <w:pPr>
        <w:jc w:val="center"/>
        <w:rPr>
          <w:rFonts w:ascii="Book Antiqua" w:hAnsi="Book Antiqua" w:cs="Arial"/>
          <w:b/>
        </w:rPr>
      </w:pPr>
      <w:r w:rsidRPr="00F5664C">
        <w:rPr>
          <w:rFonts w:ascii="Book Antiqua" w:hAnsi="Book Antiqua" w:cs="Arial"/>
          <w:b/>
        </w:rPr>
        <w:t>Before</w:t>
      </w:r>
    </w:p>
    <w:p w14:paraId="5929D668" w14:textId="77777777" w:rsidR="00B705D9" w:rsidRPr="00F5664C" w:rsidRDefault="00B705D9" w:rsidP="00A15234">
      <w:pPr>
        <w:jc w:val="center"/>
        <w:rPr>
          <w:rFonts w:ascii="Book Antiqua" w:hAnsi="Book Antiqua" w:cs="Arial"/>
          <w:b/>
        </w:rPr>
      </w:pPr>
    </w:p>
    <w:p w14:paraId="35134C7E" w14:textId="77777777" w:rsidR="00B705D9" w:rsidRDefault="00B705D9" w:rsidP="00A15234">
      <w:pPr>
        <w:jc w:val="center"/>
        <w:rPr>
          <w:rFonts w:ascii="Book Antiqua" w:hAnsi="Book Antiqua" w:cs="Arial"/>
          <w:b/>
        </w:rPr>
      </w:pPr>
      <w:r>
        <w:rPr>
          <w:rFonts w:ascii="Book Antiqua" w:hAnsi="Book Antiqua" w:cs="Arial"/>
          <w:b/>
        </w:rPr>
        <w:t>UPPER TRIBUNAL</w:t>
      </w:r>
      <w:r w:rsidRPr="00F5664C">
        <w:rPr>
          <w:rFonts w:ascii="Book Antiqua" w:hAnsi="Book Antiqua" w:cs="Arial"/>
          <w:b/>
        </w:rPr>
        <w:t xml:space="preserve"> JUDGE G</w:t>
      </w:r>
      <w:r>
        <w:rPr>
          <w:rFonts w:ascii="Book Antiqua" w:hAnsi="Book Antiqua" w:cs="Arial"/>
          <w:b/>
        </w:rPr>
        <w:t>LEESON</w:t>
      </w:r>
    </w:p>
    <w:p w14:paraId="406A4927" w14:textId="77777777" w:rsidR="00B705D9" w:rsidRPr="00F5664C" w:rsidRDefault="00B705D9" w:rsidP="00DE279E">
      <w:pPr>
        <w:jc w:val="center"/>
        <w:rPr>
          <w:rFonts w:ascii="Book Antiqua" w:hAnsi="Book Antiqua" w:cs="Arial"/>
          <w:b/>
        </w:rPr>
      </w:pPr>
    </w:p>
    <w:p w14:paraId="7D52CF62" w14:textId="77777777" w:rsidR="002D5966" w:rsidRDefault="002D5966" w:rsidP="00A15234">
      <w:pPr>
        <w:jc w:val="center"/>
        <w:rPr>
          <w:rFonts w:ascii="Book Antiqua" w:hAnsi="Book Antiqua" w:cs="Arial"/>
          <w:b/>
        </w:rPr>
      </w:pPr>
    </w:p>
    <w:p w14:paraId="48852CAB" w14:textId="2FEB9F80" w:rsidR="00B705D9" w:rsidRPr="00F5664C" w:rsidRDefault="00B705D9" w:rsidP="00A15234">
      <w:pPr>
        <w:jc w:val="center"/>
        <w:rPr>
          <w:rFonts w:ascii="Book Antiqua" w:hAnsi="Book Antiqua" w:cs="Arial"/>
          <w:b/>
        </w:rPr>
      </w:pPr>
      <w:r w:rsidRPr="00F5664C">
        <w:rPr>
          <w:rFonts w:ascii="Book Antiqua" w:hAnsi="Book Antiqua" w:cs="Arial"/>
          <w:b/>
        </w:rPr>
        <w:t>Between</w:t>
      </w:r>
    </w:p>
    <w:p w14:paraId="380F6B3F" w14:textId="77777777" w:rsidR="00B705D9" w:rsidRPr="00F5664C" w:rsidRDefault="00B705D9" w:rsidP="00A15234">
      <w:pPr>
        <w:jc w:val="center"/>
        <w:rPr>
          <w:rFonts w:ascii="Book Antiqua" w:hAnsi="Book Antiqua" w:cs="Arial"/>
          <w:b/>
        </w:rPr>
      </w:pPr>
    </w:p>
    <w:p w14:paraId="42922288" w14:textId="77777777" w:rsidR="00B705D9" w:rsidRDefault="00534E2A" w:rsidP="00742A8D">
      <w:pPr>
        <w:jc w:val="center"/>
        <w:rPr>
          <w:rFonts w:ascii="Book Antiqua" w:hAnsi="Book Antiqua" w:cs="Arial"/>
          <w:b/>
          <w:caps/>
        </w:rPr>
      </w:pPr>
      <w:r w:rsidRPr="00534E2A">
        <w:rPr>
          <w:rFonts w:ascii="Book Antiqua" w:hAnsi="Book Antiqua" w:cs="Arial"/>
          <w:b/>
          <w:caps/>
        </w:rPr>
        <w:t>Muhammad Anamul</w:t>
      </w:r>
      <w:r>
        <w:rPr>
          <w:rFonts w:ascii="Book Antiqua" w:hAnsi="Book Antiqua" w:cs="Arial"/>
          <w:b/>
          <w:caps/>
        </w:rPr>
        <w:t xml:space="preserve"> haque</w:t>
      </w:r>
    </w:p>
    <w:p w14:paraId="7B43A2A7" w14:textId="77777777" w:rsidR="00B705D9" w:rsidRPr="002D5966" w:rsidRDefault="00B705D9" w:rsidP="00742A8D">
      <w:pPr>
        <w:jc w:val="center"/>
        <w:rPr>
          <w:rFonts w:ascii="Book Antiqua" w:hAnsi="Book Antiqua" w:cs="Arial"/>
          <w:b/>
          <w:caps/>
          <w:sz w:val="22"/>
        </w:rPr>
      </w:pPr>
      <w:r w:rsidRPr="002D5966">
        <w:rPr>
          <w:rFonts w:ascii="Book Antiqua" w:hAnsi="Book Antiqua" w:cs="Arial"/>
          <w:b/>
          <w:caps/>
          <w:sz w:val="22"/>
        </w:rPr>
        <w:t>(no anonymity order)</w:t>
      </w:r>
    </w:p>
    <w:p w14:paraId="6CC3EC68" w14:textId="77777777" w:rsidR="00B705D9" w:rsidRPr="00F5664C" w:rsidRDefault="00B705D9" w:rsidP="00704B61">
      <w:pPr>
        <w:jc w:val="right"/>
        <w:rPr>
          <w:rFonts w:ascii="Book Antiqua" w:hAnsi="Book Antiqua" w:cs="Arial"/>
          <w:u w:val="single"/>
        </w:rPr>
      </w:pPr>
      <w:r w:rsidRPr="00F5664C">
        <w:rPr>
          <w:rFonts w:ascii="Book Antiqua" w:hAnsi="Book Antiqua" w:cs="Arial"/>
          <w:u w:val="single"/>
        </w:rPr>
        <w:t>Appellant</w:t>
      </w:r>
    </w:p>
    <w:p w14:paraId="50645212" w14:textId="77777777" w:rsidR="00B705D9" w:rsidRPr="00F5664C" w:rsidRDefault="00B705D9" w:rsidP="00704B61">
      <w:pPr>
        <w:jc w:val="center"/>
        <w:rPr>
          <w:rFonts w:ascii="Book Antiqua" w:hAnsi="Book Antiqua" w:cs="Arial"/>
          <w:b/>
        </w:rPr>
      </w:pPr>
      <w:r w:rsidRPr="00F5664C">
        <w:rPr>
          <w:rFonts w:ascii="Book Antiqua" w:hAnsi="Book Antiqua" w:cs="Arial"/>
          <w:b/>
        </w:rPr>
        <w:t>and</w:t>
      </w:r>
    </w:p>
    <w:p w14:paraId="33AD60F2" w14:textId="77777777" w:rsidR="00B705D9" w:rsidRPr="00F5664C" w:rsidRDefault="00B705D9" w:rsidP="00704B61">
      <w:pPr>
        <w:jc w:val="center"/>
        <w:rPr>
          <w:rFonts w:ascii="Book Antiqua" w:hAnsi="Book Antiqua" w:cs="Arial"/>
          <w:b/>
        </w:rPr>
      </w:pPr>
    </w:p>
    <w:p w14:paraId="1D6CE6AD" w14:textId="77777777" w:rsidR="00B705D9" w:rsidRPr="00DE279E" w:rsidRDefault="00A60F3F" w:rsidP="00DE279E">
      <w:pPr>
        <w:jc w:val="center"/>
        <w:rPr>
          <w:rFonts w:ascii="Book Antiqua" w:hAnsi="Book Antiqua" w:cs="Arial"/>
          <w:b/>
          <w:caps/>
        </w:rPr>
      </w:pPr>
      <w:r>
        <w:rPr>
          <w:rFonts w:ascii="Book Antiqua" w:hAnsi="Book Antiqua" w:cs="Arial"/>
          <w:b/>
          <w:caps/>
        </w:rPr>
        <w:t xml:space="preserve">Entry Clearance Officer </w:t>
      </w:r>
    </w:p>
    <w:p w14:paraId="75DA4E9D" w14:textId="77777777" w:rsidR="00B705D9" w:rsidRPr="00F5664C" w:rsidRDefault="00B705D9" w:rsidP="00DD5071">
      <w:pPr>
        <w:jc w:val="right"/>
        <w:rPr>
          <w:rFonts w:ascii="Book Antiqua" w:hAnsi="Book Antiqua" w:cs="Arial"/>
          <w:u w:val="single"/>
        </w:rPr>
      </w:pPr>
      <w:r w:rsidRPr="00F5664C">
        <w:rPr>
          <w:rFonts w:ascii="Book Antiqua" w:hAnsi="Book Antiqua" w:cs="Arial"/>
          <w:u w:val="single"/>
        </w:rPr>
        <w:t>Respondent</w:t>
      </w:r>
    </w:p>
    <w:p w14:paraId="5306E015" w14:textId="6B3E6D06" w:rsidR="00B705D9" w:rsidRDefault="00B705D9" w:rsidP="00DD5071">
      <w:pPr>
        <w:rPr>
          <w:rFonts w:ascii="Book Antiqua" w:hAnsi="Book Antiqua" w:cs="Arial"/>
          <w:u w:val="single"/>
        </w:rPr>
      </w:pPr>
    </w:p>
    <w:p w14:paraId="54E97C3C" w14:textId="77777777" w:rsidR="002D5966" w:rsidRPr="00F5664C" w:rsidRDefault="002D5966" w:rsidP="00DD5071">
      <w:pPr>
        <w:rPr>
          <w:rFonts w:ascii="Book Antiqua" w:hAnsi="Book Antiqua" w:cs="Arial"/>
          <w:u w:val="single"/>
        </w:rPr>
      </w:pPr>
    </w:p>
    <w:p w14:paraId="49CF79FE" w14:textId="77777777" w:rsidR="00B705D9" w:rsidRPr="00F5664C" w:rsidRDefault="00B705D9"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73088762" w14:textId="6824F836" w:rsidR="00B705D9" w:rsidRPr="00F5664C" w:rsidRDefault="00B705D9" w:rsidP="002D5966">
      <w:pPr>
        <w:tabs>
          <w:tab w:val="left" w:pos="2552"/>
        </w:tabs>
        <w:rPr>
          <w:rFonts w:ascii="Book Antiqua" w:hAnsi="Book Antiqua" w:cs="Arial"/>
        </w:rPr>
      </w:pPr>
      <w:r w:rsidRPr="00F5664C">
        <w:rPr>
          <w:rFonts w:ascii="Book Antiqua" w:hAnsi="Book Antiqua" w:cs="Arial"/>
        </w:rPr>
        <w:t>For the Appellant:</w:t>
      </w:r>
      <w:r w:rsidR="002D5966">
        <w:rPr>
          <w:rFonts w:ascii="Book Antiqua" w:hAnsi="Book Antiqua" w:cs="Arial"/>
        </w:rPr>
        <w:tab/>
      </w:r>
      <w:r w:rsidR="00534E2A">
        <w:rPr>
          <w:rFonts w:ascii="Book Antiqua" w:hAnsi="Book Antiqua" w:cs="Arial"/>
        </w:rPr>
        <w:t xml:space="preserve">Mr M </w:t>
      </w:r>
      <w:bookmarkStart w:id="1" w:name="_Hlk522087094"/>
      <w:proofErr w:type="spellStart"/>
      <w:r w:rsidR="00534E2A">
        <w:rPr>
          <w:rFonts w:ascii="Book Antiqua" w:hAnsi="Book Antiqua" w:cs="Arial"/>
        </w:rPr>
        <w:t>Bhuiyan</w:t>
      </w:r>
      <w:bookmarkEnd w:id="1"/>
      <w:proofErr w:type="spellEnd"/>
      <w:r>
        <w:rPr>
          <w:rFonts w:ascii="Book Antiqua" w:hAnsi="Book Antiqua" w:cs="Arial"/>
        </w:rPr>
        <w:t xml:space="preserve"> instructed by </w:t>
      </w:r>
      <w:r w:rsidR="00534E2A">
        <w:rPr>
          <w:rFonts w:ascii="Book Antiqua" w:hAnsi="Book Antiqua" w:cs="Arial"/>
        </w:rPr>
        <w:t>Universal Solicitors</w:t>
      </w:r>
    </w:p>
    <w:p w14:paraId="293EC0BA" w14:textId="174C6055" w:rsidR="00B705D9" w:rsidRPr="00F5664C" w:rsidRDefault="00B705D9" w:rsidP="002D5966">
      <w:pPr>
        <w:tabs>
          <w:tab w:val="left" w:pos="2552"/>
        </w:tabs>
        <w:rPr>
          <w:rFonts w:ascii="Book Antiqua" w:hAnsi="Book Antiqua" w:cs="Arial"/>
        </w:rPr>
      </w:pPr>
      <w:r w:rsidRPr="00F5664C">
        <w:rPr>
          <w:rFonts w:ascii="Book Antiqua" w:hAnsi="Book Antiqua" w:cs="Arial"/>
        </w:rPr>
        <w:t>For the Respondent:</w:t>
      </w:r>
      <w:r w:rsidR="002D5966">
        <w:rPr>
          <w:rFonts w:ascii="Book Antiqua" w:hAnsi="Book Antiqua" w:cs="Arial"/>
        </w:rPr>
        <w:tab/>
      </w:r>
      <w:r w:rsidR="00534E2A">
        <w:rPr>
          <w:rFonts w:ascii="Book Antiqua" w:hAnsi="Book Antiqua" w:cs="Arial"/>
        </w:rPr>
        <w:t>Mr T Melvin</w:t>
      </w:r>
      <w:r>
        <w:rPr>
          <w:rFonts w:ascii="Book Antiqua" w:hAnsi="Book Antiqua" w:cs="Arial"/>
        </w:rPr>
        <w:t>, a Senior Home Office Presenting Officer</w:t>
      </w:r>
    </w:p>
    <w:p w14:paraId="67745870" w14:textId="77777777" w:rsidR="00B705D9" w:rsidRPr="00F5664C" w:rsidRDefault="00B705D9" w:rsidP="00402B9E">
      <w:pPr>
        <w:tabs>
          <w:tab w:val="left" w:pos="2520"/>
        </w:tabs>
        <w:jc w:val="center"/>
        <w:rPr>
          <w:rFonts w:ascii="Book Antiqua" w:hAnsi="Book Antiqua" w:cs="Arial"/>
        </w:rPr>
      </w:pPr>
    </w:p>
    <w:p w14:paraId="64B97E35" w14:textId="77777777" w:rsidR="002D5966" w:rsidRDefault="002D5966" w:rsidP="00402B9E">
      <w:pPr>
        <w:tabs>
          <w:tab w:val="left" w:pos="2520"/>
        </w:tabs>
        <w:jc w:val="center"/>
        <w:rPr>
          <w:rFonts w:ascii="Book Antiqua" w:hAnsi="Book Antiqua" w:cs="Arial"/>
          <w:b/>
          <w:u w:val="single"/>
        </w:rPr>
      </w:pPr>
    </w:p>
    <w:p w14:paraId="7571BBB8" w14:textId="5256BDBB" w:rsidR="00B705D9" w:rsidRDefault="00B705D9"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Pr="00F5664C">
        <w:rPr>
          <w:rFonts w:ascii="Book Antiqua" w:hAnsi="Book Antiqua" w:cs="Arial"/>
          <w:b/>
          <w:u w:val="single"/>
        </w:rPr>
        <w:t>AND REASONS</w:t>
      </w:r>
    </w:p>
    <w:p w14:paraId="273B656D" w14:textId="77777777" w:rsidR="00A60F3F" w:rsidRDefault="00534E2A" w:rsidP="00284307">
      <w:pPr>
        <w:numPr>
          <w:ilvl w:val="0"/>
          <w:numId w:val="3"/>
        </w:numPr>
        <w:spacing w:before="240"/>
        <w:jc w:val="both"/>
        <w:rPr>
          <w:rFonts w:ascii="Book Antiqua" w:hAnsi="Book Antiqua" w:cs="Arial"/>
        </w:rPr>
      </w:pPr>
      <w:r>
        <w:rPr>
          <w:rFonts w:ascii="Book Antiqua" w:hAnsi="Book Antiqua" w:cs="Arial"/>
        </w:rPr>
        <w:t>The applicant has permission to challenge the decision of the First-tier Tribunal on 2</w:t>
      </w:r>
      <w:r w:rsidR="00A60F3F">
        <w:rPr>
          <w:rFonts w:ascii="Book Antiqua" w:hAnsi="Book Antiqua" w:cs="Arial"/>
        </w:rPr>
        <w:t>7</w:t>
      </w:r>
      <w:r>
        <w:rPr>
          <w:rFonts w:ascii="Book Antiqua" w:hAnsi="Book Antiqua" w:cs="Arial"/>
        </w:rPr>
        <w:t xml:space="preserve"> February 2018 dismissing his appeal against the decision of the Entry Clearance Officer to refuse him entry clearance to join the sponsor, his uncle, </w:t>
      </w:r>
      <w:r w:rsidR="00A60F3F">
        <w:rPr>
          <w:rFonts w:ascii="Book Antiqua" w:hAnsi="Book Antiqua" w:cs="Arial"/>
        </w:rPr>
        <w:t xml:space="preserve">a Belgian citizen </w:t>
      </w:r>
      <w:r>
        <w:rPr>
          <w:rFonts w:ascii="Book Antiqua" w:hAnsi="Book Antiqua" w:cs="Arial"/>
        </w:rPr>
        <w:t xml:space="preserve">who is in the United Kingdom as an EEA national exercising </w:t>
      </w:r>
      <w:r w:rsidR="00A60F3F">
        <w:rPr>
          <w:rFonts w:ascii="Book Antiqua" w:hAnsi="Book Antiqua" w:cs="Arial"/>
        </w:rPr>
        <w:t>Treaty rights</w:t>
      </w:r>
      <w:r>
        <w:rPr>
          <w:rFonts w:ascii="Book Antiqua" w:hAnsi="Book Antiqua" w:cs="Arial"/>
        </w:rPr>
        <w:t xml:space="preserve"> here.  </w:t>
      </w:r>
      <w:r w:rsidR="00F1658B">
        <w:rPr>
          <w:rFonts w:ascii="Book Antiqua" w:hAnsi="Book Antiqua" w:cs="Arial"/>
        </w:rPr>
        <w:t xml:space="preserve">The question for the Upper Tribunal is whether the First-tier Judge erred in law in finding that the appellant is not a dependant of necessity on the sponsor, and/or that he is not a member of the sponsor’s household in Bangladesh.   </w:t>
      </w:r>
    </w:p>
    <w:p w14:paraId="2CAEC983" w14:textId="77777777" w:rsidR="00F1658B" w:rsidRDefault="00F1658B" w:rsidP="00F1658B">
      <w:pPr>
        <w:numPr>
          <w:ilvl w:val="0"/>
          <w:numId w:val="3"/>
        </w:numPr>
        <w:spacing w:before="240"/>
        <w:jc w:val="both"/>
        <w:rPr>
          <w:rFonts w:ascii="Book Antiqua" w:hAnsi="Book Antiqua" w:cs="Arial"/>
        </w:rPr>
      </w:pPr>
      <w:r>
        <w:rPr>
          <w:rFonts w:ascii="Book Antiqua" w:hAnsi="Book Antiqua" w:cs="Arial"/>
        </w:rPr>
        <w:lastRenderedPageBreak/>
        <w:t>The appellant is a 32-year old man who has lived in the same house where the sponsor grew up, since the death of his father when he was 1 year old.  The household also contained the sponsor’s parents, but it is argued that because the sponsor has been sending money from the United Kingdom to support them, or for some other reason which is not clearly explained, that household should be treated as that of the sponsor, not his parents.</w:t>
      </w:r>
    </w:p>
    <w:p w14:paraId="487561EF" w14:textId="77777777" w:rsidR="00F1658B" w:rsidRPr="00F1658B" w:rsidRDefault="00F1658B" w:rsidP="00F1658B">
      <w:pPr>
        <w:numPr>
          <w:ilvl w:val="0"/>
          <w:numId w:val="3"/>
        </w:numPr>
        <w:spacing w:before="240"/>
        <w:jc w:val="both"/>
        <w:rPr>
          <w:rFonts w:ascii="Book Antiqua" w:hAnsi="Book Antiqua" w:cs="Arial"/>
        </w:rPr>
      </w:pPr>
      <w:r w:rsidRPr="00F1658B">
        <w:rPr>
          <w:rFonts w:ascii="Book Antiqua" w:hAnsi="Book Antiqua" w:cs="Arial"/>
        </w:rPr>
        <w:t xml:space="preserve">The appellant has helped to care for the sponsor’s mother since the sponsor left for the United Kingdom.  It seems to have been a demanding role.  There is no evidence as to whether he is capable of working, but he has not done so, depending instead on the money the sponsor sends from the United Kingdom, as does the sponsor’s mother, and the appellant’s own widowed mother. The sponsor’s mother succeeded on appeal before the First-tier Tribunal and is not an appellant before the Upper Tribunal. and is not an appellant in the present appeal. </w:t>
      </w:r>
    </w:p>
    <w:p w14:paraId="5A3AE244" w14:textId="77777777" w:rsidR="00F1658B" w:rsidRDefault="00F1658B" w:rsidP="00F1658B">
      <w:pPr>
        <w:numPr>
          <w:ilvl w:val="0"/>
          <w:numId w:val="3"/>
        </w:numPr>
        <w:spacing w:before="240"/>
        <w:jc w:val="both"/>
        <w:rPr>
          <w:rFonts w:ascii="Book Antiqua" w:hAnsi="Book Antiqua" w:cs="Arial"/>
        </w:rPr>
      </w:pPr>
      <w:r w:rsidRPr="00F1658B">
        <w:rPr>
          <w:rFonts w:ascii="Book Antiqua" w:hAnsi="Book Antiqua" w:cs="Arial"/>
        </w:rPr>
        <w:t xml:space="preserve">I adjourned this appeal hearing previously for the submission of more extensive grounds of appeal since the grounds of appeal were unhelpfully brief.  </w:t>
      </w:r>
      <w:r>
        <w:rPr>
          <w:rFonts w:ascii="Book Antiqua" w:hAnsi="Book Antiqua" w:cs="Arial"/>
        </w:rPr>
        <w:t xml:space="preserve">I am grateful for the clarification which the expanded grounds provide. </w:t>
      </w:r>
    </w:p>
    <w:p w14:paraId="20073FBE" w14:textId="77777777" w:rsidR="00A60F3F" w:rsidRPr="00A60F3F" w:rsidRDefault="00A60F3F" w:rsidP="00F1658B">
      <w:pPr>
        <w:spacing w:before="240"/>
        <w:jc w:val="both"/>
        <w:rPr>
          <w:rFonts w:ascii="Book Antiqua" w:hAnsi="Book Antiqua" w:cs="Arial"/>
          <w:b/>
        </w:rPr>
      </w:pPr>
      <w:r>
        <w:rPr>
          <w:rFonts w:ascii="Book Antiqua" w:hAnsi="Book Antiqua" w:cs="Arial"/>
          <w:b/>
        </w:rPr>
        <w:t>Rule 15(2A)</w:t>
      </w:r>
      <w:r w:rsidR="00F1658B">
        <w:rPr>
          <w:rFonts w:ascii="Book Antiqua" w:hAnsi="Book Antiqua" w:cs="Arial"/>
          <w:b/>
        </w:rPr>
        <w:t>: introduction of additional documents</w:t>
      </w:r>
    </w:p>
    <w:p w14:paraId="51252B39" w14:textId="77777777" w:rsidR="00F1658B" w:rsidRDefault="00F1658B" w:rsidP="00A60F3F">
      <w:pPr>
        <w:numPr>
          <w:ilvl w:val="0"/>
          <w:numId w:val="3"/>
        </w:numPr>
        <w:spacing w:before="240"/>
        <w:jc w:val="both"/>
        <w:rPr>
          <w:rFonts w:ascii="Book Antiqua" w:hAnsi="Book Antiqua" w:cs="Arial"/>
        </w:rPr>
      </w:pPr>
      <w:r>
        <w:rPr>
          <w:rFonts w:ascii="Book Antiqua" w:hAnsi="Book Antiqua" w:cs="Arial"/>
        </w:rPr>
        <w:t>The</w:t>
      </w:r>
      <w:r w:rsidRPr="00A60F3F">
        <w:rPr>
          <w:rFonts w:ascii="Book Antiqua" w:hAnsi="Book Antiqua" w:cs="Arial"/>
        </w:rPr>
        <w:t xml:space="preserve"> </w:t>
      </w:r>
      <w:r w:rsidR="00A60F3F" w:rsidRPr="00A60F3F">
        <w:rPr>
          <w:rFonts w:ascii="Book Antiqua" w:hAnsi="Book Antiqua" w:cs="Arial"/>
        </w:rPr>
        <w:t>amended grounds were accompanied by a number of documents for which no Rule 15(</w:t>
      </w:r>
      <w:r w:rsidRPr="00A60F3F">
        <w:rPr>
          <w:rFonts w:ascii="Book Antiqua" w:hAnsi="Book Antiqua" w:cs="Arial"/>
        </w:rPr>
        <w:t>2</w:t>
      </w:r>
      <w:r>
        <w:rPr>
          <w:rFonts w:ascii="Book Antiqua" w:hAnsi="Book Antiqua" w:cs="Arial"/>
        </w:rPr>
        <w:t>A</w:t>
      </w:r>
      <w:r w:rsidRPr="00A60F3F">
        <w:rPr>
          <w:rFonts w:ascii="Book Antiqua" w:hAnsi="Book Antiqua" w:cs="Arial"/>
        </w:rPr>
        <w:t xml:space="preserve">) </w:t>
      </w:r>
      <w:r w:rsidR="00A60F3F" w:rsidRPr="00A60F3F">
        <w:rPr>
          <w:rFonts w:ascii="Book Antiqua" w:hAnsi="Book Antiqua" w:cs="Arial"/>
        </w:rPr>
        <w:t>permission had been given</w:t>
      </w:r>
      <w:r>
        <w:rPr>
          <w:rFonts w:ascii="Book Antiqua" w:hAnsi="Book Antiqua" w:cs="Arial"/>
        </w:rPr>
        <w:t xml:space="preserve"> or sought</w:t>
      </w:r>
      <w:r w:rsidR="00A60F3F" w:rsidRPr="00A60F3F">
        <w:rPr>
          <w:rFonts w:ascii="Book Antiqua" w:hAnsi="Book Antiqua" w:cs="Arial"/>
        </w:rPr>
        <w:t xml:space="preserve">.  </w:t>
      </w:r>
      <w:r>
        <w:rPr>
          <w:rFonts w:ascii="Book Antiqua" w:hAnsi="Book Antiqua" w:cs="Arial"/>
        </w:rPr>
        <w:t xml:space="preserve">Mr </w:t>
      </w:r>
      <w:proofErr w:type="spellStart"/>
      <w:r>
        <w:rPr>
          <w:rFonts w:ascii="Book Antiqua" w:hAnsi="Book Antiqua" w:cs="Arial"/>
        </w:rPr>
        <w:t>Bhuiyan</w:t>
      </w:r>
      <w:proofErr w:type="spellEnd"/>
      <w:r>
        <w:rPr>
          <w:rFonts w:ascii="Book Antiqua" w:hAnsi="Book Antiqua" w:cs="Arial"/>
        </w:rPr>
        <w:t xml:space="preserve"> accepts that these</w:t>
      </w:r>
      <w:r w:rsidR="00A60F3F" w:rsidRPr="00A60F3F">
        <w:rPr>
          <w:rFonts w:ascii="Book Antiqua" w:hAnsi="Book Antiqua" w:cs="Arial"/>
        </w:rPr>
        <w:t xml:space="preserve"> are documents which were not before the First-tier Tribunal</w:t>
      </w:r>
      <w:r>
        <w:rPr>
          <w:rFonts w:ascii="Book Antiqua" w:hAnsi="Book Antiqua" w:cs="Arial"/>
        </w:rPr>
        <w:t>,</w:t>
      </w:r>
      <w:r w:rsidR="00A60F3F" w:rsidRPr="00A60F3F">
        <w:rPr>
          <w:rFonts w:ascii="Book Antiqua" w:hAnsi="Book Antiqua" w:cs="Arial"/>
        </w:rPr>
        <w:t xml:space="preserve"> and could not therefore have </w:t>
      </w:r>
      <w:r>
        <w:rPr>
          <w:rFonts w:ascii="Book Antiqua" w:hAnsi="Book Antiqua" w:cs="Arial"/>
        </w:rPr>
        <w:t>given rise to any arguable</w:t>
      </w:r>
      <w:r w:rsidR="00A60F3F" w:rsidRPr="00A60F3F">
        <w:rPr>
          <w:rFonts w:ascii="Book Antiqua" w:hAnsi="Book Antiqua" w:cs="Arial"/>
        </w:rPr>
        <w:t xml:space="preserve"> error of fact or law in the decision of the First-tier Tribunal.  </w:t>
      </w:r>
    </w:p>
    <w:p w14:paraId="19F80353" w14:textId="77777777" w:rsidR="00A60F3F" w:rsidRPr="00A60F3F" w:rsidRDefault="00A60F3F" w:rsidP="00A60F3F">
      <w:pPr>
        <w:numPr>
          <w:ilvl w:val="0"/>
          <w:numId w:val="3"/>
        </w:numPr>
        <w:spacing w:before="240"/>
        <w:jc w:val="both"/>
        <w:rPr>
          <w:rFonts w:ascii="Book Antiqua" w:hAnsi="Book Antiqua" w:cs="Arial"/>
        </w:rPr>
      </w:pPr>
      <w:r w:rsidRPr="00A60F3F">
        <w:rPr>
          <w:rFonts w:ascii="Book Antiqua" w:hAnsi="Book Antiqua" w:cs="Arial"/>
        </w:rPr>
        <w:t xml:space="preserve">There is one document at page 33 of the new bundle which was in the original bundle, but untranslated.  It is now provided with a translation but the First-tier Judge did not have that translation and it is at best evidence that the sponsor paid an electricity bill for his mother.  That </w:t>
      </w:r>
      <w:r w:rsidR="00F1658B">
        <w:rPr>
          <w:rFonts w:ascii="Book Antiqua" w:hAnsi="Book Antiqua" w:cs="Arial"/>
        </w:rPr>
        <w:t>evidence, even if admitted, could not of itself</w:t>
      </w:r>
      <w:r w:rsidRPr="00A60F3F">
        <w:rPr>
          <w:rFonts w:ascii="Book Antiqua" w:hAnsi="Book Antiqua" w:cs="Arial"/>
        </w:rPr>
        <w:t xml:space="preserve"> establish that the household in which the sponsor and this appellant grew up was the household of the sponsor rather than the household of the sponsor’s parents, which would be the normal position.  I do not admit the additional documents, they are not relevant to the question whether there is a material error of law in the decision of the First-tier Tribunal.  </w:t>
      </w:r>
    </w:p>
    <w:p w14:paraId="5AA443EB" w14:textId="77777777" w:rsidR="00F1658B" w:rsidRPr="00F1658B" w:rsidRDefault="00F1658B" w:rsidP="00F1658B">
      <w:pPr>
        <w:spacing w:before="240"/>
        <w:jc w:val="both"/>
        <w:rPr>
          <w:rFonts w:ascii="Book Antiqua" w:hAnsi="Book Antiqua" w:cs="Arial"/>
          <w:b/>
        </w:rPr>
      </w:pPr>
      <w:r>
        <w:rPr>
          <w:rFonts w:ascii="Book Antiqua" w:hAnsi="Book Antiqua" w:cs="Arial"/>
          <w:b/>
        </w:rPr>
        <w:t>The factual matrix</w:t>
      </w:r>
    </w:p>
    <w:p w14:paraId="6ACE741F" w14:textId="77777777" w:rsidR="00A60F3F" w:rsidRDefault="00A60F3F" w:rsidP="00284307">
      <w:pPr>
        <w:numPr>
          <w:ilvl w:val="0"/>
          <w:numId w:val="3"/>
        </w:numPr>
        <w:spacing w:before="240"/>
        <w:jc w:val="both"/>
        <w:rPr>
          <w:rFonts w:ascii="Book Antiqua" w:hAnsi="Book Antiqua" w:cs="Arial"/>
        </w:rPr>
      </w:pPr>
      <w:r>
        <w:rPr>
          <w:rFonts w:ascii="Book Antiqua" w:hAnsi="Book Antiqua" w:cs="Arial"/>
        </w:rPr>
        <w:t>The</w:t>
      </w:r>
      <w:r w:rsidR="00552B48">
        <w:rPr>
          <w:rFonts w:ascii="Book Antiqua" w:hAnsi="Book Antiqua" w:cs="Arial"/>
        </w:rPr>
        <w:t xml:space="preserve"> </w:t>
      </w:r>
      <w:r w:rsidR="0033660E">
        <w:rPr>
          <w:rFonts w:ascii="Book Antiqua" w:hAnsi="Book Antiqua" w:cs="Arial"/>
        </w:rPr>
        <w:t>present appellant</w:t>
      </w:r>
      <w:r>
        <w:rPr>
          <w:rFonts w:ascii="Book Antiqua" w:hAnsi="Book Antiqua" w:cs="Arial"/>
        </w:rPr>
        <w:t xml:space="preserve"> </w:t>
      </w:r>
      <w:r w:rsidR="0033660E">
        <w:rPr>
          <w:rFonts w:ascii="Book Antiqua" w:hAnsi="Book Antiqua" w:cs="Arial"/>
        </w:rPr>
        <w:t>is a man now 32 years old who has lived as a member of the sponsor’s extended family in Bangladesh since he was 1 year old</w:t>
      </w:r>
      <w:r>
        <w:rPr>
          <w:rFonts w:ascii="Book Antiqua" w:hAnsi="Book Antiqua" w:cs="Arial"/>
        </w:rPr>
        <w:t xml:space="preserve">, when his father died and his mother became a widow. </w:t>
      </w:r>
      <w:r w:rsidR="0033660E">
        <w:rPr>
          <w:rFonts w:ascii="Book Antiqua" w:hAnsi="Book Antiqua" w:cs="Arial"/>
        </w:rPr>
        <w:t xml:space="preserve"> </w:t>
      </w:r>
      <w:r>
        <w:rPr>
          <w:rFonts w:ascii="Book Antiqua" w:hAnsi="Book Antiqua" w:cs="Arial"/>
        </w:rPr>
        <w:t xml:space="preserve"> After his father’s death, the appellant remained in his uncle’s family home, headed by his great-aunt and great-uncle: the sponsor lived there for some of the time, but the</w:t>
      </w:r>
      <w:r w:rsidR="00F1658B">
        <w:rPr>
          <w:rFonts w:ascii="Book Antiqua" w:hAnsi="Book Antiqua" w:cs="Arial"/>
        </w:rPr>
        <w:t xml:space="preserve"> respondent contends that the</w:t>
      </w:r>
      <w:r>
        <w:rPr>
          <w:rFonts w:ascii="Book Antiqua" w:hAnsi="Book Antiqua" w:cs="Arial"/>
        </w:rPr>
        <w:t xml:space="preserve"> household was that of the </w:t>
      </w:r>
      <w:r w:rsidR="00F1658B">
        <w:rPr>
          <w:rFonts w:ascii="Book Antiqua" w:hAnsi="Book Antiqua" w:cs="Arial"/>
        </w:rPr>
        <w:t>sponsor’s parents.</w:t>
      </w:r>
    </w:p>
    <w:p w14:paraId="0D49BCBB" w14:textId="77777777" w:rsidR="00A60F3F" w:rsidRDefault="00A60F3F" w:rsidP="00284307">
      <w:pPr>
        <w:numPr>
          <w:ilvl w:val="0"/>
          <w:numId w:val="3"/>
        </w:numPr>
        <w:spacing w:before="240"/>
        <w:jc w:val="both"/>
        <w:rPr>
          <w:rFonts w:ascii="Book Antiqua" w:hAnsi="Book Antiqua" w:cs="Arial"/>
        </w:rPr>
      </w:pPr>
      <w:r w:rsidRPr="00A60F3F">
        <w:rPr>
          <w:rFonts w:ascii="Book Antiqua" w:hAnsi="Book Antiqua" w:cs="Arial"/>
        </w:rPr>
        <w:t xml:space="preserve">By family arrangement the sponsor maintained his mother (the appellant’s </w:t>
      </w:r>
      <w:r>
        <w:rPr>
          <w:rFonts w:ascii="Book Antiqua" w:hAnsi="Book Antiqua" w:cs="Arial"/>
        </w:rPr>
        <w:t>great-aunt</w:t>
      </w:r>
      <w:r w:rsidRPr="00A60F3F">
        <w:rPr>
          <w:rFonts w:ascii="Book Antiqua" w:hAnsi="Book Antiqua" w:cs="Arial"/>
        </w:rPr>
        <w:t xml:space="preserve">) by sending her money from the United Kingdom.  The present appellant gave his </w:t>
      </w:r>
      <w:r>
        <w:rPr>
          <w:rFonts w:ascii="Book Antiqua" w:hAnsi="Book Antiqua" w:cs="Arial"/>
        </w:rPr>
        <w:t>great-aunt</w:t>
      </w:r>
      <w:r w:rsidRPr="00A60F3F">
        <w:rPr>
          <w:rFonts w:ascii="Book Antiqua" w:hAnsi="Book Antiqua" w:cs="Arial"/>
        </w:rPr>
        <w:t xml:space="preserve"> the personal care that she required, instead of going out to work.  </w:t>
      </w:r>
      <w:r w:rsidR="00153DCE" w:rsidRPr="00A60F3F">
        <w:rPr>
          <w:rFonts w:ascii="Book Antiqua" w:hAnsi="Book Antiqua" w:cs="Arial"/>
        </w:rPr>
        <w:t xml:space="preserve">There </w:t>
      </w:r>
      <w:r w:rsidR="00153DCE" w:rsidRPr="00A60F3F">
        <w:rPr>
          <w:rFonts w:ascii="Book Antiqua" w:hAnsi="Book Antiqua" w:cs="Arial"/>
        </w:rPr>
        <w:lastRenderedPageBreak/>
        <w:t>was no evidence before the First-tier Tribunal to suggest that this young man</w:t>
      </w:r>
      <w:r w:rsidRPr="00A60F3F">
        <w:rPr>
          <w:rFonts w:ascii="Book Antiqua" w:hAnsi="Book Antiqua" w:cs="Arial"/>
        </w:rPr>
        <w:t>, who is</w:t>
      </w:r>
      <w:r w:rsidR="00153DCE" w:rsidRPr="00A60F3F">
        <w:rPr>
          <w:rFonts w:ascii="Book Antiqua" w:hAnsi="Book Antiqua" w:cs="Arial"/>
        </w:rPr>
        <w:t xml:space="preserve"> now over 30 years old</w:t>
      </w:r>
      <w:r>
        <w:rPr>
          <w:rFonts w:ascii="Book Antiqua" w:hAnsi="Book Antiqua" w:cs="Arial"/>
        </w:rPr>
        <w:t>,</w:t>
      </w:r>
      <w:r w:rsidR="00153DCE" w:rsidRPr="00A60F3F">
        <w:rPr>
          <w:rFonts w:ascii="Book Antiqua" w:hAnsi="Book Antiqua" w:cs="Arial"/>
        </w:rPr>
        <w:t xml:space="preserve"> was unable to work but it was convenient to the family for him to provide the personal care which the sponsor’s mother needed.  </w:t>
      </w:r>
    </w:p>
    <w:p w14:paraId="60DA01F6" w14:textId="77777777" w:rsidR="00A60F3F" w:rsidRPr="00A60F3F" w:rsidRDefault="00A60F3F" w:rsidP="00A60F3F">
      <w:pPr>
        <w:spacing w:before="240"/>
        <w:jc w:val="both"/>
        <w:rPr>
          <w:rFonts w:ascii="Book Antiqua" w:hAnsi="Book Antiqua" w:cs="Arial"/>
          <w:b/>
        </w:rPr>
      </w:pPr>
      <w:r>
        <w:rPr>
          <w:rFonts w:ascii="Book Antiqua" w:hAnsi="Book Antiqua" w:cs="Arial"/>
          <w:b/>
        </w:rPr>
        <w:t>The law</w:t>
      </w:r>
    </w:p>
    <w:p w14:paraId="268A24C4" w14:textId="77777777" w:rsidR="00F1658B" w:rsidRDefault="00F1658B" w:rsidP="00F1658B">
      <w:pPr>
        <w:numPr>
          <w:ilvl w:val="0"/>
          <w:numId w:val="3"/>
        </w:numPr>
        <w:spacing w:before="240"/>
        <w:jc w:val="both"/>
        <w:rPr>
          <w:rFonts w:ascii="Book Antiqua" w:hAnsi="Book Antiqua" w:cs="Arial"/>
        </w:rPr>
      </w:pPr>
      <w:r w:rsidRPr="00F1658B">
        <w:rPr>
          <w:rFonts w:ascii="Book Antiqua" w:hAnsi="Book Antiqua" w:cs="Arial"/>
        </w:rPr>
        <w:t xml:space="preserve">Permission was granted on the basis that dependency on the sponsor at the date of decision was all that had to be proved and that on that basis the appeal arguably ought to have been allowed.  That is erroneous: the question is whether such dependency is dependency of necessity, or of choice.  </w:t>
      </w:r>
    </w:p>
    <w:p w14:paraId="1CB14A59" w14:textId="77777777" w:rsidR="00B705D9" w:rsidRPr="00A60F3F" w:rsidRDefault="00153DCE" w:rsidP="00F1658B">
      <w:pPr>
        <w:numPr>
          <w:ilvl w:val="0"/>
          <w:numId w:val="3"/>
        </w:numPr>
        <w:spacing w:before="240"/>
        <w:jc w:val="both"/>
        <w:rPr>
          <w:rFonts w:ascii="Book Antiqua" w:hAnsi="Book Antiqua" w:cs="Arial"/>
        </w:rPr>
      </w:pPr>
      <w:r w:rsidRPr="00A60F3F">
        <w:rPr>
          <w:rFonts w:ascii="Book Antiqua" w:hAnsi="Book Antiqua" w:cs="Arial"/>
        </w:rPr>
        <w:t>I am guided</w:t>
      </w:r>
      <w:r w:rsidR="00F1658B">
        <w:rPr>
          <w:rFonts w:ascii="Book Antiqua" w:hAnsi="Book Antiqua" w:cs="Arial"/>
        </w:rPr>
        <w:t xml:space="preserve"> on the question of dependency</w:t>
      </w:r>
      <w:r w:rsidRPr="00A60F3F">
        <w:rPr>
          <w:rFonts w:ascii="Book Antiqua" w:hAnsi="Book Antiqua" w:cs="Arial"/>
        </w:rPr>
        <w:t xml:space="preserve"> by the decision in </w:t>
      </w:r>
      <w:r w:rsidRPr="00A60F3F">
        <w:rPr>
          <w:rFonts w:ascii="Book Antiqua" w:hAnsi="Book Antiqua" w:cs="Arial"/>
          <w:i/>
        </w:rPr>
        <w:t xml:space="preserve">Lim v Entry Clearance Officer Manilla </w:t>
      </w:r>
      <w:r w:rsidRPr="00A60F3F">
        <w:rPr>
          <w:rFonts w:ascii="Book Antiqua" w:hAnsi="Book Antiqua" w:cs="Arial"/>
        </w:rPr>
        <w:t xml:space="preserve">[2015] EWCA </w:t>
      </w:r>
      <w:proofErr w:type="spellStart"/>
      <w:r w:rsidRPr="00A60F3F">
        <w:rPr>
          <w:rFonts w:ascii="Book Antiqua" w:hAnsi="Book Antiqua" w:cs="Arial"/>
        </w:rPr>
        <w:t>Civ</w:t>
      </w:r>
      <w:proofErr w:type="spellEnd"/>
      <w:r w:rsidRPr="00A60F3F">
        <w:rPr>
          <w:rFonts w:ascii="Book Antiqua" w:hAnsi="Book Antiqua" w:cs="Arial"/>
        </w:rPr>
        <w:t xml:space="preserve"> 1383</w:t>
      </w:r>
      <w:r w:rsidR="00A60F3F">
        <w:rPr>
          <w:rFonts w:ascii="Book Antiqua" w:hAnsi="Book Antiqua" w:cs="Arial"/>
        </w:rPr>
        <w:t xml:space="preserve">, at [32] </w:t>
      </w:r>
      <w:r w:rsidRPr="00A60F3F">
        <w:rPr>
          <w:rFonts w:ascii="Book Antiqua" w:hAnsi="Book Antiqua" w:cs="Arial"/>
        </w:rPr>
        <w:t>in the judgment of Lord Justice Elias</w:t>
      </w:r>
      <w:r w:rsidR="00A60F3F">
        <w:rPr>
          <w:rFonts w:ascii="Book Antiqua" w:hAnsi="Book Antiqua" w:cs="Arial"/>
        </w:rPr>
        <w:t>,</w:t>
      </w:r>
      <w:r w:rsidRPr="00A60F3F">
        <w:rPr>
          <w:rFonts w:ascii="Book Antiqua" w:hAnsi="Book Antiqua" w:cs="Arial"/>
        </w:rPr>
        <w:t xml:space="preserve"> with whom Lord Justices </w:t>
      </w:r>
      <w:proofErr w:type="spellStart"/>
      <w:r w:rsidRPr="00A60F3F">
        <w:rPr>
          <w:rFonts w:ascii="Book Antiqua" w:hAnsi="Book Antiqua" w:cs="Arial"/>
        </w:rPr>
        <w:t>McCombe</w:t>
      </w:r>
      <w:proofErr w:type="spellEnd"/>
      <w:r w:rsidRPr="00A60F3F">
        <w:rPr>
          <w:rFonts w:ascii="Book Antiqua" w:hAnsi="Book Antiqua" w:cs="Arial"/>
        </w:rPr>
        <w:t xml:space="preserve"> and Ryder agreed: </w:t>
      </w:r>
    </w:p>
    <w:p w14:paraId="587DF553" w14:textId="77777777" w:rsidR="00153DCE" w:rsidRPr="00BE4341" w:rsidRDefault="00153DCE" w:rsidP="00153DCE">
      <w:pPr>
        <w:spacing w:before="240"/>
        <w:ind w:left="1134"/>
        <w:jc w:val="both"/>
        <w:rPr>
          <w:rFonts w:ascii="Book Antiqua" w:hAnsi="Book Antiqua" w:cs="Arial"/>
          <w:sz w:val="22"/>
          <w:szCs w:val="22"/>
        </w:rPr>
      </w:pPr>
      <w:bookmarkStart w:id="2" w:name="para32"/>
      <w:r w:rsidRPr="00BE4341">
        <w:rPr>
          <w:rFonts w:ascii="Book Antiqua" w:hAnsi="Book Antiqua"/>
          <w:sz w:val="22"/>
          <w:szCs w:val="22"/>
        </w:rPr>
        <w:t>“</w:t>
      </w:r>
      <w:r w:rsidR="00A60F3F">
        <w:rPr>
          <w:rFonts w:ascii="Book Antiqua" w:hAnsi="Book Antiqua"/>
          <w:sz w:val="22"/>
          <w:szCs w:val="22"/>
        </w:rPr>
        <w:t>32.</w:t>
      </w:r>
      <w:r w:rsidR="00A60F3F">
        <w:rPr>
          <w:rFonts w:ascii="Book Antiqua" w:hAnsi="Book Antiqua"/>
          <w:sz w:val="22"/>
          <w:szCs w:val="22"/>
        </w:rPr>
        <w:tab/>
      </w:r>
      <w:r w:rsidRPr="00BE4341">
        <w:rPr>
          <w:rFonts w:ascii="Book Antiqua" w:hAnsi="Book Antiqua"/>
          <w:sz w:val="22"/>
          <w:szCs w:val="22"/>
        </w:rPr>
        <w:t xml:space="preserve">In my judgment, the critical question is whether the claimant is in fact in a position to support himself or not, and </w:t>
      </w:r>
      <w:r w:rsidRPr="00BE4341">
        <w:rPr>
          <w:rFonts w:ascii="Book Antiqua" w:hAnsi="Book Antiqua"/>
          <w:i/>
          <w:sz w:val="22"/>
          <w:szCs w:val="22"/>
        </w:rPr>
        <w:t>Reyes</w:t>
      </w:r>
      <w:r w:rsidRPr="00BE4341">
        <w:rPr>
          <w:rFonts w:ascii="Book Antiqua" w:hAnsi="Book Antiqua"/>
          <w:sz w:val="22"/>
          <w:szCs w:val="22"/>
        </w:rPr>
        <w:t xml:space="preserve"> now makes that clear beyond doubt, in m</w:t>
      </w:r>
      <w:bookmarkEnd w:id="2"/>
      <w:r w:rsidRPr="00BE4341">
        <w:rPr>
          <w:rFonts w:ascii="Book Antiqua" w:hAnsi="Book Antiqua"/>
          <w:sz w:val="22"/>
          <w:szCs w:val="22"/>
        </w:rPr>
        <w:t>y view.  T</w:t>
      </w:r>
      <w:r w:rsidR="00791DB7">
        <w:rPr>
          <w:rFonts w:ascii="Book Antiqua" w:hAnsi="Book Antiqua"/>
          <w:sz w:val="22"/>
          <w:szCs w:val="22"/>
        </w:rPr>
        <w:t xml:space="preserve">hat is a simple matter of fact.  </w:t>
      </w:r>
      <w:r w:rsidRPr="00BE4341">
        <w:rPr>
          <w:rFonts w:ascii="Book Antiqua" w:hAnsi="Book Antiqua"/>
          <w:sz w:val="22"/>
          <w:szCs w:val="22"/>
        </w:rPr>
        <w:t xml:space="preserve">If he can support himself, there is no dependency, </w:t>
      </w:r>
      <w:r w:rsidRPr="00BE4341">
        <w:rPr>
          <w:rFonts w:ascii="Book Antiqua" w:hAnsi="Book Antiqua"/>
          <w:i/>
          <w:sz w:val="22"/>
          <w:szCs w:val="22"/>
        </w:rPr>
        <w:t>even if he is given financial material support by the EU citizen.  Those additional resources are not necessary to enable him to meet his basic needs.</w:t>
      </w:r>
      <w:r w:rsidRPr="00BE4341">
        <w:rPr>
          <w:rFonts w:ascii="Book Antiqua" w:hAnsi="Book Antiqua"/>
          <w:sz w:val="22"/>
          <w:szCs w:val="22"/>
        </w:rPr>
        <w:t xml:space="preserve">  If, on the other hand, he cannot support himself from his own resources, the court will not ask why that is the case, save perhaps where there is an abuse of rights.  The fact that he chooses not to get a job and become self-supporting is irrelevant.  It follows that on the facts of this case, there was no dependency.  The appellant had the funds to support herself.</w:t>
      </w:r>
      <w:r w:rsidR="00791DB7">
        <w:rPr>
          <w:rFonts w:ascii="Book Antiqua" w:hAnsi="Book Antiqua"/>
          <w:sz w:val="22"/>
          <w:szCs w:val="22"/>
        </w:rPr>
        <w:t xml:space="preserve">  </w:t>
      </w:r>
      <w:r w:rsidRPr="00BE4341">
        <w:rPr>
          <w:rFonts w:ascii="Book Antiqua" w:hAnsi="Book Antiqua"/>
          <w:sz w:val="22"/>
          <w:szCs w:val="22"/>
        </w:rPr>
        <w:t>She was financially independent and did not need the additional resources for the purpose of meeting her basic needs.”</w:t>
      </w:r>
      <w:r w:rsidR="00A60F3F">
        <w:rPr>
          <w:rFonts w:ascii="Book Antiqua" w:hAnsi="Book Antiqua"/>
          <w:sz w:val="22"/>
          <w:szCs w:val="22"/>
        </w:rPr>
        <w:tab/>
      </w:r>
      <w:r w:rsidR="00A60F3F">
        <w:rPr>
          <w:rFonts w:ascii="Book Antiqua" w:hAnsi="Book Antiqua"/>
          <w:sz w:val="22"/>
          <w:szCs w:val="22"/>
        </w:rPr>
        <w:tab/>
      </w:r>
      <w:r w:rsidR="00A60F3F">
        <w:rPr>
          <w:rFonts w:ascii="Book Antiqua" w:hAnsi="Book Antiqua"/>
          <w:sz w:val="22"/>
          <w:szCs w:val="22"/>
        </w:rPr>
        <w:tab/>
      </w:r>
      <w:r w:rsidR="00A60F3F">
        <w:rPr>
          <w:rFonts w:ascii="Book Antiqua" w:hAnsi="Book Antiqua"/>
          <w:sz w:val="22"/>
          <w:szCs w:val="22"/>
        </w:rPr>
        <w:tab/>
      </w:r>
      <w:r w:rsidR="00A60F3F">
        <w:rPr>
          <w:rFonts w:ascii="Book Antiqua" w:hAnsi="Book Antiqua"/>
          <w:sz w:val="22"/>
          <w:szCs w:val="22"/>
        </w:rPr>
        <w:tab/>
      </w:r>
      <w:r w:rsidR="00A60F3F">
        <w:rPr>
          <w:rFonts w:ascii="Book Antiqua" w:hAnsi="Book Antiqua"/>
          <w:sz w:val="22"/>
          <w:szCs w:val="22"/>
        </w:rPr>
        <w:tab/>
      </w:r>
      <w:r w:rsidR="00A60F3F">
        <w:rPr>
          <w:rFonts w:ascii="Book Antiqua" w:hAnsi="Book Antiqua"/>
          <w:sz w:val="22"/>
          <w:szCs w:val="22"/>
        </w:rPr>
        <w:tab/>
      </w:r>
      <w:r w:rsidR="00A60F3F">
        <w:rPr>
          <w:rFonts w:ascii="Book Antiqua" w:hAnsi="Book Antiqua"/>
          <w:sz w:val="22"/>
          <w:szCs w:val="22"/>
        </w:rPr>
        <w:tab/>
      </w:r>
      <w:r w:rsidR="00A60F3F">
        <w:rPr>
          <w:rFonts w:ascii="Book Antiqua" w:hAnsi="Book Antiqua"/>
          <w:sz w:val="22"/>
          <w:szCs w:val="22"/>
        </w:rPr>
        <w:tab/>
      </w:r>
      <w:r w:rsidR="00A60F3F">
        <w:rPr>
          <w:rFonts w:ascii="Book Antiqua" w:hAnsi="Book Antiqua"/>
          <w:sz w:val="22"/>
          <w:szCs w:val="22"/>
        </w:rPr>
        <w:tab/>
        <w:t xml:space="preserve"> [</w:t>
      </w:r>
      <w:r w:rsidR="00A60F3F">
        <w:rPr>
          <w:rFonts w:ascii="Book Antiqua" w:hAnsi="Book Antiqua"/>
          <w:i/>
          <w:sz w:val="22"/>
          <w:szCs w:val="22"/>
        </w:rPr>
        <w:t>Emphasis added</w:t>
      </w:r>
      <w:r w:rsidR="00A60F3F">
        <w:rPr>
          <w:rFonts w:ascii="Book Antiqua" w:hAnsi="Book Antiqua"/>
          <w:sz w:val="22"/>
          <w:szCs w:val="22"/>
        </w:rPr>
        <w:t>]</w:t>
      </w:r>
    </w:p>
    <w:p w14:paraId="73394572" w14:textId="77777777" w:rsidR="00F1658B" w:rsidRPr="00F1658B" w:rsidRDefault="00F1658B" w:rsidP="00F1658B">
      <w:pPr>
        <w:spacing w:before="240"/>
        <w:jc w:val="both"/>
        <w:rPr>
          <w:rFonts w:ascii="Book Antiqua" w:hAnsi="Book Antiqua" w:cs="Arial"/>
          <w:b/>
        </w:rPr>
      </w:pPr>
      <w:r>
        <w:rPr>
          <w:rFonts w:ascii="Book Antiqua" w:hAnsi="Book Antiqua" w:cs="Arial"/>
          <w:b/>
        </w:rPr>
        <w:t xml:space="preserve">Discussion </w:t>
      </w:r>
    </w:p>
    <w:p w14:paraId="772A0D83" w14:textId="77777777" w:rsidR="00A60F3F" w:rsidRDefault="00D673E4" w:rsidP="00284307">
      <w:pPr>
        <w:numPr>
          <w:ilvl w:val="0"/>
          <w:numId w:val="3"/>
        </w:numPr>
        <w:spacing w:before="240"/>
        <w:jc w:val="both"/>
        <w:rPr>
          <w:rFonts w:ascii="Book Antiqua" w:hAnsi="Book Antiqua" w:cs="Arial"/>
        </w:rPr>
      </w:pPr>
      <w:r>
        <w:rPr>
          <w:rFonts w:ascii="Book Antiqua" w:hAnsi="Book Antiqua" w:cs="Arial"/>
        </w:rPr>
        <w:t>For the appellant</w:t>
      </w:r>
      <w:r w:rsidR="00F1658B">
        <w:rPr>
          <w:rFonts w:ascii="Book Antiqua" w:hAnsi="Book Antiqua" w:cs="Arial"/>
        </w:rPr>
        <w:t>,</w:t>
      </w:r>
      <w:r>
        <w:rPr>
          <w:rFonts w:ascii="Book Antiqua" w:hAnsi="Book Antiqua" w:cs="Arial"/>
        </w:rPr>
        <w:t xml:space="preserve"> Mr </w:t>
      </w:r>
      <w:proofErr w:type="spellStart"/>
      <w:r>
        <w:rPr>
          <w:rFonts w:ascii="Book Antiqua" w:hAnsi="Book Antiqua" w:cs="Arial"/>
        </w:rPr>
        <w:t>Bhuiyan</w:t>
      </w:r>
      <w:proofErr w:type="spellEnd"/>
      <w:r>
        <w:rPr>
          <w:rFonts w:ascii="Book Antiqua" w:hAnsi="Book Antiqua" w:cs="Arial"/>
        </w:rPr>
        <w:t xml:space="preserve"> has sought to</w:t>
      </w:r>
      <w:r w:rsidR="00791DB7">
        <w:rPr>
          <w:rFonts w:ascii="Book Antiqua" w:hAnsi="Book Antiqua" w:cs="Arial"/>
        </w:rPr>
        <w:t xml:space="preserve"> persuade me that </w:t>
      </w:r>
      <w:r w:rsidR="00791DB7" w:rsidRPr="00791DB7">
        <w:rPr>
          <w:rFonts w:ascii="Book Antiqua" w:hAnsi="Book Antiqua" w:cs="Arial"/>
          <w:i/>
        </w:rPr>
        <w:t>Lim</w:t>
      </w:r>
      <w:r>
        <w:rPr>
          <w:rFonts w:ascii="Book Antiqua" w:hAnsi="Book Antiqua" w:cs="Arial"/>
        </w:rPr>
        <w:t xml:space="preserve"> </w:t>
      </w:r>
      <w:r w:rsidR="00A60F3F">
        <w:rPr>
          <w:rFonts w:ascii="Book Antiqua" w:hAnsi="Book Antiqua" w:cs="Arial"/>
        </w:rPr>
        <w:t xml:space="preserve">should </w:t>
      </w:r>
      <w:r>
        <w:rPr>
          <w:rFonts w:ascii="Book Antiqua" w:hAnsi="Book Antiqua" w:cs="Arial"/>
        </w:rPr>
        <w:t>be distinguished on t</w:t>
      </w:r>
      <w:r w:rsidR="00791DB7">
        <w:rPr>
          <w:rFonts w:ascii="Book Antiqua" w:hAnsi="Book Antiqua" w:cs="Arial"/>
        </w:rPr>
        <w:t>he facts</w:t>
      </w:r>
      <w:r w:rsidR="00A60F3F">
        <w:rPr>
          <w:rFonts w:ascii="Book Antiqua" w:hAnsi="Book Antiqua" w:cs="Arial"/>
        </w:rPr>
        <w:t>,</w:t>
      </w:r>
      <w:r w:rsidR="00791DB7">
        <w:rPr>
          <w:rFonts w:ascii="Book Antiqua" w:hAnsi="Book Antiqua" w:cs="Arial"/>
        </w:rPr>
        <w:t xml:space="preserve"> because Mrs Lim was a </w:t>
      </w:r>
      <w:r>
        <w:rPr>
          <w:rFonts w:ascii="Book Antiqua" w:hAnsi="Book Antiqua" w:cs="Arial"/>
        </w:rPr>
        <w:t>wealthy woman and capable of supporting herself financially from her own resources whereas this young man had</w:t>
      </w:r>
      <w:r w:rsidR="00A60F3F">
        <w:rPr>
          <w:rFonts w:ascii="Book Antiqua" w:hAnsi="Book Antiqua" w:cs="Arial"/>
        </w:rPr>
        <w:t xml:space="preserve"> </w:t>
      </w:r>
      <w:r>
        <w:rPr>
          <w:rFonts w:ascii="Book Antiqua" w:hAnsi="Book Antiqua" w:cs="Arial"/>
        </w:rPr>
        <w:t xml:space="preserve">no experience at all of working.  </w:t>
      </w:r>
    </w:p>
    <w:p w14:paraId="23555866" w14:textId="7126BFB9" w:rsidR="00D673E4" w:rsidRDefault="00D673E4" w:rsidP="00284307">
      <w:pPr>
        <w:numPr>
          <w:ilvl w:val="0"/>
          <w:numId w:val="3"/>
        </w:numPr>
        <w:spacing w:before="240"/>
        <w:jc w:val="both"/>
        <w:rPr>
          <w:rFonts w:ascii="Book Antiqua" w:hAnsi="Book Antiqua" w:cs="Arial"/>
        </w:rPr>
      </w:pPr>
      <w:r>
        <w:rPr>
          <w:rFonts w:ascii="Book Antiqua" w:hAnsi="Book Antiqua" w:cs="Arial"/>
        </w:rPr>
        <w:t>However, it is a well-established principle that he who asserts must prove and there is simply no evidence at all to suggest that this medically healthy</w:t>
      </w:r>
      <w:r w:rsidR="00A60F3F">
        <w:rPr>
          <w:rFonts w:ascii="Book Antiqua" w:hAnsi="Book Antiqua" w:cs="Arial"/>
        </w:rPr>
        <w:t>,</w:t>
      </w:r>
      <w:r>
        <w:rPr>
          <w:rFonts w:ascii="Book Antiqua" w:hAnsi="Book Antiqua" w:cs="Arial"/>
        </w:rPr>
        <w:t xml:space="preserve"> fit young man would not be able to support himself if he were not looking after his </w:t>
      </w:r>
      <w:r w:rsidR="00A60F3F">
        <w:rPr>
          <w:rFonts w:ascii="Book Antiqua" w:hAnsi="Book Antiqua" w:cs="Arial"/>
        </w:rPr>
        <w:t>great-</w:t>
      </w:r>
      <w:r>
        <w:rPr>
          <w:rFonts w:ascii="Book Antiqua" w:hAnsi="Book Antiqua" w:cs="Arial"/>
        </w:rPr>
        <w:t>aunt</w:t>
      </w:r>
      <w:r w:rsidR="00791DB7">
        <w:rPr>
          <w:rFonts w:ascii="Book Antiqua" w:hAnsi="Book Antiqua" w:cs="Arial"/>
        </w:rPr>
        <w:t>,</w:t>
      </w:r>
      <w:r>
        <w:rPr>
          <w:rFonts w:ascii="Book Antiqua" w:hAnsi="Book Antiqua" w:cs="Arial"/>
        </w:rPr>
        <w:t xml:space="preserve"> by means of a family arrangement to that effect.  It sounds as though looking after the sponsor’s mother was a fairly demanding job and there is </w:t>
      </w:r>
      <w:r w:rsidR="00A60F3F">
        <w:rPr>
          <w:rFonts w:ascii="Book Antiqua" w:hAnsi="Book Antiqua" w:cs="Arial"/>
        </w:rPr>
        <w:t>no evidence (other than the sponsor’s assertion and that of the appellant)</w:t>
      </w:r>
      <w:r w:rsidR="00566622">
        <w:rPr>
          <w:rFonts w:ascii="Book Antiqua" w:hAnsi="Book Antiqua" w:cs="Arial"/>
        </w:rPr>
        <w:t xml:space="preserve"> </w:t>
      </w:r>
      <w:r>
        <w:rPr>
          <w:rFonts w:ascii="Book Antiqua" w:hAnsi="Book Antiqua" w:cs="Arial"/>
        </w:rPr>
        <w:t xml:space="preserve">to show whether or not, if he had not been doing that, this young man could have supported himself.  </w:t>
      </w:r>
    </w:p>
    <w:p w14:paraId="1C2CF3A2" w14:textId="77777777" w:rsidR="00A60F3F" w:rsidRDefault="00F1658B" w:rsidP="00791DB7">
      <w:pPr>
        <w:numPr>
          <w:ilvl w:val="0"/>
          <w:numId w:val="3"/>
        </w:numPr>
        <w:spacing w:before="240"/>
        <w:jc w:val="both"/>
        <w:rPr>
          <w:rFonts w:ascii="Book Antiqua" w:hAnsi="Book Antiqua" w:cs="Arial"/>
        </w:rPr>
      </w:pPr>
      <w:r w:rsidRPr="00F1658B">
        <w:rPr>
          <w:rFonts w:ascii="Book Antiqua" w:hAnsi="Book Antiqua" w:cs="Arial"/>
        </w:rPr>
        <w:t xml:space="preserve">I am satisfied that on these facts, </w:t>
      </w:r>
      <w:r>
        <w:rPr>
          <w:rFonts w:ascii="Book Antiqua" w:hAnsi="Book Antiqua" w:cs="Arial"/>
        </w:rPr>
        <w:t>the</w:t>
      </w:r>
      <w:r w:rsidRPr="00F1658B">
        <w:rPr>
          <w:rFonts w:ascii="Book Antiqua" w:hAnsi="Book Antiqua" w:cs="Arial"/>
        </w:rPr>
        <w:t xml:space="preserve"> First-tier Judge did not err in law in concluding that at all material times that household was the household either of the sponsor’s parents or, after his father’s death, of the sponsor’s mother.  </w:t>
      </w:r>
      <w:r>
        <w:rPr>
          <w:rFonts w:ascii="Book Antiqua" w:hAnsi="Book Antiqua" w:cs="Arial"/>
        </w:rPr>
        <w:t>The sponsor is a fit young man and</w:t>
      </w:r>
      <w:r w:rsidR="00D673E4" w:rsidRPr="00F1658B">
        <w:rPr>
          <w:rFonts w:ascii="Book Antiqua" w:hAnsi="Book Antiqua" w:cs="Arial"/>
        </w:rPr>
        <w:t xml:space="preserve"> applying </w:t>
      </w:r>
      <w:r w:rsidR="00D673E4" w:rsidRPr="00F1658B">
        <w:rPr>
          <w:rFonts w:ascii="Book Antiqua" w:hAnsi="Book Antiqua" w:cs="Arial"/>
          <w:i/>
        </w:rPr>
        <w:t>Lim</w:t>
      </w:r>
      <w:r w:rsidR="00D673E4" w:rsidRPr="00F1658B">
        <w:rPr>
          <w:rFonts w:ascii="Book Antiqua" w:hAnsi="Book Antiqua" w:cs="Arial"/>
        </w:rPr>
        <w:t xml:space="preserve"> there is no doubt in my mind that </w:t>
      </w:r>
      <w:r>
        <w:rPr>
          <w:rFonts w:ascii="Book Antiqua" w:hAnsi="Book Antiqua" w:cs="Arial"/>
        </w:rPr>
        <w:t>his</w:t>
      </w:r>
      <w:r w:rsidR="00D673E4" w:rsidRPr="00F1658B">
        <w:rPr>
          <w:rFonts w:ascii="Book Antiqua" w:hAnsi="Book Antiqua" w:cs="Arial"/>
        </w:rPr>
        <w:t xml:space="preserve"> dependency </w:t>
      </w:r>
      <w:r>
        <w:rPr>
          <w:rFonts w:ascii="Book Antiqua" w:hAnsi="Book Antiqua" w:cs="Arial"/>
        </w:rPr>
        <w:t>on the sponsor</w:t>
      </w:r>
      <w:r w:rsidR="00D673E4" w:rsidRPr="00F1658B">
        <w:rPr>
          <w:rFonts w:ascii="Book Antiqua" w:hAnsi="Book Antiqua" w:cs="Arial"/>
        </w:rPr>
        <w:t xml:space="preserve"> is a dependency of choice.  </w:t>
      </w:r>
    </w:p>
    <w:p w14:paraId="038B58A2" w14:textId="77777777" w:rsidR="000C00D4" w:rsidRPr="00F1658B" w:rsidRDefault="000C00D4" w:rsidP="000C00D4">
      <w:pPr>
        <w:spacing w:before="240"/>
        <w:ind w:left="567"/>
        <w:jc w:val="both"/>
        <w:rPr>
          <w:rFonts w:ascii="Book Antiqua" w:hAnsi="Book Antiqua" w:cs="Arial"/>
        </w:rPr>
      </w:pPr>
    </w:p>
    <w:p w14:paraId="13D3FCF8" w14:textId="77777777" w:rsidR="00F1658B" w:rsidRPr="000C00D4" w:rsidRDefault="000C00D4" w:rsidP="000C00D4">
      <w:pPr>
        <w:spacing w:before="240"/>
        <w:jc w:val="both"/>
        <w:rPr>
          <w:rFonts w:ascii="Book Antiqua" w:hAnsi="Book Antiqua" w:cs="Arial"/>
          <w:b/>
        </w:rPr>
      </w:pPr>
      <w:r>
        <w:rPr>
          <w:rFonts w:ascii="Book Antiqua" w:hAnsi="Book Antiqua" w:cs="Arial"/>
          <w:b/>
        </w:rPr>
        <w:lastRenderedPageBreak/>
        <w:t xml:space="preserve">Decision </w:t>
      </w:r>
    </w:p>
    <w:p w14:paraId="469C7FD3" w14:textId="77777777" w:rsidR="00B705D9" w:rsidRPr="00791DB7" w:rsidRDefault="000C00D4" w:rsidP="00791DB7">
      <w:pPr>
        <w:numPr>
          <w:ilvl w:val="0"/>
          <w:numId w:val="3"/>
        </w:numPr>
        <w:spacing w:before="240"/>
        <w:jc w:val="both"/>
        <w:rPr>
          <w:rFonts w:ascii="Book Antiqua" w:hAnsi="Book Antiqua" w:cs="Arial"/>
        </w:rPr>
      </w:pPr>
      <w:r>
        <w:rPr>
          <w:rFonts w:ascii="Book Antiqua" w:hAnsi="Book Antiqua" w:cs="Arial"/>
        </w:rPr>
        <w:t xml:space="preserve">The First-tier Tribunal did not make a material error of law in the decision on this appeal.  I do not set aside the decision of the First-tier Tribunal.  </w:t>
      </w:r>
      <w:r w:rsidR="00F1658B" w:rsidRPr="00791DB7">
        <w:rPr>
          <w:rFonts w:ascii="Book Antiqua" w:hAnsi="Book Antiqua" w:cs="Arial"/>
        </w:rPr>
        <w:t xml:space="preserve"> </w:t>
      </w:r>
      <w:r>
        <w:rPr>
          <w:rFonts w:ascii="Book Antiqua" w:hAnsi="Book Antiqua" w:cs="Arial"/>
        </w:rPr>
        <w:t xml:space="preserve"> The decision of the First-tier Tribunal stands. </w:t>
      </w:r>
    </w:p>
    <w:p w14:paraId="7CE0914C" w14:textId="77777777" w:rsidR="00B705D9" w:rsidRDefault="00B705D9" w:rsidP="000369F5">
      <w:pPr>
        <w:tabs>
          <w:tab w:val="left" w:pos="2520"/>
        </w:tabs>
        <w:jc w:val="both"/>
        <w:rPr>
          <w:rFonts w:ascii="Book Antiqua" w:hAnsi="Book Antiqua" w:cs="Arial"/>
        </w:rPr>
      </w:pPr>
    </w:p>
    <w:p w14:paraId="4E331408" w14:textId="77777777" w:rsidR="00F1658B" w:rsidRPr="00C6723A" w:rsidRDefault="00F1658B" w:rsidP="00C6723A">
      <w:pPr>
        <w:ind w:left="357"/>
        <w:jc w:val="both"/>
        <w:rPr>
          <w:rFonts w:ascii="Book Antiqua" w:hAnsi="Book Antiqua" w:cs="Arial"/>
          <w:lang w:eastAsia="en-US"/>
        </w:rPr>
      </w:pPr>
      <w:r w:rsidRPr="00C6723A">
        <w:rPr>
          <w:lang w:eastAsia="en-US"/>
        </w:rPr>
        <w:t>Signed:</w:t>
      </w:r>
      <w:r w:rsidRPr="00C6723A">
        <w:rPr>
          <w:lang w:eastAsia="en-US"/>
        </w:rPr>
        <w:tab/>
      </w:r>
      <w:r>
        <w:rPr>
          <w:lang w:eastAsia="en-US"/>
        </w:rPr>
        <w:tab/>
      </w:r>
      <w:r w:rsidRPr="00C6723A">
        <w:rPr>
          <w:rFonts w:ascii="Rage Italic" w:hAnsi="Rage Italic" w:cs="Arial"/>
          <w:color w:val="0070C0"/>
          <w:sz w:val="28"/>
          <w:lang w:eastAsia="en-US"/>
        </w:rPr>
        <w:t>Judith A J C Gleeson</w:t>
      </w:r>
      <w:r w:rsidRPr="00C6723A">
        <w:rPr>
          <w:rFonts w:ascii="Rage Italic" w:hAnsi="Rage Italic" w:cs="Arial"/>
          <w:color w:val="0070C0"/>
          <w:sz w:val="28"/>
          <w:lang w:eastAsia="en-US"/>
        </w:rPr>
        <w:tab/>
      </w:r>
      <w:r w:rsidRPr="00C6723A">
        <w:rPr>
          <w:rFonts w:ascii="Rage Italic" w:hAnsi="Rage Italic" w:cs="Arial"/>
          <w:color w:val="0070C0"/>
          <w:lang w:eastAsia="en-US"/>
        </w:rPr>
        <w:tab/>
      </w:r>
      <w:r w:rsidRPr="00C6723A">
        <w:rPr>
          <w:rFonts w:ascii="Rage Italic" w:hAnsi="Rage Italic" w:cs="Arial"/>
          <w:color w:val="0070C0"/>
          <w:lang w:eastAsia="en-US"/>
        </w:rPr>
        <w:tab/>
      </w:r>
      <w:r>
        <w:rPr>
          <w:rFonts w:ascii="Rage Italic" w:hAnsi="Rage Italic" w:cs="Arial"/>
          <w:color w:val="0070C0"/>
          <w:lang w:eastAsia="en-US"/>
        </w:rPr>
        <w:tab/>
      </w:r>
      <w:r>
        <w:rPr>
          <w:rFonts w:ascii="Rage Italic" w:hAnsi="Rage Italic" w:cs="Arial"/>
          <w:color w:val="0070C0"/>
          <w:lang w:eastAsia="en-US"/>
        </w:rPr>
        <w:tab/>
      </w:r>
      <w:r>
        <w:rPr>
          <w:rFonts w:ascii="Rage Italic" w:hAnsi="Rage Italic" w:cs="Arial"/>
          <w:color w:val="0070C0"/>
          <w:lang w:eastAsia="en-US"/>
        </w:rPr>
        <w:tab/>
      </w:r>
      <w:r w:rsidRPr="00C6723A">
        <w:rPr>
          <w:rFonts w:ascii="Book Antiqua" w:hAnsi="Book Antiqua" w:cs="Arial"/>
          <w:lang w:eastAsia="en-US"/>
        </w:rPr>
        <w:t xml:space="preserve">Date:  </w:t>
      </w:r>
      <w:r>
        <w:rPr>
          <w:rFonts w:ascii="Book Antiqua" w:hAnsi="Book Antiqua" w:cs="Arial"/>
          <w:lang w:eastAsia="en-US"/>
        </w:rPr>
        <w:t>28 August 2018</w:t>
      </w:r>
    </w:p>
    <w:p w14:paraId="189467D3" w14:textId="7D201B75" w:rsidR="00F1658B" w:rsidRPr="00C6723A" w:rsidRDefault="00F1658B" w:rsidP="00C6723A">
      <w:pPr>
        <w:ind w:left="357"/>
        <w:jc w:val="both"/>
        <w:rPr>
          <w:lang w:eastAsia="en-US"/>
        </w:rPr>
      </w:pPr>
      <w:r w:rsidRPr="00C6723A">
        <w:rPr>
          <w:rFonts w:ascii="Book Antiqua" w:hAnsi="Book Antiqua" w:cs="Arial"/>
          <w:lang w:eastAsia="en-US"/>
        </w:rPr>
        <w:tab/>
      </w:r>
      <w:r w:rsidRPr="00C6723A">
        <w:rPr>
          <w:rFonts w:ascii="Book Antiqua" w:hAnsi="Book Antiqua" w:cs="Arial"/>
          <w:lang w:eastAsia="en-US"/>
        </w:rPr>
        <w:tab/>
      </w:r>
      <w:r>
        <w:rPr>
          <w:rFonts w:ascii="Book Antiqua" w:hAnsi="Book Antiqua" w:cs="Arial"/>
          <w:lang w:eastAsia="en-US"/>
        </w:rPr>
        <w:tab/>
      </w:r>
      <w:r w:rsidRPr="00C6723A">
        <w:rPr>
          <w:rFonts w:ascii="Book Antiqua" w:hAnsi="Book Antiqua" w:cs="Arial"/>
          <w:lang w:eastAsia="en-US"/>
        </w:rPr>
        <w:t xml:space="preserve">Upper Tribunal Judge Gleeson  </w:t>
      </w:r>
    </w:p>
    <w:sectPr w:rsidR="00F1658B" w:rsidRPr="00C6723A"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C9346" w14:textId="77777777" w:rsidR="00461EA5" w:rsidRDefault="00461EA5">
      <w:r>
        <w:separator/>
      </w:r>
    </w:p>
  </w:endnote>
  <w:endnote w:type="continuationSeparator" w:id="0">
    <w:p w14:paraId="7F3A204F" w14:textId="77777777" w:rsidR="00461EA5" w:rsidRDefault="00461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Palatino Linotype"/>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6A367" w14:textId="7419C830" w:rsidR="00B705D9" w:rsidRPr="00F5664C" w:rsidRDefault="00B705D9"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165492">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01DF5" w14:textId="77777777" w:rsidR="00B705D9" w:rsidRPr="00F5664C" w:rsidRDefault="00B705D9" w:rsidP="00842418">
    <w:pPr>
      <w:jc w:val="center"/>
      <w:rPr>
        <w:rFonts w:ascii="Book Antiqua" w:hAnsi="Book Antiqua" w:cs="Arial"/>
        <w:b/>
      </w:rPr>
    </w:pPr>
    <w:r w:rsidRPr="00F5664C">
      <w:rPr>
        <w:rFonts w:ascii="Book Antiqua" w:hAnsi="Book Antiqua" w:cs="Arial"/>
        <w:b/>
        <w:spacing w:val="-6"/>
      </w:rPr>
      <w:t>©</w:t>
    </w:r>
    <w:r w:rsidR="00997F3F">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42967" w14:textId="77777777" w:rsidR="00461EA5" w:rsidRDefault="00461EA5">
      <w:r>
        <w:separator/>
      </w:r>
    </w:p>
  </w:footnote>
  <w:footnote w:type="continuationSeparator" w:id="0">
    <w:p w14:paraId="53EF159B" w14:textId="77777777" w:rsidR="00461EA5" w:rsidRDefault="00461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97A2B" w14:textId="77777777" w:rsidR="00B705D9" w:rsidRPr="00534E2A" w:rsidRDefault="00B705D9" w:rsidP="000369F5">
    <w:pPr>
      <w:pStyle w:val="Header"/>
      <w:tabs>
        <w:tab w:val="clear" w:pos="4153"/>
        <w:tab w:val="clear" w:pos="8306"/>
        <w:tab w:val="right" w:pos="9639"/>
      </w:tabs>
      <w:jc w:val="right"/>
      <w:rPr>
        <w:rFonts w:ascii="Book Antiqua" w:hAnsi="Book Antiqua" w:cs="Arial"/>
        <w:sz w:val="16"/>
        <w:szCs w:val="16"/>
      </w:rPr>
    </w:pPr>
    <w:r w:rsidRPr="00534E2A">
      <w:rPr>
        <w:rFonts w:ascii="Book Antiqua" w:hAnsi="Book Antiqua" w:cs="Arial"/>
        <w:sz w:val="16"/>
        <w:szCs w:val="16"/>
      </w:rPr>
      <w:t xml:space="preserve">Appeal Number: </w:t>
    </w:r>
    <w:r w:rsidR="00534E2A" w:rsidRPr="00534E2A">
      <w:rPr>
        <w:rFonts w:ascii="Book Antiqua" w:hAnsi="Book Antiqua" w:cs="Arial"/>
        <w:caps/>
        <w:sz w:val="16"/>
        <w:szCs w:val="16"/>
      </w:rPr>
      <w:t>EA/02235/2017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7D65A" w14:textId="77777777" w:rsidR="00B705D9" w:rsidRPr="00F5664C" w:rsidRDefault="00B705D9">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D60EB8"/>
    <w:multiLevelType w:val="multilevel"/>
    <w:tmpl w:val="DE1C7FD2"/>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59538AC"/>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7E32104F"/>
    <w:multiLevelType w:val="multilevel"/>
    <w:tmpl w:val="D63AF316"/>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5"/>
  </w:num>
  <w:num w:numId="2">
    <w:abstractNumId w:val="13"/>
  </w:num>
  <w:num w:numId="3">
    <w:abstractNumId w:val="2"/>
  </w:num>
  <w:num w:numId="4">
    <w:abstractNumId w:val="10"/>
  </w:num>
  <w:num w:numId="5">
    <w:abstractNumId w:val="18"/>
  </w:num>
  <w:num w:numId="6">
    <w:abstractNumId w:val="11"/>
  </w:num>
  <w:num w:numId="7">
    <w:abstractNumId w:val="17"/>
  </w:num>
  <w:num w:numId="8">
    <w:abstractNumId w:val="8"/>
  </w:num>
  <w:num w:numId="9">
    <w:abstractNumId w:val="7"/>
  </w:num>
  <w:num w:numId="10">
    <w:abstractNumId w:val="16"/>
  </w:num>
  <w:num w:numId="11">
    <w:abstractNumId w:val="15"/>
  </w:num>
  <w:num w:numId="12">
    <w:abstractNumId w:val="1"/>
  </w:num>
  <w:num w:numId="13">
    <w:abstractNumId w:val="14"/>
  </w:num>
  <w:num w:numId="14">
    <w:abstractNumId w:val="0"/>
  </w:num>
  <w:num w:numId="15">
    <w:abstractNumId w:val="4"/>
  </w:num>
  <w:num w:numId="16">
    <w:abstractNumId w:val="6"/>
  </w:num>
  <w:num w:numId="17">
    <w:abstractNumId w:val="12"/>
  </w:num>
  <w:num w:numId="18">
    <w:abstractNumId w:val="9"/>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F3F"/>
    <w:rsid w:val="00000621"/>
    <w:rsid w:val="000036C2"/>
    <w:rsid w:val="000102BD"/>
    <w:rsid w:val="0002205B"/>
    <w:rsid w:val="00033D3D"/>
    <w:rsid w:val="000369F5"/>
    <w:rsid w:val="00071A7E"/>
    <w:rsid w:val="000746C0"/>
    <w:rsid w:val="00074D1D"/>
    <w:rsid w:val="00092580"/>
    <w:rsid w:val="000A68E1"/>
    <w:rsid w:val="000C00D4"/>
    <w:rsid w:val="000D5D94"/>
    <w:rsid w:val="000E6D26"/>
    <w:rsid w:val="000F3EC5"/>
    <w:rsid w:val="000F76FD"/>
    <w:rsid w:val="001165A7"/>
    <w:rsid w:val="00120604"/>
    <w:rsid w:val="00121B67"/>
    <w:rsid w:val="00146D9C"/>
    <w:rsid w:val="00151BB7"/>
    <w:rsid w:val="00153DCE"/>
    <w:rsid w:val="0016457F"/>
    <w:rsid w:val="00165492"/>
    <w:rsid w:val="00167D3A"/>
    <w:rsid w:val="001A1E2C"/>
    <w:rsid w:val="001B2B9C"/>
    <w:rsid w:val="001F2716"/>
    <w:rsid w:val="001F2A30"/>
    <w:rsid w:val="0020133A"/>
    <w:rsid w:val="00207617"/>
    <w:rsid w:val="002153CC"/>
    <w:rsid w:val="00267403"/>
    <w:rsid w:val="00282D33"/>
    <w:rsid w:val="00283659"/>
    <w:rsid w:val="00284307"/>
    <w:rsid w:val="00284DB6"/>
    <w:rsid w:val="002964CE"/>
    <w:rsid w:val="002C4E73"/>
    <w:rsid w:val="002D5966"/>
    <w:rsid w:val="002D68BF"/>
    <w:rsid w:val="002F26A8"/>
    <w:rsid w:val="003054BE"/>
    <w:rsid w:val="003126B9"/>
    <w:rsid w:val="00321493"/>
    <w:rsid w:val="00324C78"/>
    <w:rsid w:val="0033660E"/>
    <w:rsid w:val="00336CBF"/>
    <w:rsid w:val="00341AC8"/>
    <w:rsid w:val="003546C8"/>
    <w:rsid w:val="00390C69"/>
    <w:rsid w:val="003A7CF2"/>
    <w:rsid w:val="003B0789"/>
    <w:rsid w:val="003C5CE5"/>
    <w:rsid w:val="003E267B"/>
    <w:rsid w:val="003E5936"/>
    <w:rsid w:val="003E7CD1"/>
    <w:rsid w:val="00401098"/>
    <w:rsid w:val="00402B9E"/>
    <w:rsid w:val="00410DA5"/>
    <w:rsid w:val="00423932"/>
    <w:rsid w:val="004249CB"/>
    <w:rsid w:val="004308F8"/>
    <w:rsid w:val="0044127D"/>
    <w:rsid w:val="004448DB"/>
    <w:rsid w:val="00446C9A"/>
    <w:rsid w:val="00461EA5"/>
    <w:rsid w:val="00477193"/>
    <w:rsid w:val="004A1848"/>
    <w:rsid w:val="00507FEC"/>
    <w:rsid w:val="00510F0E"/>
    <w:rsid w:val="00511FD6"/>
    <w:rsid w:val="00534E2A"/>
    <w:rsid w:val="005479E1"/>
    <w:rsid w:val="00552B48"/>
    <w:rsid w:val="005570FD"/>
    <w:rsid w:val="005575EA"/>
    <w:rsid w:val="00566622"/>
    <w:rsid w:val="0057790C"/>
    <w:rsid w:val="00593795"/>
    <w:rsid w:val="00596910"/>
    <w:rsid w:val="005A2625"/>
    <w:rsid w:val="005A75FF"/>
    <w:rsid w:val="005A7AF3"/>
    <w:rsid w:val="005B7789"/>
    <w:rsid w:val="00612745"/>
    <w:rsid w:val="00653924"/>
    <w:rsid w:val="0065791C"/>
    <w:rsid w:val="0067439B"/>
    <w:rsid w:val="00690B8A"/>
    <w:rsid w:val="006D1DFA"/>
    <w:rsid w:val="006D506B"/>
    <w:rsid w:val="006E3C90"/>
    <w:rsid w:val="00704B61"/>
    <w:rsid w:val="007416B4"/>
    <w:rsid w:val="00742A8D"/>
    <w:rsid w:val="00744E28"/>
    <w:rsid w:val="007552A9"/>
    <w:rsid w:val="00757C67"/>
    <w:rsid w:val="00761858"/>
    <w:rsid w:val="00767D59"/>
    <w:rsid w:val="00771861"/>
    <w:rsid w:val="00776E97"/>
    <w:rsid w:val="00780FD7"/>
    <w:rsid w:val="00781544"/>
    <w:rsid w:val="007912AD"/>
    <w:rsid w:val="00791DB7"/>
    <w:rsid w:val="007A1F28"/>
    <w:rsid w:val="007B0824"/>
    <w:rsid w:val="008303B8"/>
    <w:rsid w:val="00833DCE"/>
    <w:rsid w:val="00841426"/>
    <w:rsid w:val="00842418"/>
    <w:rsid w:val="00871D34"/>
    <w:rsid w:val="008B270C"/>
    <w:rsid w:val="008B7675"/>
    <w:rsid w:val="008C3D3D"/>
    <w:rsid w:val="008D2D39"/>
    <w:rsid w:val="008D4131"/>
    <w:rsid w:val="008D72EE"/>
    <w:rsid w:val="008F1932"/>
    <w:rsid w:val="008F294D"/>
    <w:rsid w:val="008F3478"/>
    <w:rsid w:val="00916597"/>
    <w:rsid w:val="00921062"/>
    <w:rsid w:val="00923213"/>
    <w:rsid w:val="0093083E"/>
    <w:rsid w:val="00966ECF"/>
    <w:rsid w:val="009727A3"/>
    <w:rsid w:val="0098507A"/>
    <w:rsid w:val="00987774"/>
    <w:rsid w:val="00997F3F"/>
    <w:rsid w:val="009A11E8"/>
    <w:rsid w:val="009C5A94"/>
    <w:rsid w:val="009E4E62"/>
    <w:rsid w:val="009F5220"/>
    <w:rsid w:val="009F73A5"/>
    <w:rsid w:val="009F7C4D"/>
    <w:rsid w:val="00A15234"/>
    <w:rsid w:val="00A201AB"/>
    <w:rsid w:val="00A31BD8"/>
    <w:rsid w:val="00A31C8B"/>
    <w:rsid w:val="00A5279E"/>
    <w:rsid w:val="00A53BE8"/>
    <w:rsid w:val="00A60F3F"/>
    <w:rsid w:val="00A845DC"/>
    <w:rsid w:val="00A97AEE"/>
    <w:rsid w:val="00AA2E5B"/>
    <w:rsid w:val="00AC5CF6"/>
    <w:rsid w:val="00AE6E89"/>
    <w:rsid w:val="00B144FA"/>
    <w:rsid w:val="00B16F58"/>
    <w:rsid w:val="00B30648"/>
    <w:rsid w:val="00B3524D"/>
    <w:rsid w:val="00B40F69"/>
    <w:rsid w:val="00B46616"/>
    <w:rsid w:val="00B54087"/>
    <w:rsid w:val="00B610E3"/>
    <w:rsid w:val="00B61205"/>
    <w:rsid w:val="00B617C4"/>
    <w:rsid w:val="00B626FA"/>
    <w:rsid w:val="00B65747"/>
    <w:rsid w:val="00B7040A"/>
    <w:rsid w:val="00B705D9"/>
    <w:rsid w:val="00B9106B"/>
    <w:rsid w:val="00B96FA0"/>
    <w:rsid w:val="00BD1E13"/>
    <w:rsid w:val="00BD4196"/>
    <w:rsid w:val="00BD74C9"/>
    <w:rsid w:val="00BE4341"/>
    <w:rsid w:val="00BF22CA"/>
    <w:rsid w:val="00C005C1"/>
    <w:rsid w:val="00C06A31"/>
    <w:rsid w:val="00C25034"/>
    <w:rsid w:val="00C26032"/>
    <w:rsid w:val="00C265B0"/>
    <w:rsid w:val="00C321B5"/>
    <w:rsid w:val="00C345E1"/>
    <w:rsid w:val="00C457BC"/>
    <w:rsid w:val="00C977BA"/>
    <w:rsid w:val="00CB6E35"/>
    <w:rsid w:val="00CE1A46"/>
    <w:rsid w:val="00CF253F"/>
    <w:rsid w:val="00CF56B4"/>
    <w:rsid w:val="00D20F09"/>
    <w:rsid w:val="00D22636"/>
    <w:rsid w:val="00D40FD9"/>
    <w:rsid w:val="00D527C9"/>
    <w:rsid w:val="00D53769"/>
    <w:rsid w:val="00D673E4"/>
    <w:rsid w:val="00D70775"/>
    <w:rsid w:val="00D85C13"/>
    <w:rsid w:val="00D91BE3"/>
    <w:rsid w:val="00D94AFC"/>
    <w:rsid w:val="00DA53F9"/>
    <w:rsid w:val="00DB70AE"/>
    <w:rsid w:val="00DB7231"/>
    <w:rsid w:val="00DD5071"/>
    <w:rsid w:val="00DD5C39"/>
    <w:rsid w:val="00DD6305"/>
    <w:rsid w:val="00DE26AF"/>
    <w:rsid w:val="00DE279E"/>
    <w:rsid w:val="00DE3F1C"/>
    <w:rsid w:val="00DE7DB7"/>
    <w:rsid w:val="00DF41E9"/>
    <w:rsid w:val="00E00A0A"/>
    <w:rsid w:val="00E05FCF"/>
    <w:rsid w:val="00E0621D"/>
    <w:rsid w:val="00E07F57"/>
    <w:rsid w:val="00E50BCE"/>
    <w:rsid w:val="00E51D71"/>
    <w:rsid w:val="00E61292"/>
    <w:rsid w:val="00E76309"/>
    <w:rsid w:val="00E77C4D"/>
    <w:rsid w:val="00E81D01"/>
    <w:rsid w:val="00EA4E94"/>
    <w:rsid w:val="00ED6C2F"/>
    <w:rsid w:val="00EE45D8"/>
    <w:rsid w:val="00F004CD"/>
    <w:rsid w:val="00F1658B"/>
    <w:rsid w:val="00F22EDA"/>
    <w:rsid w:val="00F3224D"/>
    <w:rsid w:val="00F33E0E"/>
    <w:rsid w:val="00F436BD"/>
    <w:rsid w:val="00F5664C"/>
    <w:rsid w:val="00F82A85"/>
    <w:rsid w:val="00FB7E80"/>
    <w:rsid w:val="00FE1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395F9F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659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rPr>
      <w:rFonts w:cs="Times New Roman"/>
    </w:rPr>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1265</Words>
  <Characters>6086</Characters>
  <Application>Microsoft Office Word</Application>
  <DocSecurity>0</DocSecurity>
  <Lines>50</Lines>
  <Paragraphs>14</Paragraphs>
  <ScaleCrop>false</ScaleCrop>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2018-09-18T13:19:00Z</dcterms:created>
  <dcterms:modified xsi:type="dcterms:W3CDTF">2018-09-18T13:19:00Z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