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947" w:rsidRPr="003346D5" w:rsidRDefault="0093304A" w:rsidP="0044451C">
      <w:pPr>
        <w:jc w:val="center"/>
        <w:rPr>
          <w:rFonts w:ascii="Book Antiqua" w:hAnsi="Book Antiqua" w:cs="Arial"/>
          <w:sz w:val="16"/>
          <w:szCs w:val="16"/>
        </w:rPr>
      </w:pPr>
      <w:r w:rsidRPr="003346D5">
        <w:rPr>
          <w:noProof/>
          <w:sz w:val="16"/>
          <w:szCs w:val="16"/>
        </w:rPr>
        <w:drawing>
          <wp:inline distT="0" distB="0" distL="0" distR="0">
            <wp:extent cx="1045845"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8050"/>
                    </a:xfrm>
                    <a:prstGeom prst="rect">
                      <a:avLst/>
                    </a:prstGeom>
                    <a:noFill/>
                    <a:ln>
                      <a:noFill/>
                    </a:ln>
                  </pic:spPr>
                </pic:pic>
              </a:graphicData>
            </a:graphic>
          </wp:inline>
        </w:drawing>
      </w:r>
    </w:p>
    <w:p w:rsidR="00E76947" w:rsidRPr="003346D5" w:rsidRDefault="00E76947">
      <w:pPr>
        <w:rPr>
          <w:rFonts w:ascii="Book Antiqua" w:hAnsi="Book Antiqua" w:cs="Arial"/>
          <w:sz w:val="16"/>
          <w:szCs w:val="16"/>
        </w:rPr>
      </w:pPr>
    </w:p>
    <w:p w:rsidR="00E76947" w:rsidRDefault="00E76947">
      <w:pPr>
        <w:tabs>
          <w:tab w:val="right" w:pos="9639"/>
        </w:tabs>
        <w:rPr>
          <w:rFonts w:ascii="Book Antiqua" w:hAnsi="Book Antiqua" w:cs="Arial"/>
          <w:b/>
        </w:rPr>
      </w:pPr>
      <w:r>
        <w:rPr>
          <w:rFonts w:ascii="Book Antiqua" w:hAnsi="Book Antiqua" w:cs="Arial"/>
          <w:b/>
        </w:rPr>
        <w:t>Upper Tribunal</w:t>
      </w:r>
    </w:p>
    <w:p w:rsidR="00E76947" w:rsidRDefault="00E76947">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EA/02247/2017</w:t>
      </w:r>
      <w:bookmarkEnd w:id="0"/>
    </w:p>
    <w:p w:rsidR="00E76947" w:rsidRDefault="00E76947">
      <w:pPr>
        <w:jc w:val="center"/>
        <w:rPr>
          <w:rFonts w:ascii="Book Antiqua" w:hAnsi="Book Antiqua" w:cs="Arial"/>
        </w:rPr>
      </w:pPr>
    </w:p>
    <w:p w:rsidR="00E76947" w:rsidRDefault="00E76947">
      <w:pPr>
        <w:jc w:val="center"/>
        <w:rPr>
          <w:rFonts w:ascii="Book Antiqua" w:hAnsi="Book Antiqua" w:cs="Arial"/>
        </w:rPr>
      </w:pPr>
    </w:p>
    <w:p w:rsidR="00E76947" w:rsidRDefault="00E76947">
      <w:pPr>
        <w:jc w:val="center"/>
        <w:rPr>
          <w:rFonts w:ascii="Book Antiqua" w:hAnsi="Book Antiqua" w:cs="Arial"/>
          <w:b/>
          <w:u w:val="single"/>
        </w:rPr>
      </w:pPr>
      <w:r>
        <w:rPr>
          <w:rFonts w:ascii="Book Antiqua" w:hAnsi="Book Antiqua" w:cs="Arial"/>
          <w:b/>
          <w:u w:val="single"/>
        </w:rPr>
        <w:t>THE IMMIGRATION ACTS</w:t>
      </w:r>
    </w:p>
    <w:p w:rsidR="00E76947" w:rsidRDefault="00E76947">
      <w:pPr>
        <w:jc w:val="center"/>
        <w:rPr>
          <w:rFonts w:ascii="Book Antiqua" w:hAnsi="Book Antiqua" w:cs="Arial"/>
          <w:b/>
          <w:u w:val="single"/>
        </w:rPr>
      </w:pPr>
    </w:p>
    <w:p w:rsidR="00E76947" w:rsidRDefault="00E76947">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E76947">
        <w:tc>
          <w:tcPr>
            <w:tcW w:w="5868" w:type="dxa"/>
          </w:tcPr>
          <w:p w:rsidR="00E76947" w:rsidRDefault="00E76947">
            <w:pPr>
              <w:jc w:val="both"/>
              <w:rPr>
                <w:rFonts w:ascii="Book Antiqua" w:hAnsi="Book Antiqua" w:cs="Arial"/>
                <w:b/>
              </w:rPr>
            </w:pPr>
            <w:r>
              <w:rPr>
                <w:rFonts w:ascii="Book Antiqua" w:hAnsi="Book Antiqua" w:cs="Arial"/>
                <w:b/>
              </w:rPr>
              <w:t>Heard at Field House</w:t>
            </w:r>
          </w:p>
        </w:tc>
        <w:tc>
          <w:tcPr>
            <w:tcW w:w="3986" w:type="dxa"/>
          </w:tcPr>
          <w:p w:rsidR="00E76947" w:rsidRDefault="00E76947">
            <w:pPr>
              <w:jc w:val="center"/>
              <w:rPr>
                <w:rFonts w:ascii="Book Antiqua" w:hAnsi="Book Antiqua" w:cs="Arial"/>
                <w:b/>
              </w:rPr>
            </w:pPr>
            <w:r>
              <w:rPr>
                <w:rFonts w:ascii="Book Antiqua" w:hAnsi="Book Antiqua" w:cs="Arial"/>
                <w:b/>
              </w:rPr>
              <w:t>Decision &amp; Reasons Promulgated</w:t>
            </w:r>
          </w:p>
        </w:tc>
      </w:tr>
      <w:tr w:rsidR="00E76947">
        <w:tc>
          <w:tcPr>
            <w:tcW w:w="5868" w:type="dxa"/>
          </w:tcPr>
          <w:p w:rsidR="00E76947" w:rsidRDefault="00E76947">
            <w:pPr>
              <w:jc w:val="both"/>
              <w:rPr>
                <w:rFonts w:ascii="Book Antiqua" w:hAnsi="Book Antiqua" w:cs="Arial"/>
                <w:b/>
              </w:rPr>
            </w:pPr>
            <w:r>
              <w:rPr>
                <w:rFonts w:ascii="Book Antiqua" w:hAnsi="Book Antiqua" w:cs="Arial"/>
                <w:b/>
              </w:rPr>
              <w:t>On 28 August 2018</w:t>
            </w:r>
          </w:p>
        </w:tc>
        <w:tc>
          <w:tcPr>
            <w:tcW w:w="3986" w:type="dxa"/>
          </w:tcPr>
          <w:p w:rsidR="00E76947" w:rsidRDefault="0093304A" w:rsidP="0093304A">
            <w:pPr>
              <w:rPr>
                <w:rFonts w:ascii="Book Antiqua" w:hAnsi="Book Antiqua" w:cs="Arial"/>
                <w:b/>
              </w:rPr>
            </w:pPr>
            <w:r>
              <w:rPr>
                <w:rFonts w:ascii="Book Antiqua" w:hAnsi="Book Antiqua" w:cs="Arial"/>
                <w:b/>
              </w:rPr>
              <w:t xml:space="preserve"> On 11 September 2018</w:t>
            </w:r>
          </w:p>
        </w:tc>
      </w:tr>
    </w:tbl>
    <w:p w:rsidR="00E76947" w:rsidRDefault="00E76947">
      <w:pPr>
        <w:jc w:val="center"/>
        <w:rPr>
          <w:rFonts w:ascii="Book Antiqua" w:hAnsi="Book Antiqua" w:cs="Arial"/>
        </w:rPr>
      </w:pPr>
    </w:p>
    <w:p w:rsidR="003346D5" w:rsidRDefault="003346D5">
      <w:pPr>
        <w:jc w:val="center"/>
        <w:rPr>
          <w:rFonts w:ascii="Book Antiqua" w:hAnsi="Book Antiqua" w:cs="Arial"/>
          <w:b/>
        </w:rPr>
      </w:pPr>
    </w:p>
    <w:p w:rsidR="00E76947" w:rsidRDefault="00E76947">
      <w:pPr>
        <w:jc w:val="center"/>
        <w:rPr>
          <w:rFonts w:ascii="Book Antiqua" w:hAnsi="Book Antiqua" w:cs="Arial"/>
          <w:b/>
        </w:rPr>
      </w:pPr>
      <w:r>
        <w:rPr>
          <w:rFonts w:ascii="Book Antiqua" w:hAnsi="Book Antiqua" w:cs="Arial"/>
          <w:b/>
        </w:rPr>
        <w:t>Before</w:t>
      </w:r>
    </w:p>
    <w:p w:rsidR="00E76947" w:rsidRDefault="00E76947">
      <w:pPr>
        <w:jc w:val="center"/>
        <w:rPr>
          <w:rFonts w:ascii="Book Antiqua" w:hAnsi="Book Antiqua" w:cs="Arial"/>
          <w:b/>
        </w:rPr>
      </w:pPr>
    </w:p>
    <w:p w:rsidR="00E76947" w:rsidRDefault="00E76947">
      <w:pPr>
        <w:jc w:val="center"/>
        <w:rPr>
          <w:rFonts w:ascii="Book Antiqua" w:hAnsi="Book Antiqua" w:cs="Arial"/>
          <w:b/>
        </w:rPr>
      </w:pPr>
      <w:r>
        <w:rPr>
          <w:rFonts w:ascii="Book Antiqua" w:hAnsi="Book Antiqua" w:cs="Arial"/>
          <w:b/>
        </w:rPr>
        <w:t>DEPUTY UPPER TRIBUNAL JUDGE MONSON</w:t>
      </w:r>
    </w:p>
    <w:p w:rsidR="00E76947" w:rsidRDefault="00E76947">
      <w:pPr>
        <w:jc w:val="center"/>
        <w:rPr>
          <w:rFonts w:ascii="Book Antiqua" w:hAnsi="Book Antiqua" w:cs="Arial"/>
          <w:b/>
        </w:rPr>
      </w:pPr>
    </w:p>
    <w:p w:rsidR="003346D5" w:rsidRDefault="003346D5">
      <w:pPr>
        <w:jc w:val="center"/>
        <w:rPr>
          <w:rFonts w:ascii="Book Antiqua" w:hAnsi="Book Antiqua" w:cs="Arial"/>
          <w:b/>
        </w:rPr>
      </w:pPr>
    </w:p>
    <w:p w:rsidR="00E76947" w:rsidRDefault="00E76947">
      <w:pPr>
        <w:jc w:val="center"/>
        <w:rPr>
          <w:rFonts w:ascii="Book Antiqua" w:hAnsi="Book Antiqua" w:cs="Arial"/>
          <w:b/>
        </w:rPr>
      </w:pPr>
      <w:r>
        <w:rPr>
          <w:rFonts w:ascii="Book Antiqua" w:hAnsi="Book Antiqua" w:cs="Arial"/>
          <w:b/>
        </w:rPr>
        <w:t>Between</w:t>
      </w:r>
    </w:p>
    <w:p w:rsidR="00E76947" w:rsidRDefault="00E76947">
      <w:pPr>
        <w:jc w:val="center"/>
        <w:rPr>
          <w:rFonts w:ascii="Book Antiqua" w:hAnsi="Book Antiqua" w:cs="Arial"/>
          <w:b/>
        </w:rPr>
      </w:pPr>
    </w:p>
    <w:p w:rsidR="00E76947" w:rsidRDefault="00E76947">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p>
    <w:p w:rsidR="00E76947" w:rsidRDefault="00E76947">
      <w:pPr>
        <w:jc w:val="right"/>
        <w:rPr>
          <w:rFonts w:ascii="Book Antiqua" w:hAnsi="Book Antiqua" w:cs="Arial"/>
          <w:u w:val="single"/>
        </w:rPr>
      </w:pPr>
      <w:r>
        <w:rPr>
          <w:rFonts w:ascii="Book Antiqua" w:hAnsi="Book Antiqua" w:cs="Arial"/>
          <w:u w:val="single"/>
        </w:rPr>
        <w:t>Appellant</w:t>
      </w:r>
    </w:p>
    <w:p w:rsidR="00E76947" w:rsidRDefault="00E76947">
      <w:pPr>
        <w:jc w:val="center"/>
        <w:rPr>
          <w:rFonts w:ascii="Book Antiqua" w:hAnsi="Book Antiqua" w:cs="Arial"/>
          <w:b/>
        </w:rPr>
      </w:pPr>
      <w:r>
        <w:rPr>
          <w:rFonts w:ascii="Book Antiqua" w:hAnsi="Book Antiqua" w:cs="Arial"/>
          <w:b/>
        </w:rPr>
        <w:t>and</w:t>
      </w:r>
    </w:p>
    <w:p w:rsidR="00E76947" w:rsidRDefault="00E76947">
      <w:pPr>
        <w:jc w:val="center"/>
        <w:rPr>
          <w:rFonts w:ascii="Book Antiqua" w:hAnsi="Book Antiqua" w:cs="Arial"/>
          <w:b/>
        </w:rPr>
      </w:pPr>
    </w:p>
    <w:p w:rsidR="00E76947" w:rsidRDefault="00E76947">
      <w:pPr>
        <w:jc w:val="center"/>
        <w:rPr>
          <w:rFonts w:ascii="Book Antiqua" w:hAnsi="Book Antiqua" w:cs="Arial"/>
          <w:b/>
          <w:caps/>
        </w:rPr>
      </w:pPr>
      <w:r>
        <w:rPr>
          <w:rFonts w:ascii="Book Antiqua" w:hAnsi="Book Antiqua" w:cs="Arial"/>
          <w:b/>
        </w:rPr>
        <w:t>A</w:t>
      </w:r>
      <w:r>
        <w:rPr>
          <w:rFonts w:ascii="Book Antiqua" w:hAnsi="Book Antiqua" w:cs="Arial"/>
          <w:b/>
          <w:caps/>
        </w:rPr>
        <w:t xml:space="preserve">lexandra </w:t>
      </w:r>
      <w:r w:rsidR="00CC52D9">
        <w:rPr>
          <w:rFonts w:ascii="Book Antiqua" w:hAnsi="Book Antiqua" w:cs="Arial"/>
          <w:b/>
          <w:caps/>
        </w:rPr>
        <w:t>[</w:t>
      </w:r>
      <w:r>
        <w:rPr>
          <w:rFonts w:ascii="Book Antiqua" w:hAnsi="Book Antiqua" w:cs="Arial"/>
          <w:b/>
          <w:caps/>
        </w:rPr>
        <w:t>m</w:t>
      </w:r>
      <w:r w:rsidR="00CC52D9">
        <w:rPr>
          <w:rFonts w:ascii="Book Antiqua" w:hAnsi="Book Antiqua" w:cs="Arial"/>
          <w:b/>
          <w:caps/>
        </w:rPr>
        <w:t>]</w:t>
      </w:r>
    </w:p>
    <w:p w:rsidR="00E76947" w:rsidRPr="003346D5" w:rsidRDefault="00E76947">
      <w:pPr>
        <w:jc w:val="center"/>
        <w:rPr>
          <w:rFonts w:ascii="Book Antiqua" w:hAnsi="Book Antiqua" w:cs="Arial"/>
          <w:b/>
          <w:caps/>
          <w:sz w:val="22"/>
        </w:rPr>
      </w:pPr>
      <w:r w:rsidRPr="003346D5">
        <w:rPr>
          <w:rFonts w:ascii="Book Antiqua" w:hAnsi="Book Antiqua" w:cs="Arial"/>
          <w:b/>
          <w:caps/>
          <w:sz w:val="22"/>
        </w:rPr>
        <w:t>(anonymity direction NOT MADE)</w:t>
      </w:r>
    </w:p>
    <w:p w:rsidR="00E76947" w:rsidRDefault="00E76947">
      <w:pPr>
        <w:jc w:val="right"/>
        <w:rPr>
          <w:rFonts w:ascii="Book Antiqua" w:hAnsi="Book Antiqua" w:cs="Arial"/>
          <w:u w:val="single"/>
        </w:rPr>
      </w:pPr>
      <w:r>
        <w:rPr>
          <w:rFonts w:ascii="Book Antiqua" w:hAnsi="Book Antiqua" w:cs="Arial"/>
          <w:u w:val="single"/>
        </w:rPr>
        <w:t>Claimant/Respondent</w:t>
      </w:r>
    </w:p>
    <w:p w:rsidR="00E76947" w:rsidRDefault="00E76947">
      <w:pPr>
        <w:rPr>
          <w:rFonts w:ascii="Book Antiqua" w:hAnsi="Book Antiqua" w:cs="Arial"/>
          <w:u w:val="single"/>
        </w:rPr>
      </w:pPr>
    </w:p>
    <w:p w:rsidR="003346D5" w:rsidRDefault="003346D5">
      <w:pPr>
        <w:rPr>
          <w:rFonts w:ascii="Book Antiqua" w:hAnsi="Book Antiqua" w:cs="Arial"/>
          <w:u w:val="single"/>
        </w:rPr>
      </w:pPr>
    </w:p>
    <w:p w:rsidR="00E76947" w:rsidRDefault="00E76947">
      <w:pPr>
        <w:rPr>
          <w:rFonts w:ascii="Book Antiqua" w:hAnsi="Book Antiqua" w:cs="Arial"/>
        </w:rPr>
      </w:pPr>
      <w:r>
        <w:rPr>
          <w:rFonts w:ascii="Book Antiqua" w:hAnsi="Book Antiqua" w:cs="Arial"/>
          <w:b/>
          <w:u w:val="single"/>
        </w:rPr>
        <w:t>Representation</w:t>
      </w:r>
      <w:r>
        <w:rPr>
          <w:rFonts w:ascii="Book Antiqua" w:hAnsi="Book Antiqua" w:cs="Arial"/>
          <w:b/>
        </w:rPr>
        <w:t>:</w:t>
      </w:r>
    </w:p>
    <w:p w:rsidR="00E76947" w:rsidRDefault="00E76947">
      <w:pPr>
        <w:tabs>
          <w:tab w:val="left" w:pos="2520"/>
        </w:tabs>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Pr>
          <w:rFonts w:ascii="Book Antiqua" w:hAnsi="Book Antiqua" w:cs="Arial"/>
        </w:rPr>
        <w:tab/>
        <w:t>Mr T Melvin, Senior Home Office Presenting Officer</w:t>
      </w:r>
    </w:p>
    <w:p w:rsidR="00E76947" w:rsidRDefault="00E76947">
      <w:pPr>
        <w:tabs>
          <w:tab w:val="left" w:pos="2520"/>
        </w:tabs>
        <w:rPr>
          <w:rFonts w:ascii="Book Antiqua" w:hAnsi="Book Antiqua" w:cs="Arial"/>
          <w:lang w:val="en-US"/>
        </w:rPr>
      </w:pPr>
      <w:r>
        <w:rPr>
          <w:rFonts w:ascii="Book Antiqua" w:hAnsi="Book Antiqua" w:cs="Arial"/>
        </w:rPr>
        <w:t>For the Respondent/Claimant:</w:t>
      </w:r>
      <w:r>
        <w:rPr>
          <w:rFonts w:ascii="Book Antiqua" w:hAnsi="Book Antiqua" w:cs="Arial"/>
        </w:rPr>
        <w:tab/>
        <w:t>In person</w:t>
      </w:r>
    </w:p>
    <w:p w:rsidR="00E76947" w:rsidRDefault="00E76947">
      <w:pPr>
        <w:tabs>
          <w:tab w:val="left" w:pos="2520"/>
        </w:tabs>
        <w:jc w:val="center"/>
        <w:rPr>
          <w:rFonts w:ascii="Book Antiqua" w:hAnsi="Book Antiqua" w:cs="Arial"/>
        </w:rPr>
      </w:pPr>
    </w:p>
    <w:p w:rsidR="00E76947" w:rsidRDefault="00E76947">
      <w:pPr>
        <w:tabs>
          <w:tab w:val="left" w:pos="2520"/>
        </w:tabs>
        <w:jc w:val="center"/>
        <w:rPr>
          <w:rFonts w:ascii="Book Antiqua" w:hAnsi="Book Antiqua" w:cs="Arial"/>
        </w:rPr>
      </w:pPr>
    </w:p>
    <w:p w:rsidR="00E76947" w:rsidRDefault="00E76947">
      <w:pPr>
        <w:tabs>
          <w:tab w:val="left" w:pos="2520"/>
        </w:tabs>
        <w:jc w:val="center"/>
        <w:rPr>
          <w:rFonts w:ascii="Book Antiqua" w:hAnsi="Book Antiqua" w:cs="Arial"/>
        </w:rPr>
      </w:pPr>
      <w:r>
        <w:rPr>
          <w:rFonts w:ascii="Book Antiqua" w:hAnsi="Book Antiqua" w:cs="Arial"/>
          <w:b/>
          <w:u w:val="single"/>
        </w:rPr>
        <w:t>DECISION AND REASONS</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t>The Secretary of State appeals from the decision of the First-tier Tribunal allowing the claimant’s appeal against the decision made on 18 February 2017 to refuse to issue the claimant</w:t>
      </w:r>
      <w:r w:rsidR="0044451C">
        <w:rPr>
          <w:rFonts w:ascii="Book Antiqua" w:hAnsi="Book Antiqua" w:cs="Arial"/>
        </w:rPr>
        <w:t>, a Polish national,</w:t>
      </w:r>
      <w:r>
        <w:rPr>
          <w:rFonts w:ascii="Book Antiqua" w:hAnsi="Book Antiqua" w:cs="Arial"/>
        </w:rPr>
        <w:t xml:space="preserve"> with a document certifying her permanent right of residence in the United King</w:t>
      </w:r>
      <w:r w:rsidR="0044451C">
        <w:rPr>
          <w:rFonts w:ascii="Book Antiqua" w:hAnsi="Book Antiqua" w:cs="Arial"/>
        </w:rPr>
        <w:t xml:space="preserve">dom as </w:t>
      </w:r>
      <w:r>
        <w:rPr>
          <w:rFonts w:ascii="Book Antiqua" w:hAnsi="Book Antiqua" w:cs="Arial"/>
        </w:rPr>
        <w:t xml:space="preserve">the unmarried partner of another Polish </w:t>
      </w:r>
      <w:r w:rsidR="0044451C">
        <w:rPr>
          <w:rFonts w:ascii="Book Antiqua" w:hAnsi="Book Antiqua" w:cs="Arial"/>
        </w:rPr>
        <w:t>national who has a</w:t>
      </w:r>
      <w:r>
        <w:rPr>
          <w:rFonts w:ascii="Book Antiqua" w:hAnsi="Book Antiqua" w:cs="Arial"/>
        </w:rPr>
        <w:t xml:space="preserve"> permanent residence in the UK</w:t>
      </w:r>
      <w:r w:rsidR="0044451C">
        <w:rPr>
          <w:rFonts w:ascii="Book Antiqua" w:hAnsi="Book Antiqua" w:cs="Arial"/>
        </w:rPr>
        <w:t xml:space="preserve"> pursuant to Regulation 15(1)(a) of the Regulations 2006.</w:t>
      </w:r>
      <w:r>
        <w:rPr>
          <w:rFonts w:ascii="Book Antiqua" w:hAnsi="Book Antiqua" w:cs="Arial"/>
        </w:rPr>
        <w:t xml:space="preserve"> The First-tier Tribunal did not make an anonymity direction, and I do not consider that the claimant requires anonymity for these proceedings in the Upper Tribunal.</w:t>
      </w:r>
    </w:p>
    <w:p w:rsidR="00E76947" w:rsidRDefault="00E76947" w:rsidP="00CC52D9">
      <w:pPr>
        <w:spacing w:before="160"/>
        <w:jc w:val="both"/>
        <w:rPr>
          <w:rFonts w:ascii="Book Antiqua" w:hAnsi="Book Antiqua" w:cs="Arial"/>
          <w:b/>
          <w:bCs/>
          <w:u w:val="single"/>
        </w:rPr>
      </w:pPr>
      <w:r>
        <w:rPr>
          <w:rFonts w:ascii="Book Antiqua" w:hAnsi="Book Antiqua" w:cs="Arial"/>
          <w:b/>
          <w:bCs/>
          <w:u w:val="single"/>
        </w:rPr>
        <w:lastRenderedPageBreak/>
        <w:t>Relevant Background Facts</w:t>
      </w:r>
    </w:p>
    <w:p w:rsidR="00E76947" w:rsidRPr="0044451C" w:rsidRDefault="00E76947" w:rsidP="00CC52D9">
      <w:pPr>
        <w:numPr>
          <w:ilvl w:val="0"/>
          <w:numId w:val="1"/>
        </w:numPr>
        <w:spacing w:before="160"/>
        <w:jc w:val="both"/>
        <w:rPr>
          <w:rFonts w:ascii="Book Antiqua" w:hAnsi="Book Antiqua" w:cs="Arial"/>
        </w:rPr>
      </w:pPr>
      <w:r>
        <w:rPr>
          <w:rFonts w:ascii="Book Antiqua" w:hAnsi="Book Antiqua" w:cs="Arial"/>
        </w:rPr>
        <w:t>The</w:t>
      </w:r>
      <w:r w:rsidR="0044451C">
        <w:rPr>
          <w:rFonts w:ascii="Book Antiqua" w:hAnsi="Book Antiqua" w:cs="Arial"/>
        </w:rPr>
        <w:t xml:space="preserve"> cl</w:t>
      </w:r>
      <w:r>
        <w:rPr>
          <w:rFonts w:ascii="Book Antiqua" w:hAnsi="Book Antiqua" w:cs="Arial"/>
        </w:rPr>
        <w:t>aimant began h</w:t>
      </w:r>
      <w:r w:rsidR="0044451C">
        <w:rPr>
          <w:rFonts w:ascii="Book Antiqua" w:hAnsi="Book Antiqua" w:cs="Arial"/>
        </w:rPr>
        <w:t xml:space="preserve">er relationship with Mr </w:t>
      </w:r>
      <w:r w:rsidR="00CC52D9">
        <w:rPr>
          <w:rFonts w:ascii="Book Antiqua" w:hAnsi="Book Antiqua" w:cs="Arial"/>
        </w:rPr>
        <w:t>[</w:t>
      </w:r>
      <w:r w:rsidR="0044451C">
        <w:rPr>
          <w:rFonts w:ascii="Book Antiqua" w:hAnsi="Book Antiqua" w:cs="Arial"/>
        </w:rPr>
        <w:t>P</w:t>
      </w:r>
      <w:r w:rsidR="00CC52D9">
        <w:rPr>
          <w:rFonts w:ascii="Book Antiqua" w:hAnsi="Book Antiqua" w:cs="Arial"/>
        </w:rPr>
        <w:t xml:space="preserve">] </w:t>
      </w:r>
      <w:r>
        <w:rPr>
          <w:rFonts w:ascii="Book Antiqua" w:hAnsi="Book Antiqua" w:cs="Arial"/>
        </w:rPr>
        <w:t>in June 2001 in London, and they started living together in September 2002.  They have had two children together</w:t>
      </w:r>
      <w:r w:rsidR="0044451C">
        <w:rPr>
          <w:rFonts w:ascii="Book Antiqua" w:hAnsi="Book Antiqua" w:cs="Arial"/>
        </w:rPr>
        <w:t xml:space="preserve">.  On 5 April 2016 Mr </w:t>
      </w:r>
      <w:r w:rsidR="00CC52D9">
        <w:rPr>
          <w:rFonts w:ascii="Book Antiqua" w:hAnsi="Book Antiqua" w:cs="Arial"/>
        </w:rPr>
        <w:t>[P]</w:t>
      </w:r>
      <w:r>
        <w:rPr>
          <w:rFonts w:ascii="Book Antiqua" w:hAnsi="Book Antiqua" w:cs="Arial"/>
        </w:rPr>
        <w:t xml:space="preserve"> was issued with a permanent residence card as confirmation that he had acquired a permanent of residence through continued exercise of Treaty rights as a qualified person for a period of 5 years.</w:t>
      </w:r>
      <w:r w:rsidR="0044451C">
        <w:rPr>
          <w:rFonts w:ascii="Book Antiqua" w:hAnsi="Book Antiqua" w:cs="Arial"/>
        </w:rPr>
        <w:t xml:space="preserve"> </w:t>
      </w:r>
      <w:r w:rsidRPr="0044451C">
        <w:rPr>
          <w:rFonts w:ascii="Book Antiqua" w:hAnsi="Book Antiqua" w:cs="Arial"/>
        </w:rPr>
        <w:t>On 20 September 2016 the claimant applied</w:t>
      </w:r>
      <w:r w:rsidR="0044451C">
        <w:rPr>
          <w:rFonts w:ascii="Book Antiqua" w:hAnsi="Book Antiqua" w:cs="Arial"/>
        </w:rPr>
        <w:t xml:space="preserve"> for a permanent residence card as his unmarried partner.</w:t>
      </w:r>
    </w:p>
    <w:p w:rsidR="00E76947" w:rsidRDefault="00E76947" w:rsidP="00CC52D9">
      <w:pPr>
        <w:spacing w:before="160"/>
        <w:jc w:val="both"/>
        <w:rPr>
          <w:rFonts w:ascii="Book Antiqua" w:hAnsi="Book Antiqua" w:cs="Arial"/>
          <w:b/>
          <w:bCs/>
          <w:u w:val="single"/>
        </w:rPr>
      </w:pPr>
      <w:r>
        <w:rPr>
          <w:rFonts w:ascii="Book Antiqua" w:hAnsi="Book Antiqua" w:cs="Arial"/>
          <w:b/>
          <w:bCs/>
          <w:u w:val="single"/>
        </w:rPr>
        <w:t>The Reasons for Refusal</w:t>
      </w:r>
    </w:p>
    <w:p w:rsidR="00E76947" w:rsidRPr="0044451C" w:rsidRDefault="00E76947" w:rsidP="00CC52D9">
      <w:pPr>
        <w:numPr>
          <w:ilvl w:val="0"/>
          <w:numId w:val="1"/>
        </w:numPr>
        <w:spacing w:before="160"/>
        <w:jc w:val="both"/>
        <w:rPr>
          <w:rFonts w:ascii="Book Antiqua" w:hAnsi="Book Antiqua" w:cs="Arial"/>
        </w:rPr>
      </w:pPr>
      <w:r>
        <w:rPr>
          <w:rFonts w:ascii="Book Antiqua" w:hAnsi="Book Antiqua" w:cs="Arial"/>
        </w:rPr>
        <w:t xml:space="preserve">On 18 February 2017 the Secretary of State gave her reasons for refusing the application.  </w:t>
      </w:r>
      <w:r w:rsidR="0044451C">
        <w:rPr>
          <w:rFonts w:ascii="Book Antiqua" w:hAnsi="Book Antiqua" w:cs="Arial"/>
        </w:rPr>
        <w:t>The claimant</w:t>
      </w:r>
      <w:r w:rsidR="0044451C" w:rsidRPr="0044451C">
        <w:rPr>
          <w:rFonts w:ascii="Book Antiqua" w:hAnsi="Book Antiqua" w:cs="Arial"/>
        </w:rPr>
        <w:t xml:space="preserve"> must have been married to her</w:t>
      </w:r>
      <w:r w:rsidRPr="0044451C">
        <w:rPr>
          <w:rFonts w:ascii="Book Antiqua" w:hAnsi="Book Antiqua" w:cs="Arial"/>
        </w:rPr>
        <w:t xml:space="preserve"> EEA nat</w:t>
      </w:r>
      <w:r w:rsidR="0044451C" w:rsidRPr="0044451C">
        <w:rPr>
          <w:rFonts w:ascii="Book Antiqua" w:hAnsi="Book Antiqua" w:cs="Arial"/>
        </w:rPr>
        <w:t>ional sponsor for a minimum of five</w:t>
      </w:r>
      <w:r w:rsidRPr="0044451C">
        <w:rPr>
          <w:rFonts w:ascii="Book Antiqua" w:hAnsi="Book Antiqua" w:cs="Arial"/>
        </w:rPr>
        <w:t xml:space="preserve"> years.  She was not married to her EEA national sponsor.</w:t>
      </w:r>
      <w:r w:rsidR="0044451C">
        <w:rPr>
          <w:rFonts w:ascii="Book Antiqua" w:hAnsi="Book Antiqua" w:cs="Arial"/>
        </w:rPr>
        <w:t xml:space="preserve"> </w:t>
      </w:r>
      <w:r w:rsidRPr="0044451C">
        <w:rPr>
          <w:rFonts w:ascii="Book Antiqua" w:hAnsi="Book Antiqua" w:cs="Arial"/>
        </w:rPr>
        <w:t xml:space="preserve">As an EEA national, consideration </w:t>
      </w:r>
      <w:r w:rsidR="0044451C" w:rsidRPr="0044451C">
        <w:rPr>
          <w:rFonts w:ascii="Book Antiqua" w:hAnsi="Book Antiqua" w:cs="Arial"/>
        </w:rPr>
        <w:t>had been given as to whether the claimant</w:t>
      </w:r>
      <w:r w:rsidRPr="0044451C">
        <w:rPr>
          <w:rFonts w:ascii="Book Antiqua" w:hAnsi="Book Antiqua" w:cs="Arial"/>
        </w:rPr>
        <w:t xml:space="preserve"> qualified for a residence card in her own right.  She </w:t>
      </w:r>
      <w:r w:rsidR="0044451C">
        <w:rPr>
          <w:rFonts w:ascii="Book Antiqua" w:hAnsi="Book Antiqua" w:cs="Arial"/>
        </w:rPr>
        <w:t xml:space="preserve">had </w:t>
      </w:r>
      <w:r w:rsidRPr="0044451C">
        <w:rPr>
          <w:rFonts w:ascii="Book Antiqua" w:hAnsi="Book Antiqua" w:cs="Arial"/>
        </w:rPr>
        <w:t>failed to demonstrate that she had been exercising Treaty rig</w:t>
      </w:r>
      <w:r w:rsidR="0044451C" w:rsidRPr="0044451C">
        <w:rPr>
          <w:rFonts w:ascii="Book Antiqua" w:hAnsi="Book Antiqua" w:cs="Arial"/>
        </w:rPr>
        <w:t>hts for a continuous period of five</w:t>
      </w:r>
      <w:r w:rsidRPr="0044451C">
        <w:rPr>
          <w:rFonts w:ascii="Book Antiqua" w:hAnsi="Book Antiqua" w:cs="Arial"/>
        </w:rPr>
        <w:t xml:space="preserve"> years in the UK, and so it was decided to refuse the confirmation she sought with reference to Regulation 15(1)(a) of the Regulations 2016.</w:t>
      </w:r>
    </w:p>
    <w:p w:rsidR="00E76947" w:rsidRDefault="00E76947" w:rsidP="00CC52D9">
      <w:pPr>
        <w:spacing w:before="16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t xml:space="preserve">The claimant’s appeal came before Judge </w:t>
      </w:r>
      <w:proofErr w:type="spellStart"/>
      <w:r>
        <w:rPr>
          <w:rFonts w:ascii="Book Antiqua" w:hAnsi="Book Antiqua" w:cs="Arial"/>
        </w:rPr>
        <w:t>Waygood</w:t>
      </w:r>
      <w:proofErr w:type="spellEnd"/>
      <w:r>
        <w:rPr>
          <w:rFonts w:ascii="Book Antiqua" w:hAnsi="Book Antiqua" w:cs="Arial"/>
        </w:rPr>
        <w:t>, sitting at Columbus House, Newport, on 9 January 2018.  The claimant appeared in person, and the Secretary of State was represented by a Home Office Presenting Officer.</w:t>
      </w:r>
    </w:p>
    <w:p w:rsidR="00E76947" w:rsidRDefault="0044451C" w:rsidP="00CC52D9">
      <w:pPr>
        <w:numPr>
          <w:ilvl w:val="0"/>
          <w:numId w:val="1"/>
        </w:numPr>
        <w:spacing w:before="160"/>
        <w:jc w:val="both"/>
        <w:rPr>
          <w:rFonts w:ascii="Book Antiqua" w:hAnsi="Book Antiqua" w:cs="Arial"/>
        </w:rPr>
      </w:pPr>
      <w:r>
        <w:rPr>
          <w:rFonts w:ascii="Book Antiqua" w:hAnsi="Book Antiqua" w:cs="Arial"/>
        </w:rPr>
        <w:t>In his</w:t>
      </w:r>
      <w:r w:rsidR="00E76947">
        <w:rPr>
          <w:rFonts w:ascii="Book Antiqua" w:hAnsi="Book Antiqua" w:cs="Arial"/>
        </w:rPr>
        <w:t xml:space="preserve"> subseque</w:t>
      </w:r>
      <w:r>
        <w:rPr>
          <w:rFonts w:ascii="Book Antiqua" w:hAnsi="Book Antiqua" w:cs="Arial"/>
        </w:rPr>
        <w:t xml:space="preserve">nt decision, Judge </w:t>
      </w:r>
      <w:proofErr w:type="spellStart"/>
      <w:r>
        <w:rPr>
          <w:rFonts w:ascii="Book Antiqua" w:hAnsi="Book Antiqua" w:cs="Arial"/>
        </w:rPr>
        <w:t>Waygood</w:t>
      </w:r>
      <w:proofErr w:type="spellEnd"/>
      <w:r>
        <w:rPr>
          <w:rFonts w:ascii="Book Antiqua" w:hAnsi="Book Antiqua" w:cs="Arial"/>
        </w:rPr>
        <w:t xml:space="preserve"> held</w:t>
      </w:r>
      <w:r w:rsidR="00E76947">
        <w:rPr>
          <w:rFonts w:ascii="Book Antiqua" w:hAnsi="Book Antiqua" w:cs="Arial"/>
        </w:rPr>
        <w:t xml:space="preserve"> that the claimant was not a qualified person as defined in Regulation 6.  How</w:t>
      </w:r>
      <w:r>
        <w:rPr>
          <w:rFonts w:ascii="Book Antiqua" w:hAnsi="Book Antiqua" w:cs="Arial"/>
        </w:rPr>
        <w:t xml:space="preserve">ever, her unmarried partner </w:t>
      </w:r>
      <w:r w:rsidR="00E76947">
        <w:rPr>
          <w:rFonts w:ascii="Book Antiqua" w:hAnsi="Book Antiqua" w:cs="Arial"/>
        </w:rPr>
        <w:t>was a qualified person.  The Judge went on to consider a</w:t>
      </w:r>
      <w:r>
        <w:rPr>
          <w:rFonts w:ascii="Book Antiqua" w:hAnsi="Book Antiqua" w:cs="Arial"/>
        </w:rPr>
        <w:t>n</w:t>
      </w:r>
      <w:r w:rsidR="00E76947">
        <w:rPr>
          <w:rFonts w:ascii="Book Antiqua" w:hAnsi="Book Antiqua" w:cs="Arial"/>
        </w:rPr>
        <w:t xml:space="preserve"> extensive volume of documentary evidence which the claimant had provided in support of both her application and her appeal, and </w:t>
      </w:r>
      <w:r w:rsidR="00D705AB">
        <w:rPr>
          <w:rFonts w:ascii="Book Antiqua" w:hAnsi="Book Antiqua" w:cs="Arial"/>
        </w:rPr>
        <w:t xml:space="preserve">he </w:t>
      </w:r>
      <w:r w:rsidR="00E76947">
        <w:rPr>
          <w:rFonts w:ascii="Book Antiqua" w:hAnsi="Book Antiqua" w:cs="Arial"/>
        </w:rPr>
        <w:t>found that the claimant and the sponsor had been living together at their current address since 2005, and that the claimant had told the tru</w:t>
      </w:r>
      <w:r w:rsidR="00D705AB">
        <w:rPr>
          <w:rFonts w:ascii="Book Antiqua" w:hAnsi="Book Antiqua" w:cs="Arial"/>
        </w:rPr>
        <w:t>th about her circumstances.  He</w:t>
      </w:r>
      <w:r w:rsidR="00E76947">
        <w:rPr>
          <w:rFonts w:ascii="Book Antiqua" w:hAnsi="Book Antiqua" w:cs="Arial"/>
        </w:rPr>
        <w:t xml:space="preserve"> was persuaded that </w:t>
      </w:r>
      <w:r w:rsidR="00D705AB">
        <w:rPr>
          <w:rFonts w:ascii="Book Antiqua" w:hAnsi="Book Antiqua" w:cs="Arial"/>
        </w:rPr>
        <w:t>her</w:t>
      </w:r>
      <w:r w:rsidR="00E76947">
        <w:rPr>
          <w:rFonts w:ascii="Book Antiqua" w:hAnsi="Book Antiqua" w:cs="Arial"/>
        </w:rPr>
        <w:t xml:space="preserve"> </w:t>
      </w:r>
      <w:r w:rsidR="00D705AB">
        <w:rPr>
          <w:rFonts w:ascii="Book Antiqua" w:hAnsi="Book Antiqua" w:cs="Arial"/>
        </w:rPr>
        <w:t xml:space="preserve">relationship with Mr </w:t>
      </w:r>
      <w:r w:rsidR="00CC52D9">
        <w:rPr>
          <w:rFonts w:ascii="Book Antiqua" w:hAnsi="Book Antiqua" w:cs="Arial"/>
        </w:rPr>
        <w:t>[P]</w:t>
      </w:r>
      <w:r w:rsidR="00D705AB">
        <w:rPr>
          <w:rFonts w:ascii="Book Antiqua" w:hAnsi="Book Antiqua" w:cs="Arial"/>
        </w:rPr>
        <w:t xml:space="preserve"> </w:t>
      </w:r>
      <w:r w:rsidR="00E76947">
        <w:rPr>
          <w:rFonts w:ascii="Book Antiqua" w:hAnsi="Book Antiqua" w:cs="Arial"/>
        </w:rPr>
        <w:t>was a durable one, and that therefore she was an extended family member of an EEA national exercising Treaty rights, and thus came within the scope of Regulation 8(5) of the 2016 Regulations.</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t>The Judge turned to consider whether the claimant had a right of permanent residence</w:t>
      </w:r>
      <w:r w:rsidR="00D705AB">
        <w:rPr>
          <w:rFonts w:ascii="Book Antiqua" w:hAnsi="Book Antiqua" w:cs="Arial"/>
        </w:rPr>
        <w:t xml:space="preserve"> under Regulation 15(1)(a).  He</w:t>
      </w:r>
      <w:r>
        <w:rPr>
          <w:rFonts w:ascii="Book Antiqua" w:hAnsi="Book Antiqua" w:cs="Arial"/>
        </w:rPr>
        <w:t xml:space="preserve"> found that the Secretary of State had been wrong to reject her application on the basis that she needed to have been married to her EEA nat</w:t>
      </w:r>
      <w:r w:rsidR="00C811DA">
        <w:rPr>
          <w:rFonts w:ascii="Book Antiqua" w:hAnsi="Book Antiqua" w:cs="Arial"/>
        </w:rPr>
        <w:t>ional sponsor for a minimum of five</w:t>
      </w:r>
      <w:r>
        <w:rPr>
          <w:rFonts w:ascii="Book Antiqua" w:hAnsi="Book Antiqua" w:cs="Arial"/>
        </w:rPr>
        <w:t xml:space="preserve"> years.  </w:t>
      </w:r>
      <w:r w:rsidR="00D705AB">
        <w:rPr>
          <w:rFonts w:ascii="Book Antiqua" w:hAnsi="Book Antiqua" w:cs="Arial"/>
        </w:rPr>
        <w:t>This was</w:t>
      </w:r>
      <w:r>
        <w:rPr>
          <w:rFonts w:ascii="Book Antiqua" w:hAnsi="Book Antiqua" w:cs="Arial"/>
        </w:rPr>
        <w:t xml:space="preserve"> incorrect, as there was clearly provision </w:t>
      </w:r>
      <w:r w:rsidR="00D705AB">
        <w:rPr>
          <w:rFonts w:ascii="Book Antiqua" w:hAnsi="Book Antiqua" w:cs="Arial"/>
        </w:rPr>
        <w:t xml:space="preserve">in the Home Office guidance </w:t>
      </w:r>
      <w:r>
        <w:rPr>
          <w:rFonts w:ascii="Book Antiqua" w:hAnsi="Book Antiqua" w:cs="Arial"/>
        </w:rPr>
        <w:t xml:space="preserve">for an unmarried partner in a durable </w:t>
      </w:r>
      <w:r w:rsidR="00D705AB">
        <w:rPr>
          <w:rFonts w:ascii="Book Antiqua" w:hAnsi="Book Antiqua" w:cs="Arial"/>
        </w:rPr>
        <w:t>relationship to qualify</w:t>
      </w:r>
      <w:r>
        <w:rPr>
          <w:rFonts w:ascii="Book Antiqua" w:hAnsi="Book Antiqua" w:cs="Arial"/>
        </w:rPr>
        <w:t xml:space="preserve"> for permanent residence.  </w:t>
      </w:r>
      <w:r w:rsidR="00D705AB">
        <w:rPr>
          <w:rFonts w:ascii="Book Antiqua" w:hAnsi="Book Antiqua" w:cs="Arial"/>
        </w:rPr>
        <w:t>In c</w:t>
      </w:r>
      <w:r>
        <w:rPr>
          <w:rFonts w:ascii="Book Antiqua" w:hAnsi="Book Antiqua" w:cs="Arial"/>
        </w:rPr>
        <w:t>oming to this conclusion, he said that he was reinforced by the wording of Article 16 of the Citizens Directive which stated that Union citizens who had resided lega</w:t>
      </w:r>
      <w:r w:rsidR="00D705AB">
        <w:rPr>
          <w:rFonts w:ascii="Book Antiqua" w:hAnsi="Book Antiqua" w:cs="Arial"/>
        </w:rPr>
        <w:t>lly for a continuous period of five</w:t>
      </w:r>
      <w:r>
        <w:rPr>
          <w:rFonts w:ascii="Book Antiqua" w:hAnsi="Book Antiqua" w:cs="Arial"/>
        </w:rPr>
        <w:t xml:space="preserve"> years in the host member state shall have the right of permanent residence there, and that this right shall not be subject to the cond</w:t>
      </w:r>
      <w:r w:rsidR="00D705AB">
        <w:rPr>
          <w:rFonts w:ascii="Book Antiqua" w:hAnsi="Book Antiqua" w:cs="Arial"/>
        </w:rPr>
        <w:t>itions provided for in Chapter III</w:t>
      </w:r>
      <w:r>
        <w:rPr>
          <w:rFonts w:ascii="Book Antiqua" w:hAnsi="Book Antiqua" w:cs="Arial"/>
        </w:rPr>
        <w:t xml:space="preserve">.  The Judge concluded that the claimant qualified for permanent residence </w:t>
      </w:r>
      <w:r w:rsidR="00D705AB">
        <w:rPr>
          <w:rFonts w:ascii="Book Antiqua" w:hAnsi="Book Antiqua" w:cs="Arial"/>
        </w:rPr>
        <w:t>under</w:t>
      </w:r>
      <w:r>
        <w:rPr>
          <w:rFonts w:ascii="Book Antiqua" w:hAnsi="Book Antiqua" w:cs="Arial"/>
        </w:rPr>
        <w:t xml:space="preserve"> Regulation 15(1)(a).</w:t>
      </w:r>
    </w:p>
    <w:p w:rsidR="00E76947" w:rsidRDefault="00E76947" w:rsidP="00CC52D9">
      <w:pPr>
        <w:spacing w:before="160"/>
        <w:jc w:val="both"/>
        <w:rPr>
          <w:rFonts w:ascii="Book Antiqua" w:hAnsi="Book Antiqua" w:cs="Arial"/>
          <w:b/>
          <w:bCs/>
          <w:u w:val="single"/>
        </w:rPr>
      </w:pPr>
      <w:r>
        <w:rPr>
          <w:rFonts w:ascii="Book Antiqua" w:hAnsi="Book Antiqua" w:cs="Arial"/>
          <w:b/>
          <w:bCs/>
          <w:u w:val="single"/>
        </w:rPr>
        <w:lastRenderedPageBreak/>
        <w:t>The Reasons for the Grant of Permission to Appeal</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t>On 12 July 2018 Upper Tribunal Judge Hanson granted the SSHD permission to appeal for the following reasons:</w:t>
      </w:r>
    </w:p>
    <w:p w:rsidR="00E76947" w:rsidRDefault="00CC52D9" w:rsidP="00CC52D9">
      <w:pPr>
        <w:spacing w:before="120" w:after="120"/>
        <w:ind w:left="1134" w:right="567"/>
        <w:jc w:val="both"/>
        <w:rPr>
          <w:rFonts w:ascii="Book Antiqua" w:hAnsi="Book Antiqua" w:cs="Arial"/>
          <w:sz w:val="22"/>
          <w:szCs w:val="22"/>
        </w:rPr>
      </w:pPr>
      <w:r>
        <w:rPr>
          <w:rFonts w:ascii="Book Antiqua" w:hAnsi="Book Antiqua" w:cs="Arial"/>
          <w:sz w:val="22"/>
          <w:szCs w:val="22"/>
        </w:rPr>
        <w:t>“</w:t>
      </w:r>
      <w:r w:rsidR="00E76947">
        <w:rPr>
          <w:rFonts w:ascii="Book Antiqua" w:hAnsi="Book Antiqua" w:cs="Arial"/>
          <w:sz w:val="22"/>
          <w:szCs w:val="22"/>
        </w:rPr>
        <w:t xml:space="preserve">The Secretary of State’s position is that the claimant did not become a family member until she was able to satisfy the requirements of Regulation 7(3) which was the starting point in respect of the calculation.  Prior to that, the claimant remained an extended family member.  As the claimant has not been issued with a residence card time has not begun to run. </w:t>
      </w:r>
    </w:p>
    <w:p w:rsidR="00E76947" w:rsidRDefault="00E76947" w:rsidP="00CC52D9">
      <w:pPr>
        <w:spacing w:before="120" w:after="120"/>
        <w:ind w:left="1134" w:right="567"/>
        <w:jc w:val="both"/>
        <w:rPr>
          <w:rFonts w:ascii="Book Antiqua" w:hAnsi="Book Antiqua" w:cs="Arial"/>
          <w:sz w:val="22"/>
          <w:szCs w:val="22"/>
        </w:rPr>
      </w:pPr>
      <w:r>
        <w:rPr>
          <w:rFonts w:ascii="Book Antiqua" w:hAnsi="Book Antiqua" w:cs="Arial"/>
          <w:sz w:val="22"/>
          <w:szCs w:val="22"/>
        </w:rPr>
        <w:t>The status of the extended family member is also not declaratory and is a matter at the discretion of the Secretary of State.</w:t>
      </w:r>
    </w:p>
    <w:p w:rsidR="00E76947" w:rsidRDefault="00E76947" w:rsidP="00CC52D9">
      <w:pPr>
        <w:spacing w:before="120" w:after="120"/>
        <w:ind w:left="1134" w:right="567"/>
        <w:jc w:val="both"/>
        <w:rPr>
          <w:rFonts w:ascii="Book Antiqua" w:hAnsi="Book Antiqua" w:cs="Arial"/>
          <w:sz w:val="22"/>
          <w:szCs w:val="22"/>
        </w:rPr>
      </w:pPr>
      <w:r>
        <w:rPr>
          <w:rFonts w:ascii="Book Antiqua" w:hAnsi="Book Antiqua" w:cs="Arial"/>
          <w:sz w:val="22"/>
          <w:szCs w:val="22"/>
        </w:rPr>
        <w:t>There is an important distinction between the person who has satisfies Regulation 7 as a family member as they fall within Regulation 7(1)(a)-(c) and an extended family member treated as a family member if certain conditions are fulfilled.</w:t>
      </w:r>
    </w:p>
    <w:p w:rsidR="00E76947" w:rsidRDefault="00E76947" w:rsidP="00CC52D9">
      <w:pPr>
        <w:spacing w:before="120" w:after="120"/>
        <w:ind w:left="1134" w:right="567"/>
        <w:jc w:val="both"/>
        <w:rPr>
          <w:rFonts w:ascii="Book Antiqua" w:hAnsi="Book Antiqua" w:cs="Arial"/>
          <w:sz w:val="22"/>
          <w:szCs w:val="22"/>
        </w:rPr>
      </w:pPr>
      <w:r>
        <w:rPr>
          <w:rFonts w:ascii="Book Antiqua" w:hAnsi="Book Antiqua" w:cs="Arial"/>
          <w:sz w:val="22"/>
          <w:szCs w:val="22"/>
        </w:rPr>
        <w:t>There appears arguable merit in the submission that a person is not a member until they satisfy Regulation 7(3) and the period calculating 5 years’ exercising Treaty rights as a family member can only run from that point in time.</w:t>
      </w:r>
    </w:p>
    <w:p w:rsidR="00E76947" w:rsidRDefault="00E76947" w:rsidP="00CC52D9">
      <w:pPr>
        <w:spacing w:before="120" w:after="120"/>
        <w:ind w:left="1134" w:right="567"/>
        <w:jc w:val="both"/>
        <w:rPr>
          <w:rFonts w:ascii="Book Antiqua" w:hAnsi="Book Antiqua" w:cs="Arial"/>
          <w:sz w:val="22"/>
          <w:szCs w:val="22"/>
        </w:rPr>
      </w:pPr>
      <w:r>
        <w:rPr>
          <w:rFonts w:ascii="Book Antiqua" w:hAnsi="Book Antiqua" w:cs="Arial"/>
          <w:sz w:val="22"/>
          <w:szCs w:val="22"/>
        </w:rPr>
        <w:t>It was argued that the Judge erred in concluding that the claimant has an entitlement on the basis of being an extended family member for 5 years, rather than calculating the appropriate period from the grant of a residence card recognising such status entitling the claimant to be recognised as a family member (if one was granted), and/or in finding the claimant is an extended family member when this is a matter for the Secretary of State having exercised her discretion.</w:t>
      </w:r>
      <w:r w:rsidR="00CC52D9">
        <w:rPr>
          <w:rFonts w:ascii="Book Antiqua" w:hAnsi="Book Antiqua" w:cs="Arial"/>
          <w:sz w:val="22"/>
          <w:szCs w:val="22"/>
        </w:rPr>
        <w:t>”</w:t>
      </w:r>
    </w:p>
    <w:p w:rsidR="00E76947" w:rsidRDefault="00E76947" w:rsidP="00CC52D9">
      <w:pPr>
        <w:spacing w:before="160"/>
        <w:jc w:val="both"/>
        <w:rPr>
          <w:rFonts w:ascii="Book Antiqua" w:hAnsi="Book Antiqua" w:cs="Arial"/>
          <w:b/>
          <w:bCs/>
          <w:u w:val="single"/>
        </w:rPr>
      </w:pPr>
      <w:r>
        <w:rPr>
          <w:rFonts w:ascii="Book Antiqua" w:hAnsi="Book Antiqua" w:cs="Arial"/>
          <w:b/>
          <w:bCs/>
          <w:u w:val="single"/>
        </w:rPr>
        <w:t>The Hearing in the Upper Tribunal</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t xml:space="preserve">At the hearing before me to determine whether an error of law was made out, Mr Melvin relied on the case of </w:t>
      </w:r>
      <w:r>
        <w:rPr>
          <w:rFonts w:ascii="Book Antiqua" w:hAnsi="Book Antiqua" w:cs="Arial"/>
          <w:b/>
          <w:bCs/>
          <w:u w:val="single"/>
        </w:rPr>
        <w:t xml:space="preserve">Selim </w:t>
      </w:r>
      <w:proofErr w:type="spellStart"/>
      <w:r>
        <w:rPr>
          <w:rFonts w:ascii="Book Antiqua" w:hAnsi="Book Antiqua" w:cs="Arial"/>
          <w:b/>
          <w:bCs/>
          <w:u w:val="single"/>
        </w:rPr>
        <w:t>Mac</w:t>
      </w:r>
      <w:r w:rsidR="00D705AB">
        <w:rPr>
          <w:rFonts w:ascii="Book Antiqua" w:hAnsi="Book Antiqua" w:cs="Arial"/>
          <w:b/>
          <w:bCs/>
          <w:u w:val="single"/>
        </w:rPr>
        <w:t>a</w:t>
      </w:r>
      <w:r>
        <w:rPr>
          <w:rFonts w:ascii="Book Antiqua" w:hAnsi="Book Antiqua" w:cs="Arial"/>
          <w:b/>
          <w:bCs/>
          <w:u w:val="single"/>
        </w:rPr>
        <w:t>stena</w:t>
      </w:r>
      <w:proofErr w:type="spellEnd"/>
      <w:r>
        <w:rPr>
          <w:rFonts w:ascii="Book Antiqua" w:hAnsi="Book Antiqua" w:cs="Arial"/>
          <w:b/>
          <w:bCs/>
          <w:u w:val="single"/>
        </w:rPr>
        <w:t xml:space="preserve"> -v- Secretary of State for the Home Department</w:t>
      </w:r>
      <w:r>
        <w:rPr>
          <w:rFonts w:ascii="Book Antiqua" w:hAnsi="Book Antiqua" w:cs="Arial"/>
          <w:b/>
          <w:bCs/>
        </w:rPr>
        <w:t xml:space="preserve"> [2018] EWCA </w:t>
      </w:r>
      <w:proofErr w:type="spellStart"/>
      <w:r>
        <w:rPr>
          <w:rFonts w:ascii="Book Antiqua" w:hAnsi="Book Antiqua" w:cs="Arial"/>
          <w:b/>
          <w:bCs/>
        </w:rPr>
        <w:t>Civ</w:t>
      </w:r>
      <w:proofErr w:type="spellEnd"/>
      <w:r>
        <w:rPr>
          <w:rFonts w:ascii="Book Antiqua" w:hAnsi="Book Antiqua" w:cs="Arial"/>
          <w:b/>
          <w:bCs/>
        </w:rPr>
        <w:t xml:space="preserve"> 1558.</w:t>
      </w:r>
    </w:p>
    <w:p w:rsidR="00E76947" w:rsidRDefault="00E76947" w:rsidP="00CC52D9">
      <w:pPr>
        <w:spacing w:before="160"/>
        <w:jc w:val="both"/>
        <w:rPr>
          <w:rFonts w:ascii="Book Antiqua" w:hAnsi="Book Antiqua" w:cs="Arial"/>
          <w:b/>
          <w:bCs/>
          <w:u w:val="single"/>
        </w:rPr>
      </w:pPr>
      <w:r>
        <w:rPr>
          <w:rFonts w:ascii="Book Antiqua" w:hAnsi="Book Antiqua" w:cs="Arial"/>
          <w:b/>
          <w:bCs/>
          <w:u w:val="single"/>
        </w:rPr>
        <w:t>Reasons for Finding an Error of Law</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Waygood</w:t>
      </w:r>
      <w:proofErr w:type="spellEnd"/>
      <w:r>
        <w:rPr>
          <w:rFonts w:ascii="Book Antiqua" w:hAnsi="Book Antiqua" w:cs="Arial"/>
        </w:rPr>
        <w:t xml:space="preserve"> fell into error as he failed to apply the correct provision of Regulation 15(1) and he overlooked Regulation 7(3).  The claimant did not potentially come within the scope of Regulation 15(1)(a) as she was not an EEA national who had resided in the UK in accordance with the Regulati</w:t>
      </w:r>
      <w:r w:rsidR="00D705AB">
        <w:rPr>
          <w:rFonts w:ascii="Book Antiqua" w:hAnsi="Book Antiqua" w:cs="Arial"/>
        </w:rPr>
        <w:t>ons for a continuous period of five</w:t>
      </w:r>
      <w:r>
        <w:rPr>
          <w:rFonts w:ascii="Book Antiqua" w:hAnsi="Book Antiqua" w:cs="Arial"/>
        </w:rPr>
        <w:t xml:space="preserve"> years.  In order to </w:t>
      </w:r>
      <w:r w:rsidR="00D705AB">
        <w:rPr>
          <w:rFonts w:ascii="Book Antiqua" w:hAnsi="Book Antiqua" w:cs="Arial"/>
        </w:rPr>
        <w:t xml:space="preserve">have </w:t>
      </w:r>
      <w:r>
        <w:rPr>
          <w:rFonts w:ascii="Book Antiqua" w:hAnsi="Book Antiqua" w:cs="Arial"/>
        </w:rPr>
        <w:t>reside</w:t>
      </w:r>
      <w:r w:rsidR="00D705AB">
        <w:rPr>
          <w:rFonts w:ascii="Book Antiqua" w:hAnsi="Book Antiqua" w:cs="Arial"/>
        </w:rPr>
        <w:t>d</w:t>
      </w:r>
      <w:r>
        <w:rPr>
          <w:rFonts w:ascii="Book Antiqua" w:hAnsi="Book Antiqua" w:cs="Arial"/>
        </w:rPr>
        <w:t xml:space="preserve"> in the UK in accordance with Regulati</w:t>
      </w:r>
      <w:r w:rsidR="00D705AB">
        <w:rPr>
          <w:rFonts w:ascii="Book Antiqua" w:hAnsi="Book Antiqua" w:cs="Arial"/>
        </w:rPr>
        <w:t>ons for a continuous period of five</w:t>
      </w:r>
      <w:r>
        <w:rPr>
          <w:rFonts w:ascii="Book Antiqua" w:hAnsi="Book Antiqua" w:cs="Arial"/>
        </w:rPr>
        <w:t xml:space="preserve"> years, she would have needed to have </w:t>
      </w:r>
      <w:r w:rsidR="00D705AB">
        <w:rPr>
          <w:rFonts w:ascii="Book Antiqua" w:hAnsi="Book Antiqua" w:cs="Arial"/>
        </w:rPr>
        <w:t>been a q</w:t>
      </w:r>
      <w:r>
        <w:rPr>
          <w:rFonts w:ascii="Book Antiqua" w:hAnsi="Book Antiqua" w:cs="Arial"/>
        </w:rPr>
        <w:t xml:space="preserve">ualified </w:t>
      </w:r>
      <w:r w:rsidR="00D705AB">
        <w:rPr>
          <w:rFonts w:ascii="Book Antiqua" w:hAnsi="Book Antiqua" w:cs="Arial"/>
        </w:rPr>
        <w:t>person for a period of five</w:t>
      </w:r>
      <w:r>
        <w:rPr>
          <w:rFonts w:ascii="Book Antiqua" w:hAnsi="Book Antiqua" w:cs="Arial"/>
        </w:rPr>
        <w:t xml:space="preserve"> years, and the Judge had earlier </w:t>
      </w:r>
      <w:r w:rsidR="00C811DA">
        <w:rPr>
          <w:rFonts w:ascii="Book Antiqua" w:hAnsi="Book Antiqua" w:cs="Arial"/>
          <w:iCs/>
        </w:rPr>
        <w:t xml:space="preserve">and </w:t>
      </w:r>
      <w:r w:rsidR="00C811DA">
        <w:rPr>
          <w:rFonts w:ascii="Book Antiqua" w:hAnsi="Book Antiqua" w:cs="Arial"/>
        </w:rPr>
        <w:t>rightly</w:t>
      </w:r>
      <w:r>
        <w:rPr>
          <w:rFonts w:ascii="Book Antiqua" w:hAnsi="Book Antiqua" w:cs="Arial"/>
        </w:rPr>
        <w:t xml:space="preserve"> found that she was not a qualified person.</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t>The claimant potentially came within the scope of Regulation 15(1)(b)</w:t>
      </w:r>
      <w:r w:rsidR="00D705AB">
        <w:rPr>
          <w:rFonts w:ascii="Book Antiqua" w:hAnsi="Book Antiqua" w:cs="Arial"/>
        </w:rPr>
        <w:t>,</w:t>
      </w:r>
      <w:r>
        <w:rPr>
          <w:rFonts w:ascii="Book Antiqua" w:hAnsi="Book Antiqua" w:cs="Arial"/>
        </w:rPr>
        <w:t xml:space="preserve"> which applies to a family member of an EEA nati</w:t>
      </w:r>
      <w:r w:rsidR="00D705AB">
        <w:rPr>
          <w:rFonts w:ascii="Book Antiqua" w:hAnsi="Book Antiqua" w:cs="Arial"/>
        </w:rPr>
        <w:t>onal who is</w:t>
      </w:r>
      <w:r>
        <w:rPr>
          <w:rFonts w:ascii="Book Antiqua" w:hAnsi="Book Antiqua" w:cs="Arial"/>
        </w:rPr>
        <w:t xml:space="preserve"> not hims</w:t>
      </w:r>
      <w:r w:rsidR="00D705AB">
        <w:rPr>
          <w:rFonts w:ascii="Book Antiqua" w:hAnsi="Book Antiqua" w:cs="Arial"/>
        </w:rPr>
        <w:t>elf an EEA national, but who has</w:t>
      </w:r>
      <w:r>
        <w:rPr>
          <w:rFonts w:ascii="Book Antiqua" w:hAnsi="Book Antiqua" w:cs="Arial"/>
        </w:rPr>
        <w:t xml:space="preserve"> resided in the UK with the EEA n</w:t>
      </w:r>
      <w:r w:rsidR="00D705AB">
        <w:rPr>
          <w:rFonts w:ascii="Book Antiqua" w:hAnsi="Book Antiqua" w:cs="Arial"/>
        </w:rPr>
        <w:t>ational in accordance with the</w:t>
      </w:r>
      <w:r>
        <w:rPr>
          <w:rFonts w:ascii="Book Antiqua" w:hAnsi="Book Antiqua" w:cs="Arial"/>
        </w:rPr>
        <w:t xml:space="preserve"> Regulati</w:t>
      </w:r>
      <w:r w:rsidR="00D705AB">
        <w:rPr>
          <w:rFonts w:ascii="Book Antiqua" w:hAnsi="Book Antiqua" w:cs="Arial"/>
        </w:rPr>
        <w:t>ons for a continuous period of five</w:t>
      </w:r>
      <w:r>
        <w:rPr>
          <w:rFonts w:ascii="Book Antiqua" w:hAnsi="Book Antiqua" w:cs="Arial"/>
        </w:rPr>
        <w:t xml:space="preserve"> years. </w:t>
      </w:r>
    </w:p>
    <w:p w:rsidR="00E76947" w:rsidRDefault="00D705AB" w:rsidP="00CC52D9">
      <w:pPr>
        <w:numPr>
          <w:ilvl w:val="0"/>
          <w:numId w:val="1"/>
        </w:numPr>
        <w:spacing w:before="160"/>
        <w:jc w:val="both"/>
        <w:rPr>
          <w:rFonts w:ascii="Book Antiqua" w:hAnsi="Book Antiqua" w:cs="Arial"/>
        </w:rPr>
      </w:pPr>
      <w:r>
        <w:rPr>
          <w:rFonts w:ascii="Book Antiqua" w:hAnsi="Book Antiqua" w:cs="Arial"/>
        </w:rPr>
        <w:t>However, Regulation 15(1)(b) only applies</w:t>
      </w:r>
      <w:r w:rsidR="00E76947">
        <w:rPr>
          <w:rFonts w:ascii="Book Antiqua" w:hAnsi="Book Antiqua" w:cs="Arial"/>
        </w:rPr>
        <w:t xml:space="preserve"> to</w:t>
      </w:r>
      <w:r>
        <w:rPr>
          <w:rFonts w:ascii="Book Antiqua" w:hAnsi="Book Antiqua" w:cs="Arial"/>
        </w:rPr>
        <w:t xml:space="preserve"> “</w:t>
      </w:r>
      <w:r w:rsidR="00E76947">
        <w:rPr>
          <w:rFonts w:ascii="Book Antiqua" w:hAnsi="Book Antiqua" w:cs="Arial"/>
        </w:rPr>
        <w:t xml:space="preserve">a </w:t>
      </w:r>
      <w:r w:rsidR="00E76947" w:rsidRPr="00D705AB">
        <w:rPr>
          <w:rFonts w:ascii="Book Antiqua" w:hAnsi="Book Antiqua" w:cs="Arial"/>
        </w:rPr>
        <w:t>family member</w:t>
      </w:r>
      <w:r>
        <w:rPr>
          <w:rFonts w:ascii="Book Antiqua" w:hAnsi="Book Antiqua" w:cs="Arial"/>
        </w:rPr>
        <w:t>”</w:t>
      </w:r>
      <w:r w:rsidR="00E76947">
        <w:rPr>
          <w:rFonts w:ascii="Book Antiqua" w:hAnsi="Book Antiqua" w:cs="Arial"/>
        </w:rPr>
        <w:t xml:space="preserve"> of an EEA nat</w:t>
      </w:r>
      <w:r>
        <w:rPr>
          <w:rFonts w:ascii="Book Antiqua" w:hAnsi="Book Antiqua" w:cs="Arial"/>
        </w:rPr>
        <w:t>ional qualified person. It does not apply to an</w:t>
      </w:r>
      <w:r w:rsidR="00E76947">
        <w:rPr>
          <w:rFonts w:ascii="Book Antiqua" w:hAnsi="Book Antiqua" w:cs="Arial"/>
        </w:rPr>
        <w:t xml:space="preserve"> </w:t>
      </w:r>
      <w:r>
        <w:rPr>
          <w:rFonts w:ascii="Book Antiqua" w:hAnsi="Book Antiqua" w:cs="Arial"/>
        </w:rPr>
        <w:t>“</w:t>
      </w:r>
      <w:r w:rsidR="00E76947" w:rsidRPr="00D705AB">
        <w:rPr>
          <w:rFonts w:ascii="Book Antiqua" w:hAnsi="Book Antiqua" w:cs="Arial"/>
        </w:rPr>
        <w:t>extended family member</w:t>
      </w:r>
      <w:r>
        <w:rPr>
          <w:rFonts w:ascii="Book Antiqua" w:hAnsi="Book Antiqua" w:cs="Arial"/>
        </w:rPr>
        <w:t>” of an EEA national qualified person.</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lastRenderedPageBreak/>
        <w:t>Regulation 7 defines family members, and Regulations 8 defines extended family members.  Regulation 7(3) provides as follows: “</w:t>
      </w:r>
      <w:r>
        <w:rPr>
          <w:rFonts w:ascii="Book Antiqua" w:hAnsi="Book Antiqua" w:cs="Arial"/>
          <w:i/>
          <w:iCs/>
        </w:rPr>
        <w:t xml:space="preserve">Subject to paragraph </w:t>
      </w:r>
      <w:r w:rsidR="00D705AB">
        <w:rPr>
          <w:rFonts w:ascii="Book Antiqua" w:hAnsi="Book Antiqua" w:cs="Arial"/>
          <w:i/>
          <w:iCs/>
        </w:rPr>
        <w:t>(</w:t>
      </w:r>
      <w:r>
        <w:rPr>
          <w:rFonts w:ascii="Book Antiqua" w:hAnsi="Book Antiqua" w:cs="Arial"/>
          <w:i/>
          <w:iCs/>
        </w:rPr>
        <w:t>4</w:t>
      </w:r>
      <w:r w:rsidR="00D705AB">
        <w:rPr>
          <w:rFonts w:ascii="Book Antiqua" w:hAnsi="Book Antiqua" w:cs="Arial"/>
          <w:i/>
          <w:iCs/>
        </w:rPr>
        <w:t>)</w:t>
      </w:r>
      <w:r>
        <w:rPr>
          <w:rFonts w:ascii="Book Antiqua" w:hAnsi="Book Antiqua" w:cs="Arial"/>
          <w:i/>
          <w:iCs/>
        </w:rPr>
        <w:t xml:space="preserve">, a person who is an extended family member </w:t>
      </w:r>
      <w:r w:rsidR="00D705AB">
        <w:rPr>
          <w:rFonts w:ascii="Book Antiqua" w:hAnsi="Book Antiqua" w:cs="Arial"/>
          <w:i/>
          <w:iCs/>
        </w:rPr>
        <w:t xml:space="preserve">and who </w:t>
      </w:r>
      <w:r>
        <w:rPr>
          <w:rFonts w:ascii="Book Antiqua" w:hAnsi="Book Antiqua" w:cs="Arial"/>
          <w:i/>
          <w:iCs/>
        </w:rPr>
        <w:t>has been issued with an EEA family permit, a registration certificate or a residence card, shall be</w:t>
      </w:r>
      <w:r w:rsidR="00D705AB">
        <w:rPr>
          <w:rFonts w:ascii="Book Antiqua" w:hAnsi="Book Antiqua" w:cs="Arial"/>
          <w:i/>
          <w:iCs/>
        </w:rPr>
        <w:t xml:space="preserve"> treated as a family member of the</w:t>
      </w:r>
      <w:r>
        <w:rPr>
          <w:rFonts w:ascii="Book Antiqua" w:hAnsi="Book Antiqua" w:cs="Arial"/>
          <w:i/>
          <w:iCs/>
        </w:rPr>
        <w:t xml:space="preserve"> relevant EEA national for as long as he continue</w:t>
      </w:r>
      <w:r w:rsidR="00D705AB">
        <w:rPr>
          <w:rFonts w:ascii="Book Antiqua" w:hAnsi="Book Antiqua" w:cs="Arial"/>
          <w:i/>
          <w:iCs/>
        </w:rPr>
        <w:t>s to satisfy the conditions in regulation 8 (2),</w:t>
      </w:r>
      <w:r>
        <w:rPr>
          <w:rFonts w:ascii="Book Antiqua" w:hAnsi="Book Antiqua" w:cs="Arial"/>
          <w:i/>
          <w:iCs/>
        </w:rPr>
        <w:t xml:space="preserve"> </w:t>
      </w:r>
      <w:r w:rsidR="00D705AB">
        <w:rPr>
          <w:rFonts w:ascii="Book Antiqua" w:hAnsi="Book Antiqua" w:cs="Arial"/>
          <w:i/>
          <w:iCs/>
        </w:rPr>
        <w:t>(</w:t>
      </w:r>
      <w:r>
        <w:rPr>
          <w:rFonts w:ascii="Book Antiqua" w:hAnsi="Book Antiqua" w:cs="Arial"/>
          <w:i/>
          <w:iCs/>
        </w:rPr>
        <w:t>3</w:t>
      </w:r>
      <w:r w:rsidR="00D705AB">
        <w:rPr>
          <w:rFonts w:ascii="Book Antiqua" w:hAnsi="Book Antiqua" w:cs="Arial"/>
          <w:i/>
          <w:iCs/>
        </w:rPr>
        <w:t>)</w:t>
      </w:r>
      <w:r>
        <w:rPr>
          <w:rFonts w:ascii="Book Antiqua" w:hAnsi="Book Antiqua" w:cs="Arial"/>
          <w:i/>
          <w:iCs/>
        </w:rPr>
        <w:t xml:space="preserve">, </w:t>
      </w:r>
      <w:r w:rsidR="00D705AB">
        <w:rPr>
          <w:rFonts w:ascii="Book Antiqua" w:hAnsi="Book Antiqua" w:cs="Arial"/>
          <w:i/>
          <w:iCs/>
        </w:rPr>
        <w:t>(</w:t>
      </w:r>
      <w:r>
        <w:rPr>
          <w:rFonts w:ascii="Book Antiqua" w:hAnsi="Book Antiqua" w:cs="Arial"/>
          <w:i/>
          <w:iCs/>
        </w:rPr>
        <w:t>4</w:t>
      </w:r>
      <w:r w:rsidR="00D705AB">
        <w:rPr>
          <w:rFonts w:ascii="Book Antiqua" w:hAnsi="Book Antiqua" w:cs="Arial"/>
          <w:i/>
          <w:iCs/>
        </w:rPr>
        <w:t>)</w:t>
      </w:r>
      <w:r>
        <w:rPr>
          <w:rFonts w:ascii="Book Antiqua" w:hAnsi="Book Antiqua" w:cs="Arial"/>
          <w:i/>
          <w:iCs/>
        </w:rPr>
        <w:t xml:space="preserve"> or </w:t>
      </w:r>
      <w:r w:rsidR="001A3369">
        <w:rPr>
          <w:rFonts w:ascii="Book Antiqua" w:hAnsi="Book Antiqua" w:cs="Arial"/>
          <w:i/>
          <w:iCs/>
        </w:rPr>
        <w:t>(</w:t>
      </w:r>
      <w:r>
        <w:rPr>
          <w:rFonts w:ascii="Book Antiqua" w:hAnsi="Book Antiqua" w:cs="Arial"/>
          <w:i/>
          <w:iCs/>
        </w:rPr>
        <w:t>5</w:t>
      </w:r>
      <w:r w:rsidR="001A3369">
        <w:rPr>
          <w:rFonts w:ascii="Book Antiqua" w:hAnsi="Book Antiqua" w:cs="Arial"/>
          <w:i/>
          <w:iCs/>
        </w:rPr>
        <w:t>)</w:t>
      </w:r>
      <w:r>
        <w:rPr>
          <w:rFonts w:ascii="Book Antiqua" w:hAnsi="Book Antiqua" w:cs="Arial"/>
          <w:i/>
          <w:iCs/>
        </w:rPr>
        <w:t xml:space="preserve"> in relation to that EEA national and the permit, certificate or card has not ceased to be valid or been revoked.”</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t>Accordingly, in order to obtain the benefit of Regulation 15(1)(b), a person in the claimant</w:t>
      </w:r>
      <w:r w:rsidR="001A3369">
        <w:rPr>
          <w:rFonts w:ascii="Book Antiqua" w:hAnsi="Book Antiqua" w:cs="Arial"/>
        </w:rPr>
        <w:t xml:space="preserve">’s position must first have </w:t>
      </w:r>
      <w:r>
        <w:rPr>
          <w:rFonts w:ascii="Book Antiqua" w:hAnsi="Book Antiqua" w:cs="Arial"/>
        </w:rPr>
        <w:t>be</w:t>
      </w:r>
      <w:r w:rsidR="001A3369">
        <w:rPr>
          <w:rFonts w:ascii="Book Antiqua" w:hAnsi="Book Antiqua" w:cs="Arial"/>
        </w:rPr>
        <w:t>en</w:t>
      </w:r>
      <w:r>
        <w:rPr>
          <w:rFonts w:ascii="Book Antiqua" w:hAnsi="Book Antiqua" w:cs="Arial"/>
        </w:rPr>
        <w:t xml:space="preserve"> issued with an EEA family permit, registration certificate or a residence card.  It is only after they have held such a permit, certificate or </w:t>
      </w:r>
      <w:r w:rsidR="001A3369">
        <w:rPr>
          <w:rFonts w:ascii="Book Antiqua" w:hAnsi="Book Antiqua" w:cs="Arial"/>
        </w:rPr>
        <w:t>residence card for a period of five</w:t>
      </w:r>
      <w:r>
        <w:rPr>
          <w:rFonts w:ascii="Book Antiqua" w:hAnsi="Book Antiqua" w:cs="Arial"/>
        </w:rPr>
        <w:t xml:space="preserve"> years that they are eligible for a permanent residence card.</w:t>
      </w:r>
    </w:p>
    <w:p w:rsidR="00E76947" w:rsidRDefault="00E76947" w:rsidP="00CC52D9">
      <w:pPr>
        <w:numPr>
          <w:ilvl w:val="0"/>
          <w:numId w:val="1"/>
        </w:numPr>
        <w:spacing w:before="160"/>
        <w:jc w:val="both"/>
        <w:rPr>
          <w:rFonts w:ascii="Book Antiqua" w:hAnsi="Book Antiqua" w:cs="Arial"/>
        </w:rPr>
      </w:pPr>
      <w:r>
        <w:rPr>
          <w:rFonts w:ascii="Book Antiqua" w:hAnsi="Book Antiqua" w:cs="Arial"/>
        </w:rPr>
        <w:t>In short, on the facts fo</w:t>
      </w:r>
      <w:r w:rsidR="001A3369">
        <w:rPr>
          <w:rFonts w:ascii="Book Antiqua" w:hAnsi="Book Antiqua" w:cs="Arial"/>
        </w:rPr>
        <w:t xml:space="preserve">und by Judge </w:t>
      </w:r>
      <w:proofErr w:type="spellStart"/>
      <w:r w:rsidR="001A3369">
        <w:rPr>
          <w:rFonts w:ascii="Book Antiqua" w:hAnsi="Book Antiqua" w:cs="Arial"/>
        </w:rPr>
        <w:t>Waygood</w:t>
      </w:r>
      <w:proofErr w:type="spellEnd"/>
      <w:r w:rsidR="001A3369">
        <w:rPr>
          <w:rFonts w:ascii="Book Antiqua" w:hAnsi="Book Antiqua" w:cs="Arial"/>
        </w:rPr>
        <w:t xml:space="preserve"> (which are</w:t>
      </w:r>
      <w:r>
        <w:rPr>
          <w:rFonts w:ascii="Book Antiqua" w:hAnsi="Book Antiqua" w:cs="Arial"/>
        </w:rPr>
        <w:t xml:space="preserve"> not disputed by way of appeal) the claimant has clearly established her </w:t>
      </w:r>
      <w:r w:rsidR="001A3369">
        <w:rPr>
          <w:rFonts w:ascii="Book Antiqua" w:hAnsi="Book Antiqua" w:cs="Arial"/>
        </w:rPr>
        <w:t xml:space="preserve">potential </w:t>
      </w:r>
      <w:r>
        <w:rPr>
          <w:rFonts w:ascii="Book Antiqua" w:hAnsi="Book Antiqua" w:cs="Arial"/>
        </w:rPr>
        <w:t>eligibility to be issued with a residence card as an extended family member under Regulation</w:t>
      </w:r>
      <w:r w:rsidR="001A3369">
        <w:rPr>
          <w:rFonts w:ascii="Book Antiqua" w:hAnsi="Book Antiqua" w:cs="Arial"/>
        </w:rPr>
        <w:t xml:space="preserve">s 17(4) and (5) – subject to the exercise of discretion by the Secretary of State - </w:t>
      </w:r>
      <w:r>
        <w:rPr>
          <w:rFonts w:ascii="Book Antiqua" w:hAnsi="Book Antiqua" w:cs="Arial"/>
        </w:rPr>
        <w:t xml:space="preserve">but she is not eligible for the issue of a permanent residence card under Regulation 15(1).  As the Secretary of State retains discretion as to whether to issue a residence card to an extended family member, it is incumbent on the claimant to </w:t>
      </w:r>
      <w:r w:rsidR="001A3369">
        <w:rPr>
          <w:rFonts w:ascii="Book Antiqua" w:hAnsi="Book Antiqua" w:cs="Arial"/>
        </w:rPr>
        <w:t xml:space="preserve">now </w:t>
      </w:r>
      <w:r>
        <w:rPr>
          <w:rFonts w:ascii="Book Antiqua" w:hAnsi="Book Antiqua" w:cs="Arial"/>
        </w:rPr>
        <w:t>make an application under Regulation 17(4) for a residence ca</w:t>
      </w:r>
      <w:r w:rsidR="001A3369">
        <w:rPr>
          <w:rFonts w:ascii="Book Antiqua" w:hAnsi="Book Antiqua" w:cs="Arial"/>
        </w:rPr>
        <w:t>rd, if she wishes to have one under the current regime.</w:t>
      </w:r>
      <w:r w:rsidR="00C811DA">
        <w:rPr>
          <w:rFonts w:ascii="Book Antiqua" w:hAnsi="Book Antiqua" w:cs="Arial"/>
        </w:rPr>
        <w:t xml:space="preserve"> On the other hand, as an EEA national herself, she does not actually need a residence card to affirm the legality of her long residence in the UK. </w:t>
      </w:r>
    </w:p>
    <w:p w:rsidR="00E76947" w:rsidRDefault="00E76947" w:rsidP="00CC52D9">
      <w:pPr>
        <w:spacing w:before="160"/>
        <w:jc w:val="both"/>
        <w:rPr>
          <w:rFonts w:ascii="Book Antiqua" w:hAnsi="Book Antiqua" w:cs="Arial"/>
          <w:b/>
          <w:u w:val="single"/>
        </w:rPr>
      </w:pPr>
      <w:r>
        <w:rPr>
          <w:rFonts w:ascii="Book Antiqua" w:hAnsi="Book Antiqua" w:cs="Arial"/>
          <w:b/>
          <w:u w:val="single"/>
        </w:rPr>
        <w:t>Notice of Decision</w:t>
      </w:r>
    </w:p>
    <w:p w:rsidR="00E76947" w:rsidRDefault="00E76947" w:rsidP="00CC52D9">
      <w:pPr>
        <w:tabs>
          <w:tab w:val="left" w:pos="567"/>
        </w:tabs>
        <w:spacing w:before="160"/>
        <w:jc w:val="both"/>
        <w:rPr>
          <w:rFonts w:ascii="Book Antiqua" w:hAnsi="Book Antiqua" w:cs="Arial"/>
        </w:rPr>
      </w:pPr>
      <w:r>
        <w:rPr>
          <w:rFonts w:ascii="Book Antiqua" w:hAnsi="Book Antiqua" w:cs="Arial"/>
        </w:rPr>
        <w:t>The decision of the First-tier Tribunal contained an error of law, and accordingly the decision is set aside and the following decision substituted:</w:t>
      </w:r>
    </w:p>
    <w:p w:rsidR="00E76947" w:rsidRDefault="00E76947" w:rsidP="00CC52D9">
      <w:pPr>
        <w:tabs>
          <w:tab w:val="left" w:pos="567"/>
        </w:tabs>
        <w:spacing w:before="160"/>
        <w:jc w:val="both"/>
        <w:rPr>
          <w:rFonts w:ascii="Book Antiqua" w:hAnsi="Book Antiqua" w:cs="Arial"/>
        </w:rPr>
      </w:pPr>
      <w:r>
        <w:rPr>
          <w:rFonts w:ascii="Book Antiqua" w:hAnsi="Book Antiqua" w:cs="Arial"/>
        </w:rPr>
        <w:t>The claimant’s appeal against the decision of the respondent to refuse to issue her with a permanent residence card is dismissed.</w:t>
      </w:r>
    </w:p>
    <w:p w:rsidR="00E76947" w:rsidRDefault="001A3369" w:rsidP="00CC52D9">
      <w:pPr>
        <w:tabs>
          <w:tab w:val="left" w:pos="567"/>
        </w:tabs>
        <w:spacing w:before="160"/>
        <w:jc w:val="both"/>
        <w:rPr>
          <w:rFonts w:ascii="Book Antiqua" w:hAnsi="Book Antiqua" w:cs="Arial"/>
          <w:u w:val="single"/>
        </w:rPr>
      </w:pPr>
      <w:r>
        <w:rPr>
          <w:rFonts w:ascii="Book Antiqua" w:hAnsi="Book Antiqua" w:cs="Arial"/>
          <w:u w:val="single"/>
        </w:rPr>
        <w:t>Anonymity</w:t>
      </w:r>
    </w:p>
    <w:p w:rsidR="001A3369" w:rsidRPr="001A3369" w:rsidRDefault="001A3369" w:rsidP="00CC52D9">
      <w:pPr>
        <w:tabs>
          <w:tab w:val="left" w:pos="567"/>
        </w:tabs>
        <w:spacing w:before="160"/>
        <w:jc w:val="both"/>
        <w:rPr>
          <w:rFonts w:ascii="Book Antiqua" w:hAnsi="Book Antiqua" w:cs="Arial"/>
        </w:rPr>
      </w:pPr>
      <w:r>
        <w:rPr>
          <w:rFonts w:ascii="Book Antiqua" w:hAnsi="Book Antiqua" w:cs="Arial"/>
        </w:rPr>
        <w:t>No anonymity direction made.</w:t>
      </w:r>
    </w:p>
    <w:p w:rsidR="00E76947" w:rsidRDefault="00E76947">
      <w:pPr>
        <w:jc w:val="both"/>
        <w:rPr>
          <w:rFonts w:ascii="Book Antiqua" w:hAnsi="Book Antiqua"/>
        </w:rPr>
      </w:pPr>
    </w:p>
    <w:p w:rsidR="00E76947" w:rsidRDefault="00E76947">
      <w:pPr>
        <w:jc w:val="both"/>
        <w:rPr>
          <w:rFonts w:ascii="Book Antiqua" w:hAnsi="Book Antiqua" w:cs="Arial"/>
        </w:rPr>
      </w:pPr>
    </w:p>
    <w:p w:rsidR="00E76947" w:rsidRDefault="00E76947">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3 September 2018</w:t>
      </w:r>
    </w:p>
    <w:p w:rsidR="00E76947" w:rsidRDefault="00E76947">
      <w:pPr>
        <w:jc w:val="both"/>
        <w:rPr>
          <w:rFonts w:ascii="Book Antiqua" w:hAnsi="Book Antiqua" w:cs="Arial"/>
        </w:rPr>
      </w:pPr>
    </w:p>
    <w:p w:rsidR="00E76947" w:rsidRDefault="00E76947">
      <w:pPr>
        <w:jc w:val="both"/>
        <w:rPr>
          <w:rFonts w:ascii="Book Antiqua" w:hAnsi="Book Antiqua" w:cs="Arial"/>
        </w:rPr>
      </w:pPr>
      <w:r>
        <w:rPr>
          <w:rFonts w:ascii="Book Antiqua" w:hAnsi="Book Antiqua" w:cs="Arial"/>
        </w:rPr>
        <w:t>Judge Monson</w:t>
      </w:r>
    </w:p>
    <w:p w:rsidR="00E76947" w:rsidRDefault="00E76947">
      <w:pPr>
        <w:jc w:val="both"/>
        <w:rPr>
          <w:rFonts w:ascii="Book Antiqua" w:hAnsi="Book Antiqua" w:cs="Arial"/>
        </w:rPr>
      </w:pPr>
      <w:r>
        <w:rPr>
          <w:rFonts w:ascii="Book Antiqua" w:hAnsi="Book Antiqua" w:cs="Arial"/>
        </w:rPr>
        <w:t>Deputy Upper Tribunal Judge</w:t>
      </w:r>
    </w:p>
    <w:p w:rsidR="00E76947" w:rsidRDefault="00E76947">
      <w:pPr>
        <w:jc w:val="both"/>
        <w:rPr>
          <w:rFonts w:ascii="Book Antiqua" w:hAnsi="Book Antiqua"/>
          <w:color w:val="0000FF"/>
        </w:rPr>
      </w:pPr>
    </w:p>
    <w:p w:rsidR="00CC52D9" w:rsidRDefault="00CC52D9">
      <w:pPr>
        <w:rPr>
          <w:rFonts w:ascii="Book Antiqua" w:hAnsi="Book Antiqua"/>
          <w:b/>
          <w:u w:val="single"/>
        </w:rPr>
      </w:pPr>
      <w:r>
        <w:rPr>
          <w:rFonts w:ascii="Book Antiqua" w:hAnsi="Book Antiqua"/>
          <w:b/>
          <w:u w:val="single"/>
        </w:rPr>
        <w:br w:type="page"/>
      </w:r>
    </w:p>
    <w:p w:rsidR="003346D5" w:rsidRDefault="003346D5">
      <w:pPr>
        <w:jc w:val="both"/>
        <w:rPr>
          <w:rFonts w:ascii="Book Antiqua" w:hAnsi="Book Antiqua"/>
          <w:b/>
          <w:u w:val="single"/>
        </w:rPr>
      </w:pPr>
    </w:p>
    <w:p w:rsidR="00E76947" w:rsidRDefault="00E76947">
      <w:pPr>
        <w:jc w:val="both"/>
        <w:rPr>
          <w:rFonts w:ascii="Book Antiqua" w:hAnsi="Book Antiqua"/>
          <w:b/>
          <w:u w:val="single"/>
        </w:rPr>
      </w:pPr>
      <w:r>
        <w:rPr>
          <w:rFonts w:ascii="Book Antiqua" w:hAnsi="Book Antiqua"/>
          <w:b/>
          <w:u w:val="single"/>
        </w:rPr>
        <w:t>TO THE RESPONDENT</w:t>
      </w:r>
    </w:p>
    <w:p w:rsidR="00E76947" w:rsidRDefault="00E76947">
      <w:pPr>
        <w:jc w:val="both"/>
        <w:rPr>
          <w:rFonts w:ascii="Book Antiqua" w:hAnsi="Book Antiqua"/>
          <w:b/>
          <w:u w:val="single"/>
        </w:rPr>
      </w:pPr>
      <w:r>
        <w:rPr>
          <w:rFonts w:ascii="Book Antiqua" w:hAnsi="Book Antiqua"/>
          <w:b/>
          <w:u w:val="single"/>
        </w:rPr>
        <w:t>FEE AWARD</w:t>
      </w:r>
    </w:p>
    <w:p w:rsidR="00E76947" w:rsidRDefault="00E76947">
      <w:pPr>
        <w:jc w:val="both"/>
        <w:rPr>
          <w:rFonts w:ascii="Book Antiqua" w:hAnsi="Book Antiqua"/>
        </w:rPr>
      </w:pPr>
    </w:p>
    <w:p w:rsidR="00E76947" w:rsidRDefault="00E76947">
      <w:pPr>
        <w:jc w:val="both"/>
        <w:rPr>
          <w:rFonts w:ascii="Book Antiqua" w:hAnsi="Book Antiqua"/>
        </w:rPr>
      </w:pPr>
      <w:r>
        <w:rPr>
          <w:rFonts w:ascii="Book Antiqua" w:hAnsi="Book Antiqua"/>
        </w:rPr>
        <w:t>As I have dismissed this appeal, there can be no fee award.</w:t>
      </w:r>
    </w:p>
    <w:p w:rsidR="00E76947" w:rsidRDefault="00E76947">
      <w:pPr>
        <w:jc w:val="both"/>
        <w:rPr>
          <w:rFonts w:ascii="Book Antiqua" w:hAnsi="Book Antiqua"/>
        </w:rPr>
      </w:pPr>
    </w:p>
    <w:p w:rsidR="00E76947" w:rsidRDefault="00E76947">
      <w:pPr>
        <w:jc w:val="both"/>
        <w:rPr>
          <w:rFonts w:ascii="Book Antiqua" w:hAnsi="Book Antiqua"/>
        </w:rPr>
      </w:pPr>
    </w:p>
    <w:p w:rsidR="00E76947" w:rsidRDefault="00E76947">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3 September 2018</w:t>
      </w:r>
    </w:p>
    <w:p w:rsidR="00E76947" w:rsidRDefault="00E76947">
      <w:pPr>
        <w:jc w:val="both"/>
        <w:rPr>
          <w:rFonts w:ascii="Book Antiqua" w:hAnsi="Book Antiqua" w:cs="Arial"/>
        </w:rPr>
      </w:pPr>
    </w:p>
    <w:p w:rsidR="00E76947" w:rsidRDefault="00E76947">
      <w:pPr>
        <w:jc w:val="both"/>
        <w:rPr>
          <w:rFonts w:ascii="Book Antiqua" w:hAnsi="Book Antiqua" w:cs="Arial"/>
        </w:rPr>
      </w:pPr>
      <w:r>
        <w:rPr>
          <w:rFonts w:ascii="Book Antiqua" w:hAnsi="Book Antiqua" w:cs="Arial"/>
        </w:rPr>
        <w:t>Judge Monson</w:t>
      </w:r>
    </w:p>
    <w:p w:rsidR="00E76947" w:rsidRDefault="0093304A" w:rsidP="0093304A">
      <w:pPr>
        <w:rPr>
          <w:rFonts w:ascii="Book Antiqua" w:hAnsi="Book Antiqua" w:cs="Arial"/>
        </w:rPr>
      </w:pPr>
      <w:r>
        <w:rPr>
          <w:rFonts w:ascii="Book Antiqua" w:hAnsi="Book Antiqua" w:cs="Arial"/>
        </w:rPr>
        <w:t xml:space="preserve">Deputy Upper Tribunal </w:t>
      </w:r>
      <w:r w:rsidR="00E76947">
        <w:rPr>
          <w:rFonts w:ascii="Book Antiqua" w:hAnsi="Book Antiqua" w:cs="Arial"/>
        </w:rPr>
        <w:t>Judge</w:t>
      </w:r>
      <w:r>
        <w:rPr>
          <w:rFonts w:ascii="Book Antiqua" w:hAnsi="Book Antiqua" w:cs="Arial"/>
        </w:rPr>
        <w:t xml:space="preserve"> </w:t>
      </w:r>
    </w:p>
    <w:sectPr w:rsidR="00E76947">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947" w:rsidRDefault="00E76947">
      <w:r>
        <w:separator/>
      </w:r>
    </w:p>
  </w:endnote>
  <w:endnote w:type="continuationSeparator" w:id="0">
    <w:p w:rsidR="00E76947" w:rsidRDefault="00E7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947" w:rsidRDefault="00E76947">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EB43AD">
      <w:rPr>
        <w:rStyle w:val="PageNumber"/>
        <w:rFonts w:ascii="Book Antiqua" w:hAnsi="Book Antiqua" w:cs="Arial"/>
        <w:noProof/>
        <w:sz w:val="16"/>
        <w:szCs w:val="16"/>
      </w:rPr>
      <w:t>5</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947" w:rsidRDefault="00E76947">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947" w:rsidRDefault="00E76947">
      <w:r>
        <w:separator/>
      </w:r>
    </w:p>
  </w:footnote>
  <w:footnote w:type="continuationSeparator" w:id="0">
    <w:p w:rsidR="00E76947" w:rsidRDefault="00E76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947" w:rsidRDefault="00E76947">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EA/02247/2017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947" w:rsidRDefault="00E76947">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A3369"/>
    <w:rsid w:val="001F169F"/>
    <w:rsid w:val="003346D5"/>
    <w:rsid w:val="0044451C"/>
    <w:rsid w:val="005A37D4"/>
    <w:rsid w:val="0093304A"/>
    <w:rsid w:val="00C811DA"/>
    <w:rsid w:val="00CC52D9"/>
    <w:rsid w:val="00D705AB"/>
    <w:rsid w:val="00E76947"/>
    <w:rsid w:val="00EB43AD"/>
    <w:rsid w:val="01025BDF"/>
    <w:rsid w:val="017770E9"/>
    <w:rsid w:val="03E1783D"/>
    <w:rsid w:val="057D74F1"/>
    <w:rsid w:val="059A5658"/>
    <w:rsid w:val="0CE06A9D"/>
    <w:rsid w:val="0D9D376D"/>
    <w:rsid w:val="0E0202C3"/>
    <w:rsid w:val="0E1C2B52"/>
    <w:rsid w:val="0F19354B"/>
    <w:rsid w:val="126E172F"/>
    <w:rsid w:val="13F5090E"/>
    <w:rsid w:val="14132D1C"/>
    <w:rsid w:val="14B71948"/>
    <w:rsid w:val="172C630B"/>
    <w:rsid w:val="174635BB"/>
    <w:rsid w:val="17914C39"/>
    <w:rsid w:val="17D74964"/>
    <w:rsid w:val="1896637C"/>
    <w:rsid w:val="1A25057E"/>
    <w:rsid w:val="1F036D4B"/>
    <w:rsid w:val="2029338F"/>
    <w:rsid w:val="20E00039"/>
    <w:rsid w:val="214841D7"/>
    <w:rsid w:val="21F903AD"/>
    <w:rsid w:val="23B57380"/>
    <w:rsid w:val="23C710EF"/>
    <w:rsid w:val="26D91087"/>
    <w:rsid w:val="2A74080D"/>
    <w:rsid w:val="2C7D6E9D"/>
    <w:rsid w:val="2CDF0A78"/>
    <w:rsid w:val="30593EC5"/>
    <w:rsid w:val="323564D1"/>
    <w:rsid w:val="3360420D"/>
    <w:rsid w:val="3A1958AE"/>
    <w:rsid w:val="3AA72C33"/>
    <w:rsid w:val="3D2F344B"/>
    <w:rsid w:val="3FE14789"/>
    <w:rsid w:val="4599530C"/>
    <w:rsid w:val="46F72B3E"/>
    <w:rsid w:val="47334429"/>
    <w:rsid w:val="47D5272C"/>
    <w:rsid w:val="48ED08B0"/>
    <w:rsid w:val="48F2781B"/>
    <w:rsid w:val="4A4C588A"/>
    <w:rsid w:val="4CC32A5F"/>
    <w:rsid w:val="4D8F66A6"/>
    <w:rsid w:val="4FF8249B"/>
    <w:rsid w:val="529A0E8C"/>
    <w:rsid w:val="5B6B5594"/>
    <w:rsid w:val="5C396EE6"/>
    <w:rsid w:val="5D6436BD"/>
    <w:rsid w:val="5E55107B"/>
    <w:rsid w:val="5E585404"/>
    <w:rsid w:val="5EF51AD7"/>
    <w:rsid w:val="638F284C"/>
    <w:rsid w:val="64E651BE"/>
    <w:rsid w:val="650132BD"/>
    <w:rsid w:val="655B0196"/>
    <w:rsid w:val="655C01FB"/>
    <w:rsid w:val="676D5DDC"/>
    <w:rsid w:val="68933E9D"/>
    <w:rsid w:val="68F82D2A"/>
    <w:rsid w:val="690865AE"/>
    <w:rsid w:val="695C13C0"/>
    <w:rsid w:val="6AE506BA"/>
    <w:rsid w:val="6BDC3232"/>
    <w:rsid w:val="6C073C6A"/>
    <w:rsid w:val="6D6C07F2"/>
    <w:rsid w:val="6E693E10"/>
    <w:rsid w:val="6EBF1317"/>
    <w:rsid w:val="71215A94"/>
    <w:rsid w:val="71352463"/>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F4DEE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1606</Words>
  <Characters>7923</Characters>
  <Application>Microsoft Office Word</Application>
  <DocSecurity>0</DocSecurity>
  <PresentationFormat/>
  <Lines>66</Lines>
  <Paragraphs>19</Paragraphs>
  <Slides>0</Slides>
  <Notes>0</Notes>
  <HiddenSlides>0</HiddenSlides>
  <MMClips>0</MMClip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2018-09-26T15:06:00Z</dcterms:created>
  <dcterms:modified xsi:type="dcterms:W3CDTF">2018-09-26T15:06:00Z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