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6451" w:rsidRPr="00317D89" w:rsidRDefault="003836FC" w:rsidP="006B6451">
      <w:pPr>
        <w:jc w:val="center"/>
        <w:rPr>
          <w:rFonts w:ascii="Book Antiqua" w:hAnsi="Book Antiqua" w:cs="Arial"/>
          <w:sz w:val="16"/>
          <w:szCs w:val="16"/>
        </w:rPr>
      </w:pPr>
      <w:r w:rsidRPr="00317D89">
        <w:rPr>
          <w:noProof/>
          <w:sz w:val="16"/>
          <w:szCs w:val="16"/>
        </w:rPr>
        <w:drawing>
          <wp:inline distT="0" distB="0" distL="0" distR="0">
            <wp:extent cx="1043940" cy="9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3940" cy="907415"/>
                    </a:xfrm>
                    <a:prstGeom prst="rect">
                      <a:avLst/>
                    </a:prstGeom>
                    <a:noFill/>
                    <a:ln>
                      <a:noFill/>
                    </a:ln>
                  </pic:spPr>
                </pic:pic>
              </a:graphicData>
            </a:graphic>
          </wp:inline>
        </w:drawing>
      </w:r>
    </w:p>
    <w:p w:rsidR="00D94AFC" w:rsidRPr="00317D89" w:rsidRDefault="00D94AFC">
      <w:pPr>
        <w:rPr>
          <w:rFonts w:ascii="Book Antiqua" w:hAnsi="Book Antiqua" w:cs="Arial"/>
          <w:sz w:val="16"/>
          <w:szCs w:val="16"/>
        </w:rPr>
      </w:pPr>
    </w:p>
    <w:p w:rsidR="006B6451" w:rsidRPr="00C01D77" w:rsidRDefault="00215199" w:rsidP="00B626FA">
      <w:pPr>
        <w:tabs>
          <w:tab w:val="right" w:pos="9639"/>
        </w:tabs>
        <w:rPr>
          <w:rFonts w:ascii="Book Antiqua" w:hAnsi="Book Antiqua" w:cs="Arial"/>
          <w:b/>
        </w:rPr>
      </w:pPr>
      <w:r>
        <w:rPr>
          <w:rFonts w:ascii="Book Antiqua" w:hAnsi="Book Antiqua" w:cs="Arial"/>
          <w:b/>
        </w:rPr>
        <w:t>Upper</w:t>
      </w:r>
      <w:r w:rsidR="006B6451" w:rsidRPr="00C01D77">
        <w:rPr>
          <w:rFonts w:ascii="Book Antiqua" w:hAnsi="Book Antiqua" w:cs="Arial"/>
          <w:b/>
        </w:rPr>
        <w:t xml:space="preserve"> Tribunal</w:t>
      </w:r>
    </w:p>
    <w:p w:rsidR="007B0824" w:rsidRPr="00C01D77" w:rsidRDefault="006B6451" w:rsidP="00B626FA">
      <w:pPr>
        <w:tabs>
          <w:tab w:val="right" w:pos="9639"/>
        </w:tabs>
        <w:rPr>
          <w:rFonts w:ascii="Book Antiqua" w:hAnsi="Book Antiqua" w:cs="Arial"/>
        </w:rPr>
      </w:pPr>
      <w:r w:rsidRPr="00C01D77">
        <w:rPr>
          <w:rFonts w:ascii="Book Antiqua" w:hAnsi="Book Antiqua" w:cs="Arial"/>
          <w:b/>
        </w:rPr>
        <w:t>(Immigration and Asylum Chamber)</w:t>
      </w:r>
      <w:r w:rsidR="00B626FA" w:rsidRPr="00C01D77">
        <w:rPr>
          <w:rFonts w:ascii="Book Antiqua" w:hAnsi="Book Antiqua" w:cs="Arial"/>
          <w:b/>
        </w:rPr>
        <w:tab/>
      </w:r>
      <w:r w:rsidR="00B3524D" w:rsidRPr="00C01D77">
        <w:rPr>
          <w:rFonts w:ascii="Book Antiqua" w:hAnsi="Book Antiqua" w:cs="Arial"/>
        </w:rPr>
        <w:t>Appeal Number</w:t>
      </w:r>
      <w:r w:rsidR="00D53769" w:rsidRPr="00C01D77">
        <w:rPr>
          <w:rFonts w:ascii="Book Antiqua" w:hAnsi="Book Antiqua" w:cs="Arial"/>
        </w:rPr>
        <w:t>:</w:t>
      </w:r>
      <w:r w:rsidR="00B3524D" w:rsidRPr="00C01D77">
        <w:rPr>
          <w:rFonts w:ascii="Book Antiqua" w:hAnsi="Book Antiqua" w:cs="Arial"/>
        </w:rPr>
        <w:t xml:space="preserve"> </w:t>
      </w:r>
      <w:bookmarkStart w:id="0" w:name="_GoBack"/>
      <w:r w:rsidR="00886E53">
        <w:rPr>
          <w:rFonts w:ascii="Book Antiqua" w:hAnsi="Book Antiqua" w:cs="Arial"/>
          <w:caps/>
        </w:rPr>
        <w:t>EA/02420/2016</w:t>
      </w:r>
      <w:bookmarkEnd w:id="0"/>
    </w:p>
    <w:p w:rsidR="00C345E1" w:rsidRPr="00C01D77" w:rsidRDefault="00C345E1" w:rsidP="00C345E1">
      <w:pPr>
        <w:jc w:val="center"/>
        <w:rPr>
          <w:rFonts w:ascii="Book Antiqua" w:hAnsi="Book Antiqua" w:cs="Arial"/>
        </w:rPr>
      </w:pPr>
    </w:p>
    <w:p w:rsidR="00C345E1" w:rsidRPr="00C01D77" w:rsidRDefault="00C345E1" w:rsidP="00C345E1">
      <w:pPr>
        <w:jc w:val="center"/>
        <w:rPr>
          <w:rFonts w:ascii="Book Antiqua" w:hAnsi="Book Antiqua" w:cs="Arial"/>
        </w:rPr>
      </w:pPr>
    </w:p>
    <w:p w:rsidR="00C345E1" w:rsidRPr="00C01D77" w:rsidRDefault="00C345E1" w:rsidP="00C345E1">
      <w:pPr>
        <w:jc w:val="center"/>
        <w:rPr>
          <w:rFonts w:ascii="Book Antiqua" w:hAnsi="Book Antiqua" w:cs="Arial"/>
          <w:b/>
          <w:u w:val="single"/>
        </w:rPr>
      </w:pPr>
      <w:r w:rsidRPr="00C01D77">
        <w:rPr>
          <w:rFonts w:ascii="Book Antiqua" w:hAnsi="Book Antiqua" w:cs="Arial"/>
          <w:b/>
          <w:u w:val="single"/>
        </w:rPr>
        <w:t>THE IMMIGRATION ACTS</w:t>
      </w:r>
    </w:p>
    <w:p w:rsidR="00C345E1" w:rsidRPr="00C01D77" w:rsidRDefault="00C345E1" w:rsidP="00C345E1">
      <w:pPr>
        <w:jc w:val="center"/>
        <w:rPr>
          <w:rFonts w:ascii="Book Antiqua" w:hAnsi="Book Antiqua" w:cs="Arial"/>
          <w:b/>
          <w:u w:val="single"/>
        </w:rPr>
      </w:pPr>
    </w:p>
    <w:p w:rsidR="00C345E1" w:rsidRPr="00C01D77"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211"/>
        <w:gridCol w:w="837"/>
        <w:gridCol w:w="3960"/>
      </w:tblGrid>
      <w:tr w:rsidR="00D22636" w:rsidRPr="00C01D77" w:rsidTr="004611B1">
        <w:tc>
          <w:tcPr>
            <w:tcW w:w="5211" w:type="dxa"/>
          </w:tcPr>
          <w:p w:rsidR="00D22636" w:rsidRPr="00C01D77" w:rsidRDefault="00D22636" w:rsidP="004A1848">
            <w:pPr>
              <w:jc w:val="both"/>
              <w:rPr>
                <w:rFonts w:ascii="Book Antiqua" w:hAnsi="Book Antiqua" w:cs="Arial"/>
                <w:b/>
              </w:rPr>
            </w:pPr>
            <w:r w:rsidRPr="00C01D77">
              <w:rPr>
                <w:rFonts w:ascii="Book Antiqua" w:hAnsi="Book Antiqua" w:cs="Arial"/>
                <w:b/>
              </w:rPr>
              <w:t xml:space="preserve">Heard at </w:t>
            </w:r>
            <w:r w:rsidR="00886E53">
              <w:rPr>
                <w:rFonts w:ascii="Book Antiqua" w:hAnsi="Book Antiqua" w:cs="Arial"/>
                <w:b/>
              </w:rPr>
              <w:t>Field House UT</w:t>
            </w:r>
          </w:p>
        </w:tc>
        <w:tc>
          <w:tcPr>
            <w:tcW w:w="4797" w:type="dxa"/>
            <w:gridSpan w:val="2"/>
          </w:tcPr>
          <w:p w:rsidR="00D22636" w:rsidRPr="00C01D77" w:rsidRDefault="00073E80" w:rsidP="004A1848">
            <w:pPr>
              <w:jc w:val="both"/>
              <w:rPr>
                <w:rFonts w:ascii="Book Antiqua" w:hAnsi="Book Antiqua" w:cs="Arial"/>
                <w:b/>
              </w:rPr>
            </w:pPr>
            <w:r>
              <w:rPr>
                <w:rFonts w:ascii="Book Antiqua" w:hAnsi="Book Antiqua" w:cs="Arial"/>
                <w:b/>
              </w:rPr>
              <w:t>Decision &amp; Reasons</w:t>
            </w:r>
            <w:r w:rsidR="00283659" w:rsidRPr="00C01D77">
              <w:rPr>
                <w:rFonts w:ascii="Book Antiqua" w:hAnsi="Book Antiqua" w:cs="Arial"/>
                <w:b/>
              </w:rPr>
              <w:t xml:space="preserve"> Promulgated</w:t>
            </w:r>
          </w:p>
        </w:tc>
      </w:tr>
      <w:tr w:rsidR="00D22636" w:rsidRPr="00C01D77" w:rsidTr="004611B1">
        <w:tc>
          <w:tcPr>
            <w:tcW w:w="5211" w:type="dxa"/>
          </w:tcPr>
          <w:p w:rsidR="00D22636" w:rsidRPr="00C01D77" w:rsidRDefault="00D22636" w:rsidP="004A1848">
            <w:pPr>
              <w:jc w:val="both"/>
              <w:rPr>
                <w:rFonts w:ascii="Book Antiqua" w:hAnsi="Book Antiqua" w:cs="Arial"/>
                <w:b/>
              </w:rPr>
            </w:pPr>
            <w:r w:rsidRPr="00C01D77">
              <w:rPr>
                <w:rFonts w:ascii="Book Antiqua" w:hAnsi="Book Antiqua" w:cs="Arial"/>
                <w:b/>
              </w:rPr>
              <w:t xml:space="preserve">On </w:t>
            </w:r>
            <w:r w:rsidR="00886E53">
              <w:rPr>
                <w:rFonts w:ascii="Book Antiqua" w:hAnsi="Book Antiqua" w:cs="Arial"/>
                <w:b/>
              </w:rPr>
              <w:t>13</w:t>
            </w:r>
            <w:r w:rsidR="00886E53">
              <w:rPr>
                <w:rFonts w:ascii="Book Antiqua" w:hAnsi="Book Antiqua" w:cs="Arial"/>
                <w:b/>
                <w:vertAlign w:val="superscript"/>
              </w:rPr>
              <w:t xml:space="preserve">th </w:t>
            </w:r>
            <w:r w:rsidR="00886E53">
              <w:rPr>
                <w:rFonts w:ascii="Book Antiqua" w:hAnsi="Book Antiqua" w:cs="Arial"/>
                <w:b/>
              </w:rPr>
              <w:t>June 2018</w:t>
            </w:r>
          </w:p>
        </w:tc>
        <w:tc>
          <w:tcPr>
            <w:tcW w:w="4797" w:type="dxa"/>
            <w:gridSpan w:val="2"/>
          </w:tcPr>
          <w:p w:rsidR="00D22636" w:rsidRPr="00C01D77" w:rsidRDefault="004611B1" w:rsidP="004A1848">
            <w:pPr>
              <w:jc w:val="both"/>
              <w:rPr>
                <w:rFonts w:ascii="Book Antiqua" w:hAnsi="Book Antiqua" w:cs="Arial"/>
                <w:b/>
              </w:rPr>
            </w:pPr>
            <w:r>
              <w:rPr>
                <w:rFonts w:ascii="Book Antiqua" w:hAnsi="Book Antiqua" w:cs="Arial"/>
                <w:b/>
              </w:rPr>
              <w:t xml:space="preserve">On 26 June 2018 </w:t>
            </w:r>
          </w:p>
        </w:tc>
      </w:tr>
      <w:tr w:rsidR="00D22636" w:rsidRPr="00C01D77" w:rsidTr="004611B1">
        <w:tc>
          <w:tcPr>
            <w:tcW w:w="6048" w:type="dxa"/>
            <w:gridSpan w:val="2"/>
          </w:tcPr>
          <w:p w:rsidR="00D22636" w:rsidRPr="00C01D77" w:rsidRDefault="00D22636" w:rsidP="004A1848">
            <w:pPr>
              <w:jc w:val="both"/>
              <w:rPr>
                <w:rFonts w:ascii="Book Antiqua" w:hAnsi="Book Antiqua" w:cs="Arial"/>
                <w:b/>
              </w:rPr>
            </w:pPr>
          </w:p>
        </w:tc>
        <w:tc>
          <w:tcPr>
            <w:tcW w:w="3960" w:type="dxa"/>
          </w:tcPr>
          <w:p w:rsidR="00D22636" w:rsidRPr="00C01D77" w:rsidRDefault="00D22636" w:rsidP="004A1848">
            <w:pPr>
              <w:jc w:val="both"/>
              <w:rPr>
                <w:rFonts w:ascii="Book Antiqua" w:hAnsi="Book Antiqua" w:cs="Arial"/>
                <w:b/>
              </w:rPr>
            </w:pPr>
          </w:p>
        </w:tc>
      </w:tr>
    </w:tbl>
    <w:p w:rsidR="00A15234" w:rsidRPr="00C01D77" w:rsidRDefault="00A15234" w:rsidP="00A15234">
      <w:pPr>
        <w:jc w:val="center"/>
        <w:rPr>
          <w:rFonts w:ascii="Book Antiqua" w:hAnsi="Book Antiqua" w:cs="Arial"/>
        </w:rPr>
      </w:pPr>
    </w:p>
    <w:p w:rsidR="00A15234" w:rsidRPr="00C01D77" w:rsidRDefault="00207617" w:rsidP="00A15234">
      <w:pPr>
        <w:jc w:val="center"/>
        <w:rPr>
          <w:rFonts w:ascii="Book Antiqua" w:hAnsi="Book Antiqua" w:cs="Arial"/>
          <w:b/>
        </w:rPr>
      </w:pPr>
      <w:r w:rsidRPr="00C01D77">
        <w:rPr>
          <w:rFonts w:ascii="Book Antiqua" w:hAnsi="Book Antiqua" w:cs="Arial"/>
          <w:b/>
        </w:rPr>
        <w:t>Befo</w:t>
      </w:r>
      <w:r w:rsidR="00A15234" w:rsidRPr="00C01D77">
        <w:rPr>
          <w:rFonts w:ascii="Book Antiqua" w:hAnsi="Book Antiqua" w:cs="Arial"/>
          <w:b/>
        </w:rPr>
        <w:t>re</w:t>
      </w:r>
    </w:p>
    <w:p w:rsidR="00A15234" w:rsidRPr="00C01D77" w:rsidRDefault="00A15234" w:rsidP="00A15234">
      <w:pPr>
        <w:jc w:val="center"/>
        <w:rPr>
          <w:rFonts w:ascii="Book Antiqua" w:hAnsi="Book Antiqua" w:cs="Arial"/>
          <w:b/>
        </w:rPr>
      </w:pPr>
    </w:p>
    <w:p w:rsidR="00A15234" w:rsidRPr="00C01D77" w:rsidRDefault="00635C47" w:rsidP="00A15234">
      <w:pPr>
        <w:jc w:val="center"/>
        <w:rPr>
          <w:rFonts w:ascii="Book Antiqua" w:hAnsi="Book Antiqua" w:cs="Arial"/>
          <w:b/>
          <w:caps/>
        </w:rPr>
      </w:pPr>
      <w:r>
        <w:rPr>
          <w:rFonts w:ascii="Book Antiqua" w:hAnsi="Book Antiqua" w:cs="Arial"/>
          <w:b/>
          <w:caps/>
        </w:rPr>
        <w:t xml:space="preserve">DEPUTY </w:t>
      </w:r>
      <w:r w:rsidR="00C61C08">
        <w:rPr>
          <w:rFonts w:ascii="Book Antiqua" w:hAnsi="Book Antiqua" w:cs="Arial"/>
          <w:b/>
          <w:caps/>
        </w:rPr>
        <w:t>upper tribunal judge</w:t>
      </w:r>
      <w:r w:rsidR="00825478" w:rsidRPr="00C01D77">
        <w:rPr>
          <w:rFonts w:ascii="Book Antiqua" w:hAnsi="Book Antiqua" w:cs="Arial"/>
          <w:b/>
          <w:caps/>
        </w:rPr>
        <w:t xml:space="preserve"> ROBERTS</w:t>
      </w:r>
    </w:p>
    <w:p w:rsidR="00A845DC" w:rsidRPr="00C01D77" w:rsidRDefault="00A845DC" w:rsidP="00A15234">
      <w:pPr>
        <w:jc w:val="center"/>
        <w:rPr>
          <w:rFonts w:ascii="Book Antiqua" w:hAnsi="Book Antiqua" w:cs="Arial"/>
          <w:b/>
        </w:rPr>
      </w:pPr>
    </w:p>
    <w:p w:rsidR="00317D89" w:rsidRDefault="00317D89" w:rsidP="00A15234">
      <w:pPr>
        <w:jc w:val="center"/>
        <w:rPr>
          <w:rFonts w:ascii="Book Antiqua" w:hAnsi="Book Antiqua" w:cs="Arial"/>
          <w:b/>
        </w:rPr>
      </w:pPr>
    </w:p>
    <w:p w:rsidR="00A845DC" w:rsidRDefault="00A845DC" w:rsidP="00A15234">
      <w:pPr>
        <w:jc w:val="center"/>
        <w:rPr>
          <w:rFonts w:ascii="Book Antiqua" w:hAnsi="Book Antiqua" w:cs="Arial"/>
          <w:b/>
        </w:rPr>
      </w:pPr>
      <w:r w:rsidRPr="00C01D77">
        <w:rPr>
          <w:rFonts w:ascii="Book Antiqua" w:hAnsi="Book Antiqua" w:cs="Arial"/>
          <w:b/>
        </w:rPr>
        <w:t>Between</w:t>
      </w:r>
    </w:p>
    <w:p w:rsidR="00886E53" w:rsidRPr="00C01D77" w:rsidRDefault="00886E53" w:rsidP="00A15234">
      <w:pPr>
        <w:jc w:val="center"/>
        <w:rPr>
          <w:rFonts w:ascii="Book Antiqua" w:hAnsi="Book Antiqua" w:cs="Arial"/>
          <w:b/>
        </w:rPr>
      </w:pPr>
    </w:p>
    <w:p w:rsidR="00A845DC" w:rsidRPr="00C01D77" w:rsidRDefault="00840DED" w:rsidP="00A15234">
      <w:pPr>
        <w:jc w:val="center"/>
        <w:rPr>
          <w:rFonts w:ascii="Book Antiqua" w:hAnsi="Book Antiqua" w:cs="Arial"/>
          <w:b/>
        </w:rPr>
      </w:pPr>
      <w:r w:rsidRPr="00C01D77">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00886E53" w:rsidRPr="00C01D77">
        <w:rPr>
          <w:rFonts w:ascii="Book Antiqua" w:hAnsi="Book Antiqua" w:cs="Arial"/>
          <w:b/>
          <w:caps/>
        </w:rPr>
        <w:instrText xml:space="preserve"> FORMTEXT </w:instrText>
      </w:r>
      <w:r w:rsidRPr="00C01D77">
        <w:rPr>
          <w:rFonts w:ascii="Book Antiqua" w:hAnsi="Book Antiqua" w:cs="Arial"/>
          <w:b/>
          <w:caps/>
        </w:rPr>
      </w:r>
      <w:r w:rsidRPr="00C01D77">
        <w:rPr>
          <w:rFonts w:ascii="Book Antiqua" w:hAnsi="Book Antiqua" w:cs="Arial"/>
          <w:b/>
          <w:caps/>
        </w:rPr>
        <w:fldChar w:fldCharType="separate"/>
      </w:r>
      <w:r w:rsidR="00886E53" w:rsidRPr="00C01D77">
        <w:rPr>
          <w:rFonts w:ascii="Book Antiqua" w:hAnsi="Book Antiqua" w:cs="Arial"/>
          <w:b/>
          <w:caps/>
          <w:noProof/>
        </w:rPr>
        <w:t>THE SECRETARY OF STATE FOR THE HOME DEPARTMENT</w:t>
      </w:r>
      <w:r w:rsidRPr="00C01D77">
        <w:rPr>
          <w:rFonts w:ascii="Book Antiqua" w:hAnsi="Book Antiqua" w:cs="Arial"/>
          <w:b/>
          <w:caps/>
        </w:rPr>
        <w:fldChar w:fldCharType="end"/>
      </w:r>
      <w:bookmarkEnd w:id="1"/>
    </w:p>
    <w:p w:rsidR="00704B61" w:rsidRPr="00C01D77" w:rsidRDefault="00704B61" w:rsidP="00704B61">
      <w:pPr>
        <w:jc w:val="right"/>
        <w:rPr>
          <w:rFonts w:ascii="Book Antiqua" w:hAnsi="Book Antiqua" w:cs="Arial"/>
          <w:u w:val="single"/>
        </w:rPr>
      </w:pPr>
      <w:r w:rsidRPr="00C01D77">
        <w:rPr>
          <w:rFonts w:ascii="Book Antiqua" w:hAnsi="Book Antiqua" w:cs="Arial"/>
          <w:u w:val="single"/>
        </w:rPr>
        <w:t>Appellant</w:t>
      </w:r>
    </w:p>
    <w:p w:rsidR="00704B61" w:rsidRPr="00C01D77" w:rsidRDefault="00DD5071" w:rsidP="00704B61">
      <w:pPr>
        <w:jc w:val="center"/>
        <w:rPr>
          <w:rFonts w:ascii="Book Antiqua" w:hAnsi="Book Antiqua" w:cs="Arial"/>
          <w:b/>
        </w:rPr>
      </w:pPr>
      <w:r w:rsidRPr="00C01D77">
        <w:rPr>
          <w:rFonts w:ascii="Book Antiqua" w:hAnsi="Book Antiqua" w:cs="Arial"/>
          <w:b/>
        </w:rPr>
        <w:t>and</w:t>
      </w:r>
    </w:p>
    <w:p w:rsidR="00DD5071" w:rsidRPr="00C01D77" w:rsidRDefault="00DD5071" w:rsidP="00704B61">
      <w:pPr>
        <w:jc w:val="center"/>
        <w:rPr>
          <w:rFonts w:ascii="Book Antiqua" w:hAnsi="Book Antiqua" w:cs="Arial"/>
          <w:b/>
        </w:rPr>
      </w:pPr>
    </w:p>
    <w:p w:rsidR="00886E53" w:rsidRDefault="00886E53" w:rsidP="00886E53">
      <w:pPr>
        <w:jc w:val="center"/>
        <w:rPr>
          <w:rFonts w:ascii="Book Antiqua" w:hAnsi="Book Antiqua" w:cs="Arial"/>
          <w:b/>
          <w:caps/>
        </w:rPr>
      </w:pPr>
      <w:r w:rsidRPr="00886E53">
        <w:rPr>
          <w:rFonts w:ascii="Book Antiqua" w:hAnsi="Book Antiqua" w:cs="Arial"/>
          <w:b/>
          <w:caps/>
        </w:rPr>
        <w:t>Muhammad</w:t>
      </w:r>
      <w:r>
        <w:rPr>
          <w:rFonts w:ascii="Book Antiqua" w:hAnsi="Book Antiqua" w:cs="Arial"/>
          <w:b/>
          <w:caps/>
        </w:rPr>
        <w:t xml:space="preserve"> fahad</w:t>
      </w:r>
    </w:p>
    <w:p w:rsidR="00DD5071" w:rsidRPr="00C01D77" w:rsidRDefault="00886E53" w:rsidP="00886E53">
      <w:pPr>
        <w:jc w:val="center"/>
        <w:rPr>
          <w:rFonts w:ascii="Book Antiqua" w:hAnsi="Book Antiqua" w:cs="Arial"/>
          <w:b/>
          <w:caps/>
        </w:rPr>
      </w:pPr>
      <w:r w:rsidRPr="00073E80">
        <w:rPr>
          <w:rFonts w:ascii="Book Antiqua" w:hAnsi="Book Antiqua" w:cs="Arial"/>
          <w:b/>
          <w:caps/>
        </w:rPr>
        <w:t xml:space="preserve">(ANONYMITY DIRECTION </w:t>
      </w:r>
      <w:r>
        <w:rPr>
          <w:rFonts w:ascii="Book Antiqua" w:hAnsi="Book Antiqua" w:cs="Arial"/>
          <w:b/>
          <w:caps/>
        </w:rPr>
        <w:t>not made</w:t>
      </w:r>
      <w:r w:rsidRPr="00073E80">
        <w:rPr>
          <w:rFonts w:ascii="Book Antiqua" w:hAnsi="Book Antiqua" w:cs="Arial"/>
          <w:b/>
          <w:caps/>
        </w:rPr>
        <w:t>)</w:t>
      </w:r>
    </w:p>
    <w:p w:rsidR="00DD5071" w:rsidRPr="00C01D77" w:rsidRDefault="00DD5071" w:rsidP="00886E53">
      <w:pPr>
        <w:jc w:val="right"/>
        <w:rPr>
          <w:rFonts w:ascii="Book Antiqua" w:hAnsi="Book Antiqua" w:cs="Arial"/>
          <w:u w:val="single"/>
        </w:rPr>
      </w:pPr>
      <w:r w:rsidRPr="00C01D77">
        <w:rPr>
          <w:rFonts w:ascii="Book Antiqua" w:hAnsi="Book Antiqua" w:cs="Arial"/>
          <w:u w:val="single"/>
        </w:rPr>
        <w:t>Respondent</w:t>
      </w:r>
    </w:p>
    <w:p w:rsidR="00317D89" w:rsidRDefault="00317D89" w:rsidP="00DD5071">
      <w:pPr>
        <w:rPr>
          <w:rFonts w:ascii="Book Antiqua" w:hAnsi="Book Antiqua" w:cs="Arial"/>
          <w:b/>
          <w:u w:val="single"/>
        </w:rPr>
      </w:pPr>
    </w:p>
    <w:p w:rsidR="00317D89" w:rsidRDefault="00317D89" w:rsidP="00DD5071">
      <w:pPr>
        <w:rPr>
          <w:rFonts w:ascii="Book Antiqua" w:hAnsi="Book Antiqua" w:cs="Arial"/>
          <w:b/>
          <w:u w:val="single"/>
        </w:rPr>
      </w:pPr>
    </w:p>
    <w:p w:rsidR="00DD5071" w:rsidRPr="00C01D77" w:rsidRDefault="00DE7DB7" w:rsidP="00DD5071">
      <w:pPr>
        <w:rPr>
          <w:rFonts w:ascii="Book Antiqua" w:hAnsi="Book Antiqua" w:cs="Arial"/>
        </w:rPr>
      </w:pPr>
      <w:r w:rsidRPr="00C01D77">
        <w:rPr>
          <w:rFonts w:ascii="Book Antiqua" w:hAnsi="Book Antiqua" w:cs="Arial"/>
          <w:b/>
          <w:u w:val="single"/>
        </w:rPr>
        <w:t>Representation</w:t>
      </w:r>
      <w:r w:rsidRPr="00C01D77">
        <w:rPr>
          <w:rFonts w:ascii="Book Antiqua" w:hAnsi="Book Antiqua" w:cs="Arial"/>
          <w:b/>
        </w:rPr>
        <w:t>:</w:t>
      </w:r>
    </w:p>
    <w:p w:rsidR="00DE7DB7" w:rsidRPr="00C01D77" w:rsidRDefault="00DE7DB7" w:rsidP="00DE7DB7">
      <w:pPr>
        <w:tabs>
          <w:tab w:val="left" w:pos="2520"/>
        </w:tabs>
        <w:rPr>
          <w:rFonts w:ascii="Book Antiqua" w:hAnsi="Book Antiqua" w:cs="Arial"/>
        </w:rPr>
      </w:pPr>
      <w:r w:rsidRPr="00C01D77">
        <w:rPr>
          <w:rFonts w:ascii="Book Antiqua" w:hAnsi="Book Antiqua" w:cs="Arial"/>
        </w:rPr>
        <w:t>For the Appellant:</w:t>
      </w:r>
      <w:r w:rsidRPr="00C01D77">
        <w:rPr>
          <w:rFonts w:ascii="Book Antiqua" w:hAnsi="Book Antiqua" w:cs="Arial"/>
        </w:rPr>
        <w:tab/>
      </w:r>
      <w:r w:rsidR="00886E53">
        <w:rPr>
          <w:rFonts w:ascii="Book Antiqua" w:hAnsi="Book Antiqua" w:cs="Arial"/>
        </w:rPr>
        <w:t>Mr Duffy, Senior Home Office Presenting Officer</w:t>
      </w:r>
    </w:p>
    <w:p w:rsidR="00DE7DB7" w:rsidRPr="00C01D77" w:rsidRDefault="00DE7DB7" w:rsidP="00DE7DB7">
      <w:pPr>
        <w:tabs>
          <w:tab w:val="left" w:pos="2520"/>
        </w:tabs>
        <w:rPr>
          <w:rFonts w:ascii="Book Antiqua" w:hAnsi="Book Antiqua" w:cs="Arial"/>
        </w:rPr>
      </w:pPr>
      <w:r w:rsidRPr="00C01D77">
        <w:rPr>
          <w:rFonts w:ascii="Book Antiqua" w:hAnsi="Book Antiqua" w:cs="Arial"/>
        </w:rPr>
        <w:t>For the Respondent:</w:t>
      </w:r>
      <w:r w:rsidRPr="00C01D77">
        <w:rPr>
          <w:rFonts w:ascii="Book Antiqua" w:hAnsi="Book Antiqua" w:cs="Arial"/>
        </w:rPr>
        <w:tab/>
      </w:r>
      <w:r w:rsidR="00886E53">
        <w:rPr>
          <w:rFonts w:ascii="Book Antiqua" w:hAnsi="Book Antiqua" w:cs="Arial"/>
        </w:rPr>
        <w:t xml:space="preserve">Ms </w:t>
      </w:r>
      <w:bookmarkStart w:id="2" w:name="_Hlk517188793"/>
      <w:proofErr w:type="spellStart"/>
      <w:r w:rsidR="003223C9">
        <w:rPr>
          <w:rFonts w:ascii="Book Antiqua" w:hAnsi="Book Antiqua" w:cs="Arial"/>
        </w:rPr>
        <w:t>Bassiri</w:t>
      </w:r>
      <w:r w:rsidR="00886E53">
        <w:rPr>
          <w:rFonts w:ascii="Book Antiqua" w:hAnsi="Book Antiqua" w:cs="Arial"/>
        </w:rPr>
        <w:t>-Dezfouli</w:t>
      </w:r>
      <w:proofErr w:type="spellEnd"/>
      <w:r w:rsidR="00886E53">
        <w:rPr>
          <w:rFonts w:ascii="Book Antiqua" w:hAnsi="Book Antiqua" w:cs="Arial"/>
        </w:rPr>
        <w:t xml:space="preserve">, </w:t>
      </w:r>
      <w:bookmarkEnd w:id="2"/>
      <w:r w:rsidR="00167B08">
        <w:rPr>
          <w:rFonts w:ascii="Book Antiqua" w:hAnsi="Book Antiqua" w:cs="Arial"/>
        </w:rPr>
        <w:t>Counsel</w:t>
      </w:r>
    </w:p>
    <w:p w:rsidR="00DE7DB7" w:rsidRPr="00C01D77" w:rsidRDefault="00DE7DB7" w:rsidP="00402B9E">
      <w:pPr>
        <w:tabs>
          <w:tab w:val="left" w:pos="2520"/>
        </w:tabs>
        <w:jc w:val="center"/>
        <w:rPr>
          <w:rFonts w:ascii="Book Antiqua" w:hAnsi="Book Antiqua" w:cs="Arial"/>
        </w:rPr>
      </w:pPr>
    </w:p>
    <w:p w:rsidR="00DE7DB7" w:rsidRPr="00C01D77" w:rsidRDefault="00DE7DB7" w:rsidP="00402B9E">
      <w:pPr>
        <w:tabs>
          <w:tab w:val="left" w:pos="2520"/>
        </w:tabs>
        <w:jc w:val="center"/>
        <w:rPr>
          <w:rFonts w:ascii="Book Antiqua" w:hAnsi="Book Antiqua" w:cs="Arial"/>
        </w:rPr>
      </w:pPr>
    </w:p>
    <w:p w:rsidR="00073E80" w:rsidRDefault="00073E80" w:rsidP="00886E53">
      <w:pPr>
        <w:tabs>
          <w:tab w:val="left" w:pos="2520"/>
        </w:tabs>
        <w:jc w:val="center"/>
        <w:rPr>
          <w:rFonts w:ascii="Book Antiqua" w:hAnsi="Book Antiqua" w:cs="Arial"/>
          <w:b/>
          <w:u w:val="single"/>
        </w:rPr>
      </w:pPr>
      <w:r>
        <w:rPr>
          <w:rFonts w:ascii="Book Antiqua" w:hAnsi="Book Antiqua" w:cs="Arial"/>
          <w:b/>
          <w:u w:val="single"/>
        </w:rPr>
        <w:t xml:space="preserve">DECISION </w:t>
      </w:r>
      <w:r w:rsidR="00402B9E" w:rsidRPr="00C01D77">
        <w:rPr>
          <w:rFonts w:ascii="Book Antiqua" w:hAnsi="Book Antiqua" w:cs="Arial"/>
          <w:b/>
          <w:u w:val="single"/>
        </w:rPr>
        <w:t>AND REASONS</w:t>
      </w:r>
    </w:p>
    <w:p w:rsidR="00E943B7" w:rsidRDefault="00886E53" w:rsidP="00E943B7">
      <w:pPr>
        <w:numPr>
          <w:ilvl w:val="0"/>
          <w:numId w:val="3"/>
        </w:numPr>
        <w:spacing w:before="240"/>
        <w:jc w:val="both"/>
        <w:rPr>
          <w:rFonts w:ascii="Book Antiqua" w:hAnsi="Book Antiqua" w:cs="Arial"/>
        </w:rPr>
      </w:pPr>
      <w:r>
        <w:rPr>
          <w:rFonts w:ascii="Book Antiqua" w:hAnsi="Book Antiqua" w:cs="Arial"/>
        </w:rPr>
        <w:t xml:space="preserve">The Secretary of State appeals with permission against the decision of a First-tier Tribunal (Judge M R Oliver) allowing the appeal of Muhammad Fahad against the Secretary of State’s decision to </w:t>
      </w:r>
      <w:r w:rsidR="00D41DB8">
        <w:rPr>
          <w:rFonts w:ascii="Book Antiqua" w:hAnsi="Book Antiqua" w:cs="Arial"/>
        </w:rPr>
        <w:t xml:space="preserve">refuse to </w:t>
      </w:r>
      <w:r>
        <w:rPr>
          <w:rFonts w:ascii="Book Antiqua" w:hAnsi="Book Antiqua" w:cs="Arial"/>
        </w:rPr>
        <w:t>issue him with a residence card</w:t>
      </w:r>
      <w:r w:rsidR="0040250C">
        <w:rPr>
          <w:rFonts w:ascii="Book Antiqua" w:hAnsi="Book Antiqua" w:cs="Arial"/>
        </w:rPr>
        <w:t>,</w:t>
      </w:r>
      <w:r>
        <w:rPr>
          <w:rFonts w:ascii="Book Antiqua" w:hAnsi="Book Antiqua" w:cs="Arial"/>
        </w:rPr>
        <w:t xml:space="preserve"> as confirmation of a right of residence as the spouse of an EEA national exercising treaty rights in the UK.  </w:t>
      </w:r>
    </w:p>
    <w:p w:rsidR="00886E53" w:rsidRDefault="00886E53" w:rsidP="00E943B7">
      <w:pPr>
        <w:numPr>
          <w:ilvl w:val="0"/>
          <w:numId w:val="3"/>
        </w:numPr>
        <w:spacing w:before="240"/>
        <w:jc w:val="both"/>
        <w:rPr>
          <w:rFonts w:ascii="Book Antiqua" w:hAnsi="Book Antiqua" w:cs="Arial"/>
        </w:rPr>
      </w:pPr>
      <w:r>
        <w:rPr>
          <w:rFonts w:ascii="Book Antiqua" w:hAnsi="Book Antiqua" w:cs="Arial"/>
        </w:rPr>
        <w:lastRenderedPageBreak/>
        <w:t xml:space="preserve">For the purposes of </w:t>
      </w:r>
      <w:r w:rsidR="00AE4BF1">
        <w:rPr>
          <w:rFonts w:ascii="Book Antiqua" w:hAnsi="Book Antiqua" w:cs="Arial"/>
        </w:rPr>
        <w:t xml:space="preserve">this decision I shall refer to the Secretary of State as “the Respondent” and to Muhammad Fahad as “the Appellant”, reflecting their respective positions before the First-tier Tribunal.  </w:t>
      </w:r>
    </w:p>
    <w:p w:rsidR="00AE4BF1" w:rsidRPr="00AE4BF1" w:rsidRDefault="00AE4BF1" w:rsidP="00AE4BF1">
      <w:pPr>
        <w:spacing w:before="240"/>
        <w:jc w:val="both"/>
        <w:rPr>
          <w:rFonts w:ascii="Book Antiqua" w:hAnsi="Book Antiqua" w:cs="Arial"/>
          <w:b/>
          <w:u w:val="single"/>
        </w:rPr>
      </w:pPr>
      <w:r w:rsidRPr="00AE4BF1">
        <w:rPr>
          <w:rFonts w:ascii="Book Antiqua" w:hAnsi="Book Antiqua" w:cs="Arial"/>
          <w:b/>
          <w:u w:val="single"/>
        </w:rPr>
        <w:t>Background</w:t>
      </w:r>
    </w:p>
    <w:p w:rsidR="00AE4BF1" w:rsidRDefault="00AE4BF1" w:rsidP="00E943B7">
      <w:pPr>
        <w:numPr>
          <w:ilvl w:val="0"/>
          <w:numId w:val="3"/>
        </w:numPr>
        <w:spacing w:before="240"/>
        <w:jc w:val="both"/>
        <w:rPr>
          <w:rFonts w:ascii="Book Antiqua" w:hAnsi="Book Antiqua" w:cs="Arial"/>
        </w:rPr>
      </w:pPr>
      <w:r>
        <w:rPr>
          <w:rFonts w:ascii="Book Antiqua" w:hAnsi="Book Antiqua" w:cs="Arial"/>
        </w:rPr>
        <w:t>The following summary is relevant to the Appellant’s case.  The Appellant is a citizen of Pakistan (born 25</w:t>
      </w:r>
      <w:r w:rsidRPr="00AE4BF1">
        <w:rPr>
          <w:rFonts w:ascii="Book Antiqua" w:hAnsi="Book Antiqua" w:cs="Arial"/>
          <w:vertAlign w:val="superscript"/>
        </w:rPr>
        <w:t>th</w:t>
      </w:r>
      <w:r>
        <w:rPr>
          <w:rFonts w:ascii="Book Antiqua" w:hAnsi="Book Antiqua" w:cs="Arial"/>
        </w:rPr>
        <w:t xml:space="preserve"> December 1984).  He arrived in the United Kingdom on 26</w:t>
      </w:r>
      <w:r w:rsidRPr="00AE4BF1">
        <w:rPr>
          <w:rFonts w:ascii="Book Antiqua" w:hAnsi="Book Antiqua" w:cs="Arial"/>
          <w:vertAlign w:val="superscript"/>
        </w:rPr>
        <w:t>th</w:t>
      </w:r>
      <w:r>
        <w:rPr>
          <w:rFonts w:ascii="Book Antiqua" w:hAnsi="Book Antiqua" w:cs="Arial"/>
        </w:rPr>
        <w:t xml:space="preserve"> May 2011 with a valid student visa, which was extended to 9</w:t>
      </w:r>
      <w:r w:rsidRPr="00AE4BF1">
        <w:rPr>
          <w:rFonts w:ascii="Book Antiqua" w:hAnsi="Book Antiqua" w:cs="Arial"/>
          <w:vertAlign w:val="superscript"/>
        </w:rPr>
        <w:t>th</w:t>
      </w:r>
      <w:r>
        <w:rPr>
          <w:rFonts w:ascii="Book Antiqua" w:hAnsi="Book Antiqua" w:cs="Arial"/>
        </w:rPr>
        <w:t xml:space="preserve"> July 2014.  His application for further leave was refused because he ha</w:t>
      </w:r>
      <w:r w:rsidR="00167B08">
        <w:rPr>
          <w:rFonts w:ascii="Book Antiqua" w:hAnsi="Book Antiqua" w:cs="Arial"/>
        </w:rPr>
        <w:t>d</w:t>
      </w:r>
      <w:r>
        <w:rPr>
          <w:rFonts w:ascii="Book Antiqua" w:hAnsi="Book Antiqua" w:cs="Arial"/>
        </w:rPr>
        <w:t xml:space="preserve"> not supplied his biometrics.  </w:t>
      </w:r>
    </w:p>
    <w:p w:rsidR="00AE4BF1" w:rsidRDefault="00AE4BF1" w:rsidP="00E943B7">
      <w:pPr>
        <w:numPr>
          <w:ilvl w:val="0"/>
          <w:numId w:val="3"/>
        </w:numPr>
        <w:spacing w:before="240"/>
        <w:jc w:val="both"/>
        <w:rPr>
          <w:rFonts w:ascii="Book Antiqua" w:hAnsi="Book Antiqua" w:cs="Arial"/>
        </w:rPr>
      </w:pPr>
      <w:r>
        <w:rPr>
          <w:rFonts w:ascii="Book Antiqua" w:hAnsi="Book Antiqua" w:cs="Arial"/>
        </w:rPr>
        <w:t>On 6</w:t>
      </w:r>
      <w:r w:rsidRPr="00AE4BF1">
        <w:rPr>
          <w:rFonts w:ascii="Book Antiqua" w:hAnsi="Book Antiqua" w:cs="Arial"/>
          <w:vertAlign w:val="superscript"/>
        </w:rPr>
        <w:t>th</w:t>
      </w:r>
      <w:r>
        <w:rPr>
          <w:rFonts w:ascii="Book Antiqua" w:hAnsi="Book Antiqua" w:cs="Arial"/>
        </w:rPr>
        <w:t xml:space="preserve"> April 2015 he applied for the issue of a residence card under the EEA Regulations 2006, as the family member of Hermina </w:t>
      </w:r>
      <w:proofErr w:type="spellStart"/>
      <w:r>
        <w:rPr>
          <w:rFonts w:ascii="Book Antiqua" w:hAnsi="Book Antiqua" w:cs="Arial"/>
        </w:rPr>
        <w:t>Kanalas</w:t>
      </w:r>
      <w:proofErr w:type="spellEnd"/>
      <w:r>
        <w:rPr>
          <w:rFonts w:ascii="Book Antiqua" w:hAnsi="Book Antiqua" w:cs="Arial"/>
        </w:rPr>
        <w:t xml:space="preserve"> “the Sponsor”</w:t>
      </w:r>
      <w:r w:rsidR="00167B08">
        <w:rPr>
          <w:rFonts w:ascii="Book Antiqua" w:hAnsi="Book Antiqua" w:cs="Arial"/>
        </w:rPr>
        <w:t>,</w:t>
      </w:r>
      <w:r>
        <w:rPr>
          <w:rFonts w:ascii="Book Antiqua" w:hAnsi="Book Antiqua" w:cs="Arial"/>
        </w:rPr>
        <w:t xml:space="preserve"> a Hungarian national who was exercising treaty rights</w:t>
      </w:r>
      <w:r w:rsidR="00D41DB8">
        <w:rPr>
          <w:rFonts w:ascii="Book Antiqua" w:hAnsi="Book Antiqua" w:cs="Arial"/>
        </w:rPr>
        <w:t xml:space="preserve">. </w:t>
      </w:r>
      <w:r w:rsidR="00167B08">
        <w:rPr>
          <w:rFonts w:ascii="Book Antiqua" w:hAnsi="Book Antiqua" w:cs="Arial"/>
        </w:rPr>
        <w:t xml:space="preserve"> The Appellant</w:t>
      </w:r>
      <w:r w:rsidR="00D41DB8">
        <w:rPr>
          <w:rFonts w:ascii="Book Antiqua" w:hAnsi="Book Antiqua" w:cs="Arial"/>
        </w:rPr>
        <w:t xml:space="preserve"> and Sponsor were</w:t>
      </w:r>
      <w:r>
        <w:rPr>
          <w:rFonts w:ascii="Book Antiqua" w:hAnsi="Book Antiqua" w:cs="Arial"/>
        </w:rPr>
        <w:t xml:space="preserve"> married on 20</w:t>
      </w:r>
      <w:r w:rsidRPr="00AE4BF1">
        <w:rPr>
          <w:rFonts w:ascii="Book Antiqua" w:hAnsi="Book Antiqua" w:cs="Arial"/>
          <w:vertAlign w:val="superscript"/>
        </w:rPr>
        <w:t>th</w:t>
      </w:r>
      <w:r w:rsidR="00D41DB8">
        <w:rPr>
          <w:rFonts w:ascii="Book Antiqua" w:hAnsi="Book Antiqua" w:cs="Arial"/>
        </w:rPr>
        <w:t xml:space="preserve"> August 2015 in a ceremony at Hackney </w:t>
      </w:r>
      <w:r w:rsidR="00167B08">
        <w:rPr>
          <w:rFonts w:ascii="Book Antiqua" w:hAnsi="Book Antiqua" w:cs="Arial"/>
        </w:rPr>
        <w:t>Town H</w:t>
      </w:r>
      <w:r w:rsidR="00D41DB8">
        <w:rPr>
          <w:rFonts w:ascii="Book Antiqua" w:hAnsi="Book Antiqua" w:cs="Arial"/>
        </w:rPr>
        <w:t>all.</w:t>
      </w:r>
      <w:r w:rsidR="00167B08">
        <w:rPr>
          <w:rFonts w:ascii="Book Antiqua" w:hAnsi="Book Antiqua" w:cs="Arial"/>
        </w:rPr>
        <w:t xml:space="preserve"> </w:t>
      </w:r>
      <w:r w:rsidR="00D41DB8">
        <w:rPr>
          <w:rFonts w:ascii="Book Antiqua" w:hAnsi="Book Antiqua" w:cs="Arial"/>
        </w:rPr>
        <w:t xml:space="preserve"> A valid marriage certificate has been produced.</w:t>
      </w:r>
      <w:r>
        <w:rPr>
          <w:rFonts w:ascii="Book Antiqua" w:hAnsi="Book Antiqua" w:cs="Arial"/>
        </w:rPr>
        <w:t xml:space="preserve"> </w:t>
      </w:r>
    </w:p>
    <w:p w:rsidR="00D41DB8" w:rsidRDefault="00D41DB8" w:rsidP="00E943B7">
      <w:pPr>
        <w:numPr>
          <w:ilvl w:val="0"/>
          <w:numId w:val="3"/>
        </w:numPr>
        <w:spacing w:before="240"/>
        <w:jc w:val="both"/>
        <w:rPr>
          <w:rFonts w:ascii="Book Antiqua" w:hAnsi="Book Antiqua" w:cs="Arial"/>
        </w:rPr>
      </w:pPr>
      <w:r>
        <w:rPr>
          <w:rFonts w:ascii="Book Antiqua" w:hAnsi="Book Antiqua" w:cs="Arial"/>
        </w:rPr>
        <w:t xml:space="preserve">Following procedure the Respondent called the </w:t>
      </w:r>
      <w:r w:rsidR="00AE4BF1">
        <w:rPr>
          <w:rFonts w:ascii="Book Antiqua" w:hAnsi="Book Antiqua" w:cs="Arial"/>
        </w:rPr>
        <w:t>Appellant an</w:t>
      </w:r>
      <w:r>
        <w:rPr>
          <w:rFonts w:ascii="Book Antiqua" w:hAnsi="Book Antiqua" w:cs="Arial"/>
        </w:rPr>
        <w:t xml:space="preserve">d the Sponsor </w:t>
      </w:r>
      <w:r w:rsidR="00AE4BF1">
        <w:rPr>
          <w:rFonts w:ascii="Book Antiqua" w:hAnsi="Book Antiqua" w:cs="Arial"/>
        </w:rPr>
        <w:t>for</w:t>
      </w:r>
      <w:r>
        <w:rPr>
          <w:rFonts w:ascii="Book Antiqua" w:hAnsi="Book Antiqua" w:cs="Arial"/>
        </w:rPr>
        <w:t xml:space="preserve"> a marriage</w:t>
      </w:r>
      <w:r w:rsidR="00AE4BF1">
        <w:rPr>
          <w:rFonts w:ascii="Book Antiqua" w:hAnsi="Book Antiqua" w:cs="Arial"/>
        </w:rPr>
        <w:t xml:space="preserve"> interview in Liverpool on 6</w:t>
      </w:r>
      <w:r w:rsidR="00AE4BF1" w:rsidRPr="00AE4BF1">
        <w:rPr>
          <w:rFonts w:ascii="Book Antiqua" w:hAnsi="Book Antiqua" w:cs="Arial"/>
          <w:vertAlign w:val="superscript"/>
        </w:rPr>
        <w:t>th</w:t>
      </w:r>
      <w:r w:rsidR="00AE4BF1">
        <w:rPr>
          <w:rFonts w:ascii="Book Antiqua" w:hAnsi="Book Antiqua" w:cs="Arial"/>
        </w:rPr>
        <w:t xml:space="preserve"> January 2016</w:t>
      </w:r>
      <w:r>
        <w:rPr>
          <w:rFonts w:ascii="Book Antiqua" w:hAnsi="Book Antiqua" w:cs="Arial"/>
        </w:rPr>
        <w:t>.  They did not attend</w:t>
      </w:r>
      <w:r w:rsidR="00317D89">
        <w:rPr>
          <w:rFonts w:ascii="Book Antiqua" w:hAnsi="Book Antiqua" w:cs="Arial"/>
        </w:rPr>
        <w:t>,</w:t>
      </w:r>
      <w:r>
        <w:rPr>
          <w:rFonts w:ascii="Book Antiqua" w:hAnsi="Book Antiqua" w:cs="Arial"/>
        </w:rPr>
        <w:t xml:space="preserve"> reporting that the Sponsor was unwell with a temperature. </w:t>
      </w:r>
      <w:r w:rsidR="00AE4BF1">
        <w:rPr>
          <w:rFonts w:ascii="Book Antiqua" w:hAnsi="Book Antiqua" w:cs="Arial"/>
        </w:rPr>
        <w:t xml:space="preserve"> However, both attended</w:t>
      </w:r>
      <w:r>
        <w:rPr>
          <w:rFonts w:ascii="Book Antiqua" w:hAnsi="Book Antiqua" w:cs="Arial"/>
        </w:rPr>
        <w:t xml:space="preserve"> for interview</w:t>
      </w:r>
      <w:r w:rsidR="00AE4BF1">
        <w:rPr>
          <w:rFonts w:ascii="Book Antiqua" w:hAnsi="Book Antiqua" w:cs="Arial"/>
        </w:rPr>
        <w:t xml:space="preserve"> on 20</w:t>
      </w:r>
      <w:r w:rsidR="00AE4BF1" w:rsidRPr="00AE4BF1">
        <w:rPr>
          <w:rFonts w:ascii="Book Antiqua" w:hAnsi="Book Antiqua" w:cs="Arial"/>
          <w:vertAlign w:val="superscript"/>
        </w:rPr>
        <w:t>th</w:t>
      </w:r>
      <w:r w:rsidR="00AE4BF1">
        <w:rPr>
          <w:rFonts w:ascii="Book Antiqua" w:hAnsi="Book Antiqua" w:cs="Arial"/>
        </w:rPr>
        <w:t xml:space="preserve"> Janua</w:t>
      </w:r>
      <w:r>
        <w:rPr>
          <w:rFonts w:ascii="Book Antiqua" w:hAnsi="Book Antiqua" w:cs="Arial"/>
        </w:rPr>
        <w:t xml:space="preserve">ry 2016. </w:t>
      </w:r>
      <w:r w:rsidR="00167B08">
        <w:rPr>
          <w:rFonts w:ascii="Book Antiqua" w:hAnsi="Book Antiqua" w:cs="Arial"/>
        </w:rPr>
        <w:t xml:space="preserve"> </w:t>
      </w:r>
      <w:r>
        <w:rPr>
          <w:rFonts w:ascii="Book Antiqua" w:hAnsi="Book Antiqua" w:cs="Arial"/>
        </w:rPr>
        <w:t>During the course of her interview</w:t>
      </w:r>
      <w:r w:rsidR="00AE4BF1">
        <w:rPr>
          <w:rFonts w:ascii="Book Antiqua" w:hAnsi="Book Antiqua" w:cs="Arial"/>
        </w:rPr>
        <w:t xml:space="preserve"> the Sponso</w:t>
      </w:r>
      <w:r>
        <w:rPr>
          <w:rFonts w:ascii="Book Antiqua" w:hAnsi="Book Antiqua" w:cs="Arial"/>
        </w:rPr>
        <w:t>r</w:t>
      </w:r>
      <w:r w:rsidR="00AE4BF1">
        <w:rPr>
          <w:rFonts w:ascii="Book Antiqua" w:hAnsi="Book Antiqua" w:cs="Arial"/>
        </w:rPr>
        <w:t xml:space="preserve"> appeared confused about dates</w:t>
      </w:r>
      <w:r>
        <w:rPr>
          <w:rFonts w:ascii="Book Antiqua" w:hAnsi="Book Antiqua" w:cs="Arial"/>
        </w:rPr>
        <w:t xml:space="preserve"> and according to the interviewer became agitated.</w:t>
      </w:r>
    </w:p>
    <w:p w:rsidR="00E65143" w:rsidRDefault="00AE4BF1" w:rsidP="00E943B7">
      <w:pPr>
        <w:numPr>
          <w:ilvl w:val="0"/>
          <w:numId w:val="3"/>
        </w:numPr>
        <w:spacing w:before="240"/>
        <w:jc w:val="both"/>
        <w:rPr>
          <w:rFonts w:ascii="Book Antiqua" w:hAnsi="Book Antiqua" w:cs="Arial"/>
        </w:rPr>
      </w:pPr>
      <w:r>
        <w:rPr>
          <w:rFonts w:ascii="Book Antiqua" w:hAnsi="Book Antiqua" w:cs="Arial"/>
        </w:rPr>
        <w:t>She informed the interview</w:t>
      </w:r>
      <w:r w:rsidR="00040F02">
        <w:rPr>
          <w:rFonts w:ascii="Book Antiqua" w:hAnsi="Book Antiqua" w:cs="Arial"/>
        </w:rPr>
        <w:t>er</w:t>
      </w:r>
      <w:r>
        <w:rPr>
          <w:rFonts w:ascii="Book Antiqua" w:hAnsi="Book Antiqua" w:cs="Arial"/>
        </w:rPr>
        <w:t xml:space="preserve"> that she had a headache</w:t>
      </w:r>
      <w:r w:rsidR="00D748FB">
        <w:rPr>
          <w:rFonts w:ascii="Book Antiqua" w:hAnsi="Book Antiqua" w:cs="Arial"/>
        </w:rPr>
        <w:t>,</w:t>
      </w:r>
      <w:r w:rsidR="00E65143">
        <w:rPr>
          <w:rFonts w:ascii="Book Antiqua" w:hAnsi="Book Antiqua" w:cs="Arial"/>
        </w:rPr>
        <w:t xml:space="preserve"> </w:t>
      </w:r>
      <w:r w:rsidR="00167B08">
        <w:rPr>
          <w:rFonts w:ascii="Book Antiqua" w:hAnsi="Book Antiqua" w:cs="Arial"/>
        </w:rPr>
        <w:t xml:space="preserve">and </w:t>
      </w:r>
      <w:r w:rsidR="00E65143">
        <w:rPr>
          <w:rFonts w:ascii="Book Antiqua" w:hAnsi="Book Antiqua" w:cs="Arial"/>
        </w:rPr>
        <w:t xml:space="preserve">was feeling dizzy and </w:t>
      </w:r>
      <w:r>
        <w:rPr>
          <w:rFonts w:ascii="Book Antiqua" w:hAnsi="Book Antiqua" w:cs="Arial"/>
        </w:rPr>
        <w:t>sick.</w:t>
      </w:r>
      <w:r w:rsidR="00E65143">
        <w:rPr>
          <w:rFonts w:ascii="Book Antiqua" w:hAnsi="Book Antiqua" w:cs="Arial"/>
        </w:rPr>
        <w:t xml:space="preserve"> By this time she had been asked around 90 questions some of which were simply the usual formal introductory ones.</w:t>
      </w:r>
      <w:r>
        <w:rPr>
          <w:rFonts w:ascii="Book Antiqua" w:hAnsi="Book Antiqua" w:cs="Arial"/>
        </w:rPr>
        <w:t xml:space="preserve">  The interview was terminated.  The Appellant was not interviewed.  Both</w:t>
      </w:r>
      <w:r w:rsidR="00E65143">
        <w:rPr>
          <w:rFonts w:ascii="Book Antiqua" w:hAnsi="Book Antiqua" w:cs="Arial"/>
        </w:rPr>
        <w:t xml:space="preserve"> the Appellant and Sponsor </w:t>
      </w:r>
      <w:r>
        <w:rPr>
          <w:rFonts w:ascii="Book Antiqua" w:hAnsi="Book Antiqua" w:cs="Arial"/>
        </w:rPr>
        <w:t>were</w:t>
      </w:r>
      <w:r w:rsidR="00E65143">
        <w:rPr>
          <w:rFonts w:ascii="Book Antiqua" w:hAnsi="Book Antiqua" w:cs="Arial"/>
        </w:rPr>
        <w:t xml:space="preserve"> informed</w:t>
      </w:r>
      <w:r w:rsidR="009F6720">
        <w:rPr>
          <w:rFonts w:ascii="Book Antiqua" w:hAnsi="Book Antiqua" w:cs="Arial"/>
        </w:rPr>
        <w:t xml:space="preserve"> </w:t>
      </w:r>
      <w:r>
        <w:rPr>
          <w:rFonts w:ascii="Book Antiqua" w:hAnsi="Book Antiqua" w:cs="Arial"/>
        </w:rPr>
        <w:t>that a decision would be made whether to recall</w:t>
      </w:r>
      <w:r w:rsidR="00E65143">
        <w:rPr>
          <w:rFonts w:ascii="Book Antiqua" w:hAnsi="Book Antiqua" w:cs="Arial"/>
        </w:rPr>
        <w:t xml:space="preserve"> the Sponsor</w:t>
      </w:r>
      <w:r>
        <w:rPr>
          <w:rFonts w:ascii="Book Antiqua" w:hAnsi="Book Antiqua" w:cs="Arial"/>
        </w:rPr>
        <w:t xml:space="preserve"> for a further interview.  </w:t>
      </w:r>
    </w:p>
    <w:p w:rsidR="00AE4BF1" w:rsidRDefault="00AE4BF1" w:rsidP="00E943B7">
      <w:pPr>
        <w:numPr>
          <w:ilvl w:val="0"/>
          <w:numId w:val="3"/>
        </w:numPr>
        <w:spacing w:before="240"/>
        <w:jc w:val="both"/>
        <w:rPr>
          <w:rFonts w:ascii="Book Antiqua" w:hAnsi="Book Antiqua" w:cs="Arial"/>
        </w:rPr>
      </w:pPr>
      <w:r>
        <w:rPr>
          <w:rFonts w:ascii="Book Antiqua" w:hAnsi="Book Antiqua" w:cs="Arial"/>
        </w:rPr>
        <w:t>Suffice to say there was no further interview</w:t>
      </w:r>
      <w:r w:rsidR="00E65143">
        <w:rPr>
          <w:rFonts w:ascii="Book Antiqua" w:hAnsi="Book Antiqua" w:cs="Arial"/>
        </w:rPr>
        <w:t xml:space="preserve"> offered</w:t>
      </w:r>
      <w:r>
        <w:rPr>
          <w:rFonts w:ascii="Book Antiqua" w:hAnsi="Book Antiqua" w:cs="Arial"/>
        </w:rPr>
        <w:t xml:space="preserve"> and on 10</w:t>
      </w:r>
      <w:r w:rsidRPr="00AE4BF1">
        <w:rPr>
          <w:rFonts w:ascii="Book Antiqua" w:hAnsi="Book Antiqua" w:cs="Arial"/>
          <w:vertAlign w:val="superscript"/>
        </w:rPr>
        <w:t>th</w:t>
      </w:r>
      <w:r>
        <w:rPr>
          <w:rFonts w:ascii="Book Antiqua" w:hAnsi="Book Antiqua" w:cs="Arial"/>
        </w:rPr>
        <w:t xml:space="preserve"> February 2016 the Respondent refu</w:t>
      </w:r>
      <w:r w:rsidR="00E65143">
        <w:rPr>
          <w:rFonts w:ascii="Book Antiqua" w:hAnsi="Book Antiqua" w:cs="Arial"/>
        </w:rPr>
        <w:t>sed the Appellant’s application as she was not satisfied that the</w:t>
      </w:r>
      <w:r>
        <w:rPr>
          <w:rFonts w:ascii="Book Antiqua" w:hAnsi="Book Antiqua" w:cs="Arial"/>
        </w:rPr>
        <w:t xml:space="preserve"> relationship was </w:t>
      </w:r>
      <w:r w:rsidR="00D748FB">
        <w:rPr>
          <w:rFonts w:ascii="Book Antiqua" w:hAnsi="Book Antiqua" w:cs="Arial"/>
        </w:rPr>
        <w:t xml:space="preserve">a </w:t>
      </w:r>
      <w:r>
        <w:rPr>
          <w:rFonts w:ascii="Book Antiqua" w:hAnsi="Book Antiqua" w:cs="Arial"/>
        </w:rPr>
        <w:t>genuine and subsisting</w:t>
      </w:r>
      <w:r w:rsidR="00E65143">
        <w:rPr>
          <w:rFonts w:ascii="Book Antiqua" w:hAnsi="Book Antiqua" w:cs="Arial"/>
        </w:rPr>
        <w:t xml:space="preserve"> one</w:t>
      </w:r>
      <w:r w:rsidR="00D748FB">
        <w:rPr>
          <w:rFonts w:ascii="Book Antiqua" w:hAnsi="Book Antiqua" w:cs="Arial"/>
        </w:rPr>
        <w:t>.</w:t>
      </w:r>
      <w:r>
        <w:rPr>
          <w:rFonts w:ascii="Book Antiqua" w:hAnsi="Book Antiqua" w:cs="Arial"/>
        </w:rPr>
        <w:t xml:space="preserve"> </w:t>
      </w:r>
      <w:r w:rsidR="00E65143">
        <w:rPr>
          <w:rFonts w:ascii="Book Antiqua" w:hAnsi="Book Antiqua" w:cs="Arial"/>
        </w:rPr>
        <w:t xml:space="preserve"> </w:t>
      </w:r>
      <w:r w:rsidR="00D748FB">
        <w:rPr>
          <w:rFonts w:ascii="Book Antiqua" w:hAnsi="Book Antiqua" w:cs="Arial"/>
        </w:rPr>
        <w:t xml:space="preserve">She found </w:t>
      </w:r>
      <w:r w:rsidR="00E65143">
        <w:rPr>
          <w:rFonts w:ascii="Book Antiqua" w:hAnsi="Book Antiqua" w:cs="Arial"/>
        </w:rPr>
        <w:t>therefore</w:t>
      </w:r>
      <w:r>
        <w:rPr>
          <w:rFonts w:ascii="Book Antiqua" w:hAnsi="Book Antiqua" w:cs="Arial"/>
        </w:rPr>
        <w:t xml:space="preserve"> that the marriage was one of convenience.  </w:t>
      </w:r>
    </w:p>
    <w:p w:rsidR="00AE4BF1" w:rsidRDefault="00AE4BF1" w:rsidP="00E943B7">
      <w:pPr>
        <w:numPr>
          <w:ilvl w:val="0"/>
          <w:numId w:val="3"/>
        </w:numPr>
        <w:spacing w:before="240"/>
        <w:jc w:val="both"/>
        <w:rPr>
          <w:rFonts w:ascii="Book Antiqua" w:hAnsi="Book Antiqua" w:cs="Arial"/>
        </w:rPr>
      </w:pPr>
      <w:r>
        <w:rPr>
          <w:rFonts w:ascii="Book Antiqua" w:hAnsi="Book Antiqua" w:cs="Arial"/>
        </w:rPr>
        <w:t>The Appellant appealed that decision and the appeal came before the First-tier Tribunal.  Following consi</w:t>
      </w:r>
      <w:r w:rsidR="00E65143">
        <w:rPr>
          <w:rFonts w:ascii="Book Antiqua" w:hAnsi="Book Antiqua" w:cs="Arial"/>
        </w:rPr>
        <w:t>deration of the evidence, the Ft</w:t>
      </w:r>
      <w:r>
        <w:rPr>
          <w:rFonts w:ascii="Book Antiqua" w:hAnsi="Book Antiqua" w:cs="Arial"/>
        </w:rPr>
        <w:t xml:space="preserve">TJ allowed the appeal.  </w:t>
      </w:r>
    </w:p>
    <w:p w:rsidR="00AE4BF1" w:rsidRPr="00AE4BF1" w:rsidRDefault="00AE4BF1" w:rsidP="00AE4BF1">
      <w:pPr>
        <w:spacing w:before="240"/>
        <w:jc w:val="both"/>
        <w:rPr>
          <w:rFonts w:ascii="Book Antiqua" w:hAnsi="Book Antiqua" w:cs="Arial"/>
          <w:b/>
          <w:u w:val="single"/>
        </w:rPr>
      </w:pPr>
      <w:r w:rsidRPr="00AE4BF1">
        <w:rPr>
          <w:rFonts w:ascii="Book Antiqua" w:hAnsi="Book Antiqua" w:cs="Arial"/>
          <w:b/>
          <w:u w:val="single"/>
        </w:rPr>
        <w:t>Onward Appeal</w:t>
      </w:r>
    </w:p>
    <w:p w:rsidR="00AE4BF1" w:rsidRDefault="00AE4BF1" w:rsidP="00E943B7">
      <w:pPr>
        <w:numPr>
          <w:ilvl w:val="0"/>
          <w:numId w:val="3"/>
        </w:numPr>
        <w:spacing w:before="240"/>
        <w:jc w:val="both"/>
        <w:rPr>
          <w:rFonts w:ascii="Book Antiqua" w:hAnsi="Book Antiqua" w:cs="Arial"/>
        </w:rPr>
      </w:pPr>
      <w:r>
        <w:rPr>
          <w:rFonts w:ascii="Book Antiqua" w:hAnsi="Book Antiqua" w:cs="Arial"/>
        </w:rPr>
        <w:t>The Respondent</w:t>
      </w:r>
      <w:r w:rsidR="00040F02">
        <w:rPr>
          <w:rFonts w:ascii="Book Antiqua" w:hAnsi="Book Antiqua" w:cs="Arial"/>
        </w:rPr>
        <w:t xml:space="preserve"> sought</w:t>
      </w:r>
      <w:r>
        <w:rPr>
          <w:rFonts w:ascii="Book Antiqua" w:hAnsi="Book Antiqua" w:cs="Arial"/>
        </w:rPr>
        <w:t xml:space="preserve"> and was granted permission to appeal.  The grounds raise two issues:</w:t>
      </w:r>
    </w:p>
    <w:p w:rsidR="00AE4BF1" w:rsidRDefault="00D748FB" w:rsidP="002D6533">
      <w:pPr>
        <w:numPr>
          <w:ilvl w:val="2"/>
          <w:numId w:val="3"/>
        </w:numPr>
        <w:tabs>
          <w:tab w:val="clear" w:pos="1701"/>
        </w:tabs>
        <w:spacing w:before="240"/>
        <w:ind w:left="1134"/>
        <w:jc w:val="both"/>
        <w:rPr>
          <w:rFonts w:ascii="Book Antiqua" w:hAnsi="Book Antiqua" w:cs="Arial"/>
        </w:rPr>
      </w:pPr>
      <w:r>
        <w:rPr>
          <w:rFonts w:ascii="Book Antiqua" w:hAnsi="Book Antiqua" w:cs="Arial"/>
        </w:rPr>
        <w:t>F</w:t>
      </w:r>
      <w:r w:rsidR="006D575F">
        <w:rPr>
          <w:rFonts w:ascii="Book Antiqua" w:hAnsi="Book Antiqua" w:cs="Arial"/>
        </w:rPr>
        <w:t>ailure to take into account apparent discrepant evidence</w:t>
      </w:r>
      <w:r w:rsidR="00E65143">
        <w:rPr>
          <w:rFonts w:ascii="Book Antiqua" w:hAnsi="Book Antiqua" w:cs="Arial"/>
        </w:rPr>
        <w:t xml:space="preserve"> when comparing</w:t>
      </w:r>
      <w:r w:rsidR="006D575F">
        <w:rPr>
          <w:rFonts w:ascii="Book Antiqua" w:hAnsi="Book Antiqua" w:cs="Arial"/>
        </w:rPr>
        <w:t xml:space="preserve"> a</w:t>
      </w:r>
      <w:r w:rsidR="00E65143">
        <w:rPr>
          <w:rFonts w:ascii="Book Antiqua" w:hAnsi="Book Antiqua" w:cs="Arial"/>
        </w:rPr>
        <w:t>nswers given by the Sponsor in interview with those given by the Appellant in his application</w:t>
      </w:r>
      <w:r w:rsidR="009E7921">
        <w:rPr>
          <w:rFonts w:ascii="Book Antiqua" w:hAnsi="Book Antiqua" w:cs="Arial"/>
        </w:rPr>
        <w:t xml:space="preserve"> letter. </w:t>
      </w:r>
    </w:p>
    <w:p w:rsidR="006D575F" w:rsidRPr="00D748FB" w:rsidRDefault="006D575F" w:rsidP="006D575F">
      <w:pPr>
        <w:numPr>
          <w:ilvl w:val="2"/>
          <w:numId w:val="3"/>
        </w:numPr>
        <w:tabs>
          <w:tab w:val="clear" w:pos="1701"/>
        </w:tabs>
        <w:spacing w:before="240"/>
        <w:ind w:left="1134"/>
        <w:jc w:val="both"/>
        <w:rPr>
          <w:rFonts w:ascii="Book Antiqua" w:hAnsi="Book Antiqua" w:cs="Arial"/>
        </w:rPr>
      </w:pPr>
      <w:r w:rsidRPr="00D748FB">
        <w:rPr>
          <w:rFonts w:ascii="Book Antiqua" w:hAnsi="Book Antiqua" w:cs="Arial"/>
        </w:rPr>
        <w:t>The</w:t>
      </w:r>
      <w:r w:rsidR="00E65143" w:rsidRPr="00D748FB">
        <w:rPr>
          <w:rFonts w:ascii="Book Antiqua" w:hAnsi="Book Antiqua" w:cs="Arial"/>
        </w:rPr>
        <w:t xml:space="preserve"> FtTJ</w:t>
      </w:r>
      <w:r w:rsidR="00D748FB" w:rsidRPr="00D748FB">
        <w:rPr>
          <w:rFonts w:ascii="Book Antiqua" w:hAnsi="Book Antiqua" w:cs="Arial"/>
        </w:rPr>
        <w:t xml:space="preserve"> adopted an incorrect </w:t>
      </w:r>
      <w:r w:rsidR="0081356A" w:rsidRPr="00D748FB">
        <w:rPr>
          <w:rFonts w:ascii="Book Antiqua" w:hAnsi="Book Antiqua" w:cs="Arial"/>
        </w:rPr>
        <w:t xml:space="preserve">approach </w:t>
      </w:r>
      <w:r w:rsidRPr="00D748FB">
        <w:rPr>
          <w:rFonts w:ascii="Book Antiqua" w:hAnsi="Book Antiqua" w:cs="Arial"/>
        </w:rPr>
        <w:t>to the evidence</w:t>
      </w:r>
      <w:r w:rsidR="0081356A" w:rsidRPr="00D748FB">
        <w:rPr>
          <w:rFonts w:ascii="Book Antiqua" w:hAnsi="Book Antiqua" w:cs="Arial"/>
        </w:rPr>
        <w:t xml:space="preserve">. </w:t>
      </w:r>
      <w:r w:rsidR="00D748FB">
        <w:rPr>
          <w:rFonts w:ascii="Book Antiqua" w:hAnsi="Book Antiqua" w:cs="Arial"/>
        </w:rPr>
        <w:t xml:space="preserve"> </w:t>
      </w:r>
      <w:r w:rsidR="0081356A" w:rsidRPr="00D748FB">
        <w:rPr>
          <w:rFonts w:ascii="Book Antiqua" w:hAnsi="Book Antiqua" w:cs="Arial"/>
        </w:rPr>
        <w:t>It</w:t>
      </w:r>
      <w:r w:rsidRPr="00D748FB">
        <w:rPr>
          <w:rFonts w:ascii="Book Antiqua" w:hAnsi="Book Antiqua" w:cs="Arial"/>
        </w:rPr>
        <w:t xml:space="preserve"> was asserted </w:t>
      </w:r>
      <w:r w:rsidR="00D748FB">
        <w:rPr>
          <w:rFonts w:ascii="Book Antiqua" w:hAnsi="Book Antiqua" w:cs="Arial"/>
        </w:rPr>
        <w:t xml:space="preserve">that </w:t>
      </w:r>
      <w:r w:rsidRPr="00D748FB">
        <w:rPr>
          <w:rFonts w:ascii="Book Antiqua" w:hAnsi="Book Antiqua" w:cs="Arial"/>
        </w:rPr>
        <w:t>he failed to consider whether the discrepant evidence outlined in</w:t>
      </w:r>
      <w:r w:rsidR="0081356A" w:rsidRPr="00D748FB">
        <w:rPr>
          <w:rFonts w:ascii="Book Antiqua" w:hAnsi="Book Antiqua" w:cs="Arial"/>
        </w:rPr>
        <w:t xml:space="preserve"> (</w:t>
      </w:r>
      <w:proofErr w:type="spellStart"/>
      <w:r w:rsidR="0081356A" w:rsidRPr="00D748FB">
        <w:rPr>
          <w:rFonts w:ascii="Book Antiqua" w:hAnsi="Book Antiqua" w:cs="Arial"/>
        </w:rPr>
        <w:t>i</w:t>
      </w:r>
      <w:proofErr w:type="spellEnd"/>
      <w:r w:rsidR="0081356A" w:rsidRPr="00D748FB">
        <w:rPr>
          <w:rFonts w:ascii="Book Antiqua" w:hAnsi="Book Antiqua" w:cs="Arial"/>
        </w:rPr>
        <w:t xml:space="preserve">) </w:t>
      </w:r>
      <w:r w:rsidRPr="00D748FB">
        <w:rPr>
          <w:rFonts w:ascii="Book Antiqua" w:hAnsi="Book Antiqua" w:cs="Arial"/>
        </w:rPr>
        <w:t>above was sufficient</w:t>
      </w:r>
      <w:r w:rsidR="00D748FB">
        <w:rPr>
          <w:rFonts w:ascii="Book Antiqua" w:hAnsi="Book Antiqua" w:cs="Arial"/>
        </w:rPr>
        <w:t>,</w:t>
      </w:r>
      <w:r w:rsidR="0081356A" w:rsidRPr="00D748FB">
        <w:rPr>
          <w:rFonts w:ascii="Book Antiqua" w:hAnsi="Book Antiqua" w:cs="Arial"/>
        </w:rPr>
        <w:t xml:space="preserve"> when added to other factors set out in the Respondent’s decision letter</w:t>
      </w:r>
      <w:r w:rsidR="00D748FB">
        <w:rPr>
          <w:rFonts w:ascii="Book Antiqua" w:hAnsi="Book Antiqua" w:cs="Arial"/>
        </w:rPr>
        <w:t>,</w:t>
      </w:r>
      <w:r w:rsidRPr="00D748FB">
        <w:rPr>
          <w:rFonts w:ascii="Book Antiqua" w:hAnsi="Book Antiqua" w:cs="Arial"/>
        </w:rPr>
        <w:t xml:space="preserve"> </w:t>
      </w:r>
      <w:r w:rsidRPr="00D748FB">
        <w:rPr>
          <w:rFonts w:ascii="Book Antiqua" w:hAnsi="Book Antiqua" w:cs="Arial"/>
        </w:rPr>
        <w:lastRenderedPageBreak/>
        <w:t>to raise a reasonable suspicion in respect of the marria</w:t>
      </w:r>
      <w:r w:rsidR="0081356A" w:rsidRPr="00D748FB">
        <w:rPr>
          <w:rFonts w:ascii="Book Antiqua" w:hAnsi="Book Antiqua" w:cs="Arial"/>
        </w:rPr>
        <w:t>ge being one of convenience. In cases of this nature, a</w:t>
      </w:r>
      <w:r w:rsidRPr="00D748FB">
        <w:rPr>
          <w:rFonts w:ascii="Book Antiqua" w:hAnsi="Book Antiqua" w:cs="Arial"/>
        </w:rPr>
        <w:t xml:space="preserve"> </w:t>
      </w:r>
      <w:r w:rsidR="0081356A" w:rsidRPr="00D748FB">
        <w:rPr>
          <w:rFonts w:ascii="Book Antiqua" w:hAnsi="Book Antiqua" w:cs="Arial"/>
        </w:rPr>
        <w:t>reasonable suspicion raised by the Respondent is sufficient to shift</w:t>
      </w:r>
      <w:r w:rsidRPr="00D748FB">
        <w:rPr>
          <w:rFonts w:ascii="Book Antiqua" w:hAnsi="Book Antiqua" w:cs="Arial"/>
        </w:rPr>
        <w:t xml:space="preserve"> t</w:t>
      </w:r>
      <w:r w:rsidR="0081356A" w:rsidRPr="00D748FB">
        <w:rPr>
          <w:rFonts w:ascii="Book Antiqua" w:hAnsi="Book Antiqua" w:cs="Arial"/>
        </w:rPr>
        <w:t>he evidential burden</w:t>
      </w:r>
      <w:r w:rsidRPr="00D748FB">
        <w:rPr>
          <w:rFonts w:ascii="Book Antiqua" w:hAnsi="Book Antiqua" w:cs="Arial"/>
        </w:rPr>
        <w:t xml:space="preserve"> to the Appellant to show that the marriage is in fact genuine.  </w:t>
      </w:r>
    </w:p>
    <w:p w:rsidR="00AE4BF1" w:rsidRDefault="006D575F" w:rsidP="00E943B7">
      <w:pPr>
        <w:numPr>
          <w:ilvl w:val="0"/>
          <w:numId w:val="3"/>
        </w:numPr>
        <w:spacing w:before="240"/>
        <w:jc w:val="both"/>
        <w:rPr>
          <w:rFonts w:ascii="Book Antiqua" w:hAnsi="Book Antiqua" w:cs="Arial"/>
        </w:rPr>
      </w:pPr>
      <w:r>
        <w:rPr>
          <w:rFonts w:ascii="Book Antiqua" w:hAnsi="Book Antiqua" w:cs="Arial"/>
        </w:rPr>
        <w:t xml:space="preserve">Permission was granted in the following terms: </w:t>
      </w:r>
    </w:p>
    <w:p w:rsidR="006D575F" w:rsidRDefault="00D748FB" w:rsidP="006D575F">
      <w:pPr>
        <w:spacing w:before="240"/>
        <w:ind w:left="1134"/>
        <w:jc w:val="both"/>
        <w:rPr>
          <w:rFonts w:ascii="Book Antiqua" w:hAnsi="Book Antiqua" w:cs="Arial"/>
        </w:rPr>
      </w:pPr>
      <w:r>
        <w:rPr>
          <w:rFonts w:ascii="Book Antiqua" w:hAnsi="Book Antiqua" w:cs="Arial"/>
        </w:rPr>
        <w:t>“It is arguable that the J</w:t>
      </w:r>
      <w:r w:rsidR="006D575F">
        <w:rPr>
          <w:rFonts w:ascii="Book Antiqua" w:hAnsi="Book Antiqua" w:cs="Arial"/>
        </w:rPr>
        <w:t>udge has set out an insufficient analysis of the evidence in relation to the question of genuineness.  It is arguable that the judge has not dealt with the question of whet</w:t>
      </w:r>
      <w:r w:rsidR="00040F02">
        <w:rPr>
          <w:rFonts w:ascii="Book Antiqua" w:hAnsi="Book Antiqua" w:cs="Arial"/>
        </w:rPr>
        <w:t>her</w:t>
      </w:r>
      <w:r w:rsidR="006D575F">
        <w:rPr>
          <w:rFonts w:ascii="Book Antiqua" w:hAnsi="Book Antiqua" w:cs="Arial"/>
        </w:rPr>
        <w:t xml:space="preserve"> the evidential burden has shifted.”</w:t>
      </w:r>
    </w:p>
    <w:p w:rsidR="006D575F" w:rsidRDefault="006D575F" w:rsidP="00E943B7">
      <w:pPr>
        <w:numPr>
          <w:ilvl w:val="0"/>
          <w:numId w:val="3"/>
        </w:numPr>
        <w:spacing w:before="240"/>
        <w:jc w:val="both"/>
        <w:rPr>
          <w:rFonts w:ascii="Book Antiqua" w:hAnsi="Book Antiqua" w:cs="Arial"/>
        </w:rPr>
      </w:pPr>
      <w:r>
        <w:rPr>
          <w:rFonts w:ascii="Book Antiqua" w:hAnsi="Book Antiqua" w:cs="Arial"/>
        </w:rPr>
        <w:t>Thus, the matter comes before me to determin</w:t>
      </w:r>
      <w:r w:rsidR="0081356A">
        <w:rPr>
          <w:rFonts w:ascii="Book Antiqua" w:hAnsi="Book Antiqua" w:cs="Arial"/>
        </w:rPr>
        <w:t>e whether the decision of the Ft</w:t>
      </w:r>
      <w:r>
        <w:rPr>
          <w:rFonts w:ascii="Book Antiqua" w:hAnsi="Book Antiqua" w:cs="Arial"/>
        </w:rPr>
        <w:t xml:space="preserve">T contains such </w:t>
      </w:r>
      <w:r w:rsidR="0081356A">
        <w:rPr>
          <w:rFonts w:ascii="Book Antiqua" w:hAnsi="Book Antiqua" w:cs="Arial"/>
        </w:rPr>
        <w:t>material error that it</w:t>
      </w:r>
      <w:r>
        <w:rPr>
          <w:rFonts w:ascii="Book Antiqua" w:hAnsi="Book Antiqua" w:cs="Arial"/>
        </w:rPr>
        <w:t xml:space="preserve"> must be set aside and remade.  </w:t>
      </w:r>
    </w:p>
    <w:p w:rsidR="006D575F" w:rsidRPr="006D575F" w:rsidRDefault="006D575F" w:rsidP="006D575F">
      <w:pPr>
        <w:spacing w:before="240"/>
        <w:jc w:val="both"/>
        <w:rPr>
          <w:rFonts w:ascii="Book Antiqua" w:hAnsi="Book Antiqua" w:cs="Arial"/>
          <w:b/>
          <w:u w:val="single"/>
        </w:rPr>
      </w:pPr>
      <w:r w:rsidRPr="006D575F">
        <w:rPr>
          <w:rFonts w:ascii="Book Antiqua" w:hAnsi="Book Antiqua" w:cs="Arial"/>
          <w:b/>
          <w:u w:val="single"/>
        </w:rPr>
        <w:t>Error of Law Hearing</w:t>
      </w:r>
    </w:p>
    <w:p w:rsidR="006D575F" w:rsidRDefault="006D575F" w:rsidP="00E943B7">
      <w:pPr>
        <w:numPr>
          <w:ilvl w:val="0"/>
          <w:numId w:val="3"/>
        </w:numPr>
        <w:spacing w:before="240"/>
        <w:jc w:val="both"/>
        <w:rPr>
          <w:rFonts w:ascii="Book Antiqua" w:hAnsi="Book Antiqua" w:cs="Arial"/>
        </w:rPr>
      </w:pPr>
      <w:r>
        <w:rPr>
          <w:rFonts w:ascii="Book Antiqua" w:hAnsi="Book Antiqua" w:cs="Arial"/>
        </w:rPr>
        <w:t xml:space="preserve">Mr Duffy appeared for the </w:t>
      </w:r>
      <w:r w:rsidR="003223C9">
        <w:rPr>
          <w:rFonts w:ascii="Book Antiqua" w:hAnsi="Book Antiqua" w:cs="Arial"/>
        </w:rPr>
        <w:t>R</w:t>
      </w:r>
      <w:r>
        <w:rPr>
          <w:rFonts w:ascii="Book Antiqua" w:hAnsi="Book Antiqua" w:cs="Arial"/>
        </w:rPr>
        <w:t>espondent and</w:t>
      </w:r>
      <w:r w:rsidR="00040F02">
        <w:rPr>
          <w:rFonts w:ascii="Book Antiqua" w:hAnsi="Book Antiqua" w:cs="Arial"/>
        </w:rPr>
        <w:t xml:space="preserve"> Ms</w:t>
      </w:r>
      <w:r>
        <w:rPr>
          <w:rFonts w:ascii="Book Antiqua" w:hAnsi="Book Antiqua" w:cs="Arial"/>
        </w:rPr>
        <w:t xml:space="preserve"> </w:t>
      </w:r>
      <w:proofErr w:type="spellStart"/>
      <w:r w:rsidR="003223C9">
        <w:rPr>
          <w:rFonts w:ascii="Book Antiqua" w:hAnsi="Book Antiqua" w:cs="Arial"/>
        </w:rPr>
        <w:t>Bassiri</w:t>
      </w:r>
      <w:r>
        <w:rPr>
          <w:rFonts w:ascii="Book Antiqua" w:hAnsi="Book Antiqua" w:cs="Arial"/>
        </w:rPr>
        <w:t>-Dezfouli</w:t>
      </w:r>
      <w:proofErr w:type="spellEnd"/>
      <w:r>
        <w:rPr>
          <w:rFonts w:ascii="Book Antiqua" w:hAnsi="Book Antiqua" w:cs="Arial"/>
        </w:rPr>
        <w:t xml:space="preserve"> for the Appellant.  Mr Duffy’s submissions relied upon the grounds seeking permission.</w:t>
      </w:r>
      <w:r w:rsidR="0081356A">
        <w:rPr>
          <w:rFonts w:ascii="Book Antiqua" w:hAnsi="Book Antiqua" w:cs="Arial"/>
        </w:rPr>
        <w:t xml:space="preserve"> Partway through his submissions he asked whether a </w:t>
      </w:r>
      <w:r>
        <w:rPr>
          <w:rFonts w:ascii="Book Antiqua" w:hAnsi="Book Antiqua" w:cs="Arial"/>
        </w:rPr>
        <w:t>copy of the record of interview</w:t>
      </w:r>
      <w:r w:rsidR="0081356A">
        <w:rPr>
          <w:rFonts w:ascii="Book Antiqua" w:hAnsi="Book Antiqua" w:cs="Arial"/>
        </w:rPr>
        <w:t xml:space="preserve"> of the Sponsor had been served.  N</w:t>
      </w:r>
      <w:r>
        <w:rPr>
          <w:rFonts w:ascii="Book Antiqua" w:hAnsi="Book Antiqua" w:cs="Arial"/>
        </w:rPr>
        <w:t xml:space="preserve">either I nor Ms </w:t>
      </w:r>
      <w:proofErr w:type="spellStart"/>
      <w:r w:rsidR="003223C9">
        <w:rPr>
          <w:rFonts w:ascii="Book Antiqua" w:hAnsi="Book Antiqua" w:cs="Arial"/>
        </w:rPr>
        <w:t>Bassiri</w:t>
      </w:r>
      <w:r>
        <w:rPr>
          <w:rFonts w:ascii="Book Antiqua" w:hAnsi="Book Antiqua" w:cs="Arial"/>
        </w:rPr>
        <w:t>-Dezfouli</w:t>
      </w:r>
      <w:proofErr w:type="spellEnd"/>
      <w:r>
        <w:rPr>
          <w:rFonts w:ascii="Book Antiqua" w:hAnsi="Book Antiqua" w:cs="Arial"/>
        </w:rPr>
        <w:t xml:space="preserve"> had been served with a copy of the interview, although I located a copy in the court b</w:t>
      </w:r>
      <w:r w:rsidR="0081356A">
        <w:rPr>
          <w:rFonts w:ascii="Book Antiqua" w:hAnsi="Book Antiqua" w:cs="Arial"/>
        </w:rPr>
        <w:t>undle served by the Appellant for the hearing before</w:t>
      </w:r>
      <w:r>
        <w:rPr>
          <w:rFonts w:ascii="Book Antiqua" w:hAnsi="Book Antiqua" w:cs="Arial"/>
        </w:rPr>
        <w:t xml:space="preserve"> the First-tier Tribunal.  Mr Duffy helpfully gave Ms </w:t>
      </w:r>
      <w:proofErr w:type="spellStart"/>
      <w:r w:rsidR="003223C9">
        <w:rPr>
          <w:rFonts w:ascii="Book Antiqua" w:hAnsi="Book Antiqua" w:cs="Arial"/>
        </w:rPr>
        <w:t>Bassiri</w:t>
      </w:r>
      <w:r>
        <w:rPr>
          <w:rFonts w:ascii="Book Antiqua" w:hAnsi="Book Antiqua" w:cs="Arial"/>
        </w:rPr>
        <w:t>-Dezfouli</w:t>
      </w:r>
      <w:proofErr w:type="spellEnd"/>
      <w:r>
        <w:rPr>
          <w:rFonts w:ascii="Book Antiqua" w:hAnsi="Book Antiqua" w:cs="Arial"/>
        </w:rPr>
        <w:t xml:space="preserve"> sight of the</w:t>
      </w:r>
      <w:r w:rsidR="0081356A">
        <w:rPr>
          <w:rFonts w:ascii="Book Antiqua" w:hAnsi="Book Antiqua" w:cs="Arial"/>
        </w:rPr>
        <w:t xml:space="preserve"> copy</w:t>
      </w:r>
      <w:r>
        <w:rPr>
          <w:rFonts w:ascii="Book Antiqua" w:hAnsi="Book Antiqua" w:cs="Arial"/>
        </w:rPr>
        <w:t xml:space="preserve"> record of interview on his file.  </w:t>
      </w:r>
    </w:p>
    <w:p w:rsidR="006D575F" w:rsidRDefault="006D575F" w:rsidP="00E943B7">
      <w:pPr>
        <w:numPr>
          <w:ilvl w:val="0"/>
          <w:numId w:val="3"/>
        </w:numPr>
        <w:spacing w:before="240"/>
        <w:jc w:val="both"/>
        <w:rPr>
          <w:rFonts w:ascii="Book Antiqua" w:hAnsi="Book Antiqua" w:cs="Arial"/>
        </w:rPr>
      </w:pPr>
      <w:r>
        <w:rPr>
          <w:rFonts w:ascii="Book Antiqua" w:hAnsi="Book Antiqua" w:cs="Arial"/>
        </w:rPr>
        <w:t>Having</w:t>
      </w:r>
      <w:r w:rsidR="0081356A">
        <w:rPr>
          <w:rFonts w:ascii="Book Antiqua" w:hAnsi="Book Antiqua" w:cs="Arial"/>
        </w:rPr>
        <w:t xml:space="preserve"> had </w:t>
      </w:r>
      <w:r>
        <w:rPr>
          <w:rFonts w:ascii="Book Antiqua" w:hAnsi="Book Antiqua" w:cs="Arial"/>
        </w:rPr>
        <w:t xml:space="preserve">sight of the record of interview, Ms </w:t>
      </w:r>
      <w:proofErr w:type="spellStart"/>
      <w:r w:rsidR="003223C9">
        <w:rPr>
          <w:rFonts w:ascii="Book Antiqua" w:hAnsi="Book Antiqua" w:cs="Arial"/>
        </w:rPr>
        <w:t>Bassiri</w:t>
      </w:r>
      <w:r>
        <w:rPr>
          <w:rFonts w:ascii="Book Antiqua" w:hAnsi="Book Antiqua" w:cs="Arial"/>
        </w:rPr>
        <w:t>-Dezfo</w:t>
      </w:r>
      <w:r w:rsidR="0081356A">
        <w:rPr>
          <w:rFonts w:ascii="Book Antiqua" w:hAnsi="Book Antiqua" w:cs="Arial"/>
        </w:rPr>
        <w:t>uli</w:t>
      </w:r>
      <w:proofErr w:type="spellEnd"/>
      <w:r w:rsidR="0081356A">
        <w:rPr>
          <w:rFonts w:ascii="Book Antiqua" w:hAnsi="Book Antiqua" w:cs="Arial"/>
        </w:rPr>
        <w:t xml:space="preserve"> made short submissions.</w:t>
      </w:r>
      <w:r w:rsidR="0006411D">
        <w:rPr>
          <w:rFonts w:ascii="Book Antiqua" w:hAnsi="Book Antiqua" w:cs="Arial"/>
        </w:rPr>
        <w:t xml:space="preserve"> </w:t>
      </w:r>
      <w:r w:rsidR="0081356A">
        <w:rPr>
          <w:rFonts w:ascii="Book Antiqua" w:hAnsi="Book Antiqua" w:cs="Arial"/>
        </w:rPr>
        <w:t xml:space="preserve"> Those</w:t>
      </w:r>
      <w:r>
        <w:rPr>
          <w:rFonts w:ascii="Book Antiqua" w:hAnsi="Book Antiqua" w:cs="Arial"/>
        </w:rPr>
        <w:t xml:space="preserve"> submissions encompass</w:t>
      </w:r>
      <w:r w:rsidR="0006411D">
        <w:rPr>
          <w:rFonts w:ascii="Book Antiqua" w:hAnsi="Book Antiqua" w:cs="Arial"/>
        </w:rPr>
        <w:t>ed</w:t>
      </w:r>
      <w:r>
        <w:rPr>
          <w:rFonts w:ascii="Book Antiqua" w:hAnsi="Book Antiqua" w:cs="Arial"/>
        </w:rPr>
        <w:t xml:space="preserve"> both issues raised by the </w:t>
      </w:r>
      <w:r w:rsidR="003223C9">
        <w:rPr>
          <w:rFonts w:ascii="Book Antiqua" w:hAnsi="Book Antiqua" w:cs="Arial"/>
        </w:rPr>
        <w:t>Respondent</w:t>
      </w:r>
      <w:r>
        <w:rPr>
          <w:rFonts w:ascii="Book Antiqua" w:hAnsi="Book Antiqua" w:cs="Arial"/>
        </w:rPr>
        <w:t xml:space="preserve"> in the grounds seeking permission.  </w:t>
      </w:r>
    </w:p>
    <w:p w:rsidR="009E7921" w:rsidRDefault="00040F02" w:rsidP="00E943B7">
      <w:pPr>
        <w:numPr>
          <w:ilvl w:val="0"/>
          <w:numId w:val="3"/>
        </w:numPr>
        <w:spacing w:before="240"/>
        <w:jc w:val="both"/>
        <w:rPr>
          <w:rFonts w:ascii="Book Antiqua" w:hAnsi="Book Antiqua" w:cs="Arial"/>
        </w:rPr>
      </w:pPr>
      <w:proofErr w:type="gramStart"/>
      <w:r>
        <w:rPr>
          <w:rFonts w:ascii="Book Antiqua" w:hAnsi="Book Antiqua" w:cs="Arial"/>
        </w:rPr>
        <w:t>Firstly</w:t>
      </w:r>
      <w:proofErr w:type="gramEnd"/>
      <w:r w:rsidR="009E7921">
        <w:rPr>
          <w:rFonts w:ascii="Book Antiqua" w:hAnsi="Book Antiqua" w:cs="Arial"/>
        </w:rPr>
        <w:t xml:space="preserve"> she said</w:t>
      </w:r>
      <w:r w:rsidR="006D575F">
        <w:rPr>
          <w:rFonts w:ascii="Book Antiqua" w:hAnsi="Book Antiqua" w:cs="Arial"/>
        </w:rPr>
        <w:t>,</w:t>
      </w:r>
      <w:r w:rsidR="009E7921">
        <w:rPr>
          <w:rFonts w:ascii="Book Antiqua" w:hAnsi="Book Antiqua" w:cs="Arial"/>
        </w:rPr>
        <w:t xml:space="preserve"> the Ft</w:t>
      </w:r>
      <w:r w:rsidR="006D575F">
        <w:rPr>
          <w:rFonts w:ascii="Book Antiqua" w:hAnsi="Book Antiqua" w:cs="Arial"/>
        </w:rPr>
        <w:t xml:space="preserve">TJ had dealt with all the evidence placed before him.  She invited me to look at [11] of the </w:t>
      </w:r>
      <w:r w:rsidR="009E7921">
        <w:rPr>
          <w:rFonts w:ascii="Book Antiqua" w:hAnsi="Book Antiqua" w:cs="Arial"/>
        </w:rPr>
        <w:t xml:space="preserve">judge’s decision. </w:t>
      </w:r>
      <w:r w:rsidR="0006411D">
        <w:rPr>
          <w:rFonts w:ascii="Book Antiqua" w:hAnsi="Book Antiqua" w:cs="Arial"/>
        </w:rPr>
        <w:t xml:space="preserve"> </w:t>
      </w:r>
      <w:r w:rsidR="009E7921">
        <w:rPr>
          <w:rFonts w:ascii="Book Antiqua" w:hAnsi="Book Antiqua" w:cs="Arial"/>
        </w:rPr>
        <w:t>That paragraph</w:t>
      </w:r>
      <w:r w:rsidR="006D575F">
        <w:rPr>
          <w:rFonts w:ascii="Book Antiqua" w:hAnsi="Book Antiqua" w:cs="Arial"/>
        </w:rPr>
        <w:t xml:space="preserve"> had to be read in conjunction with the Res</w:t>
      </w:r>
      <w:r w:rsidR="009E7921">
        <w:rPr>
          <w:rFonts w:ascii="Book Antiqua" w:hAnsi="Book Antiqua" w:cs="Arial"/>
        </w:rPr>
        <w:t xml:space="preserve">pondent’s refusal decision. </w:t>
      </w:r>
      <w:r w:rsidR="0006411D">
        <w:rPr>
          <w:rFonts w:ascii="Book Antiqua" w:hAnsi="Book Antiqua" w:cs="Arial"/>
        </w:rPr>
        <w:t xml:space="preserve"> </w:t>
      </w:r>
      <w:r w:rsidR="009E7921">
        <w:rPr>
          <w:rFonts w:ascii="Book Antiqua" w:hAnsi="Book Antiqua" w:cs="Arial"/>
        </w:rPr>
        <w:t>T</w:t>
      </w:r>
      <w:r w:rsidR="006D575F">
        <w:rPr>
          <w:rFonts w:ascii="Book Antiqua" w:hAnsi="Book Antiqua" w:cs="Arial"/>
        </w:rPr>
        <w:t>he reasons for refusal letter highlight</w:t>
      </w:r>
      <w:r w:rsidR="0006411D">
        <w:rPr>
          <w:rFonts w:ascii="Book Antiqua" w:hAnsi="Book Antiqua" w:cs="Arial"/>
        </w:rPr>
        <w:t>ed</w:t>
      </w:r>
      <w:r w:rsidR="009E7921">
        <w:rPr>
          <w:rFonts w:ascii="Book Antiqua" w:hAnsi="Book Antiqua" w:cs="Arial"/>
        </w:rPr>
        <w:t xml:space="preserve"> only</w:t>
      </w:r>
      <w:r w:rsidR="006D575F">
        <w:rPr>
          <w:rFonts w:ascii="Book Antiqua" w:hAnsi="Book Antiqua" w:cs="Arial"/>
        </w:rPr>
        <w:t xml:space="preserve"> one discrepancy</w:t>
      </w:r>
      <w:r w:rsidR="009E7921">
        <w:rPr>
          <w:rFonts w:ascii="Book Antiqua" w:hAnsi="Book Antiqua" w:cs="Arial"/>
        </w:rPr>
        <w:t xml:space="preserve"> concerning</w:t>
      </w:r>
      <w:r w:rsidR="006D575F">
        <w:rPr>
          <w:rFonts w:ascii="Book Antiqua" w:hAnsi="Book Antiqua" w:cs="Arial"/>
        </w:rPr>
        <w:t xml:space="preserve"> the answers given by the Sponsor in</w:t>
      </w:r>
      <w:r w:rsidR="009E7921">
        <w:rPr>
          <w:rFonts w:ascii="Book Antiqua" w:hAnsi="Book Antiqua" w:cs="Arial"/>
        </w:rPr>
        <w:t xml:space="preserve"> her interview when compared to </w:t>
      </w:r>
      <w:r w:rsidR="006D575F">
        <w:rPr>
          <w:rFonts w:ascii="Book Antiqua" w:hAnsi="Book Antiqua" w:cs="Arial"/>
        </w:rPr>
        <w:t xml:space="preserve">the </w:t>
      </w:r>
      <w:r w:rsidR="009E7921">
        <w:rPr>
          <w:rFonts w:ascii="Book Antiqua" w:hAnsi="Book Antiqua" w:cs="Arial"/>
        </w:rPr>
        <w:t>information given by the Appellant</w:t>
      </w:r>
      <w:r w:rsidR="006D575F">
        <w:rPr>
          <w:rFonts w:ascii="Book Antiqua" w:hAnsi="Book Antiqua" w:cs="Arial"/>
        </w:rPr>
        <w:t xml:space="preserve"> in his application letter. </w:t>
      </w:r>
    </w:p>
    <w:p w:rsidR="005676D9" w:rsidRDefault="006D575F" w:rsidP="00E943B7">
      <w:pPr>
        <w:numPr>
          <w:ilvl w:val="0"/>
          <w:numId w:val="3"/>
        </w:numPr>
        <w:spacing w:before="240"/>
        <w:jc w:val="both"/>
        <w:rPr>
          <w:rFonts w:ascii="Book Antiqua" w:hAnsi="Book Antiqua" w:cs="Arial"/>
        </w:rPr>
      </w:pPr>
      <w:r>
        <w:rPr>
          <w:rFonts w:ascii="Book Antiqua" w:hAnsi="Book Antiqua" w:cs="Arial"/>
        </w:rPr>
        <w:t xml:space="preserve">The Respondent asserted that the discrepant evidence amounted to the Appellant </w:t>
      </w:r>
      <w:r w:rsidR="00CD49EB">
        <w:rPr>
          <w:rFonts w:ascii="Book Antiqua" w:hAnsi="Book Antiqua" w:cs="Arial"/>
        </w:rPr>
        <w:t>saying that he and his Sponsor first met in January 2015 whereas she</w:t>
      </w:r>
      <w:r w:rsidR="009E7921">
        <w:rPr>
          <w:rFonts w:ascii="Book Antiqua" w:hAnsi="Book Antiqua" w:cs="Arial"/>
        </w:rPr>
        <w:t xml:space="preserve"> had</w:t>
      </w:r>
      <w:r w:rsidR="00CD49EB">
        <w:rPr>
          <w:rFonts w:ascii="Book Antiqua" w:hAnsi="Book Antiqua" w:cs="Arial"/>
        </w:rPr>
        <w:t xml:space="preserve"> said they met ten months </w:t>
      </w:r>
      <w:r w:rsidR="0006411D">
        <w:rPr>
          <w:rFonts w:ascii="Book Antiqua" w:hAnsi="Book Antiqua" w:cs="Arial"/>
        </w:rPr>
        <w:t>earlier</w:t>
      </w:r>
      <w:r w:rsidR="00CD49EB">
        <w:rPr>
          <w:rFonts w:ascii="Book Antiqua" w:hAnsi="Book Antiqua" w:cs="Arial"/>
        </w:rPr>
        <w:t xml:space="preserve"> in March 2014.</w:t>
      </w:r>
      <w:r w:rsidR="009E7921">
        <w:rPr>
          <w:rFonts w:ascii="Book Antiqua" w:hAnsi="Book Antiqua" w:cs="Arial"/>
        </w:rPr>
        <w:t xml:space="preserve"> </w:t>
      </w:r>
      <w:r w:rsidR="0006411D">
        <w:rPr>
          <w:rFonts w:ascii="Book Antiqua" w:hAnsi="Book Antiqua" w:cs="Arial"/>
        </w:rPr>
        <w:t xml:space="preserve"> </w:t>
      </w:r>
      <w:r w:rsidR="009C16A1">
        <w:rPr>
          <w:rFonts w:ascii="Book Antiqua" w:hAnsi="Book Antiqua" w:cs="Arial"/>
        </w:rPr>
        <w:t>She contended that t</w:t>
      </w:r>
      <w:r w:rsidR="009E7921">
        <w:rPr>
          <w:rFonts w:ascii="Book Antiqua" w:hAnsi="Book Antiqua" w:cs="Arial"/>
        </w:rPr>
        <w:t>h</w:t>
      </w:r>
      <w:r w:rsidR="009C16A1">
        <w:rPr>
          <w:rFonts w:ascii="Book Antiqua" w:hAnsi="Book Antiqua" w:cs="Arial"/>
        </w:rPr>
        <w:t>i</w:t>
      </w:r>
      <w:r w:rsidR="009E7921">
        <w:rPr>
          <w:rFonts w:ascii="Book Antiqua" w:hAnsi="Book Antiqua" w:cs="Arial"/>
        </w:rPr>
        <w:t>s assertion was incorrect.</w:t>
      </w:r>
      <w:r w:rsidR="0006411D">
        <w:rPr>
          <w:rFonts w:ascii="Book Antiqua" w:hAnsi="Book Antiqua" w:cs="Arial"/>
        </w:rPr>
        <w:t xml:space="preserve"> </w:t>
      </w:r>
      <w:r w:rsidR="009E7921">
        <w:rPr>
          <w:rFonts w:ascii="Book Antiqua" w:hAnsi="Book Antiqua" w:cs="Arial"/>
        </w:rPr>
        <w:t xml:space="preserve"> A</w:t>
      </w:r>
      <w:r w:rsidR="00CD49EB">
        <w:rPr>
          <w:rFonts w:ascii="Book Antiqua" w:hAnsi="Book Antiqua" w:cs="Arial"/>
        </w:rPr>
        <w:t xml:space="preserve"> perusal of the Sponsor’s interview record showed that</w:t>
      </w:r>
      <w:r w:rsidR="009E7921">
        <w:rPr>
          <w:rFonts w:ascii="Book Antiqua" w:hAnsi="Book Antiqua" w:cs="Arial"/>
        </w:rPr>
        <w:t xml:space="preserve"> nowhere did</w:t>
      </w:r>
      <w:r w:rsidR="005676D9">
        <w:rPr>
          <w:rFonts w:ascii="Book Antiqua" w:hAnsi="Book Antiqua" w:cs="Arial"/>
        </w:rPr>
        <w:t xml:space="preserve"> she</w:t>
      </w:r>
      <w:r w:rsidR="00CD49EB">
        <w:rPr>
          <w:rFonts w:ascii="Book Antiqua" w:hAnsi="Book Antiqua" w:cs="Arial"/>
        </w:rPr>
        <w:t xml:space="preserve"> say that she and the Appellant first </w:t>
      </w:r>
      <w:r w:rsidR="005676D9">
        <w:rPr>
          <w:rFonts w:ascii="Book Antiqua" w:hAnsi="Book Antiqua" w:cs="Arial"/>
        </w:rPr>
        <w:t>met in March 2014.  W</w:t>
      </w:r>
      <w:r w:rsidR="00CD49EB">
        <w:rPr>
          <w:rFonts w:ascii="Book Antiqua" w:hAnsi="Book Antiqua" w:cs="Arial"/>
        </w:rPr>
        <w:t>hat she sa</w:t>
      </w:r>
      <w:r w:rsidR="009C16A1">
        <w:rPr>
          <w:rFonts w:ascii="Book Antiqua" w:hAnsi="Book Antiqua" w:cs="Arial"/>
        </w:rPr>
        <w:t>id was</w:t>
      </w:r>
      <w:r w:rsidR="00CD49EB">
        <w:rPr>
          <w:rFonts w:ascii="Book Antiqua" w:hAnsi="Book Antiqua" w:cs="Arial"/>
        </w:rPr>
        <w:t xml:space="preserve"> that she came to the United Kingdom i</w:t>
      </w:r>
      <w:r w:rsidR="005676D9">
        <w:rPr>
          <w:rFonts w:ascii="Book Antiqua" w:hAnsi="Book Antiqua" w:cs="Arial"/>
        </w:rPr>
        <w:t xml:space="preserve">n March 2014 [question 82]. </w:t>
      </w:r>
    </w:p>
    <w:p w:rsidR="00CD49EB" w:rsidRPr="005676D9" w:rsidRDefault="005676D9" w:rsidP="005676D9">
      <w:pPr>
        <w:numPr>
          <w:ilvl w:val="0"/>
          <w:numId w:val="3"/>
        </w:numPr>
        <w:spacing w:before="240"/>
        <w:jc w:val="both"/>
        <w:rPr>
          <w:rFonts w:ascii="Book Antiqua" w:hAnsi="Book Antiqua" w:cs="Arial"/>
        </w:rPr>
      </w:pPr>
      <w:r>
        <w:rPr>
          <w:rFonts w:ascii="Book Antiqua" w:hAnsi="Book Antiqua" w:cs="Arial"/>
        </w:rPr>
        <w:t xml:space="preserve">Referring back to the </w:t>
      </w:r>
      <w:proofErr w:type="spellStart"/>
      <w:r>
        <w:rPr>
          <w:rFonts w:ascii="Book Antiqua" w:hAnsi="Book Antiqua" w:cs="Arial"/>
        </w:rPr>
        <w:t>FtTJ’s</w:t>
      </w:r>
      <w:proofErr w:type="spellEnd"/>
      <w:r>
        <w:rPr>
          <w:rFonts w:ascii="Book Antiqua" w:hAnsi="Book Antiqua" w:cs="Arial"/>
        </w:rPr>
        <w:t xml:space="preserve"> findings at [11]</w:t>
      </w:r>
      <w:r w:rsidR="009C16A1">
        <w:rPr>
          <w:rFonts w:ascii="Book Antiqua" w:hAnsi="Book Antiqua" w:cs="Arial"/>
        </w:rPr>
        <w:t>,</w:t>
      </w:r>
      <w:r>
        <w:rPr>
          <w:rFonts w:ascii="Book Antiqua" w:hAnsi="Book Antiqua" w:cs="Arial"/>
        </w:rPr>
        <w:t xml:space="preserve"> this is precisely the point which the judge covers. It is clear that reasonable suspicion cannot be raised on a misapprehension of the evidence.</w:t>
      </w:r>
      <w:r w:rsidR="00167B08">
        <w:rPr>
          <w:rFonts w:ascii="Book Antiqua" w:hAnsi="Book Antiqua" w:cs="Arial"/>
        </w:rPr>
        <w:t xml:space="preserve">  </w:t>
      </w:r>
      <w:r w:rsidR="00CD49EB" w:rsidRPr="005676D9">
        <w:rPr>
          <w:rFonts w:ascii="Book Antiqua" w:hAnsi="Book Antiqua" w:cs="Arial"/>
        </w:rPr>
        <w:t>The judge also noted that the interview</w:t>
      </w:r>
      <w:r>
        <w:rPr>
          <w:rFonts w:ascii="Book Antiqua" w:hAnsi="Book Antiqua" w:cs="Arial"/>
        </w:rPr>
        <w:t xml:space="preserve"> process </w:t>
      </w:r>
      <w:r w:rsidR="00CD49EB" w:rsidRPr="005676D9">
        <w:rPr>
          <w:rFonts w:ascii="Book Antiqua" w:hAnsi="Book Antiqua" w:cs="Arial"/>
        </w:rPr>
        <w:t>itself was unfair</w:t>
      </w:r>
      <w:r>
        <w:rPr>
          <w:rFonts w:ascii="Book Antiqua" w:hAnsi="Book Antiqua" w:cs="Arial"/>
        </w:rPr>
        <w:t xml:space="preserve">. </w:t>
      </w:r>
      <w:r w:rsidR="009C16A1">
        <w:rPr>
          <w:rFonts w:ascii="Book Antiqua" w:hAnsi="Book Antiqua" w:cs="Arial"/>
        </w:rPr>
        <w:t xml:space="preserve"> </w:t>
      </w:r>
      <w:r>
        <w:rPr>
          <w:rFonts w:ascii="Book Antiqua" w:hAnsi="Book Antiqua" w:cs="Arial"/>
        </w:rPr>
        <w:t>I</w:t>
      </w:r>
      <w:r w:rsidR="00CD49EB" w:rsidRPr="005676D9">
        <w:rPr>
          <w:rFonts w:ascii="Book Antiqua" w:hAnsi="Book Antiqua" w:cs="Arial"/>
        </w:rPr>
        <w:t>t was clear that the Sponsor</w:t>
      </w:r>
      <w:r>
        <w:rPr>
          <w:rFonts w:ascii="Book Antiqua" w:hAnsi="Book Antiqua" w:cs="Arial"/>
        </w:rPr>
        <w:t xml:space="preserve"> became unwell during the process.</w:t>
      </w:r>
      <w:r w:rsidR="00CD49EB" w:rsidRPr="005676D9">
        <w:rPr>
          <w:rFonts w:ascii="Book Antiqua" w:hAnsi="Book Antiqua" w:cs="Arial"/>
        </w:rPr>
        <w:t xml:space="preserve">  The interview </w:t>
      </w:r>
      <w:r w:rsidR="009C16A1">
        <w:rPr>
          <w:rFonts w:ascii="Book Antiqua" w:hAnsi="Book Antiqua" w:cs="Arial"/>
        </w:rPr>
        <w:t>w</w:t>
      </w:r>
      <w:r w:rsidR="00CD49EB" w:rsidRPr="005676D9">
        <w:rPr>
          <w:rFonts w:ascii="Book Antiqua" w:hAnsi="Book Antiqua" w:cs="Arial"/>
        </w:rPr>
        <w:t>as terminated but no further interview was offered</w:t>
      </w:r>
      <w:r>
        <w:rPr>
          <w:rFonts w:ascii="Book Antiqua" w:hAnsi="Book Antiqua" w:cs="Arial"/>
        </w:rPr>
        <w:t xml:space="preserve">. </w:t>
      </w:r>
      <w:r w:rsidR="009C16A1">
        <w:rPr>
          <w:rFonts w:ascii="Book Antiqua" w:hAnsi="Book Antiqua" w:cs="Arial"/>
        </w:rPr>
        <w:t xml:space="preserve"> </w:t>
      </w:r>
      <w:r>
        <w:rPr>
          <w:rFonts w:ascii="Book Antiqua" w:hAnsi="Book Antiqua" w:cs="Arial"/>
        </w:rPr>
        <w:t xml:space="preserve">Therefore the other </w:t>
      </w:r>
      <w:r w:rsidR="009C16A1">
        <w:rPr>
          <w:rFonts w:ascii="Book Antiqua" w:hAnsi="Book Antiqua" w:cs="Arial"/>
        </w:rPr>
        <w:t xml:space="preserve">two </w:t>
      </w:r>
      <w:r>
        <w:rPr>
          <w:rFonts w:ascii="Book Antiqua" w:hAnsi="Book Antiqua" w:cs="Arial"/>
        </w:rPr>
        <w:t>factors which the Respondent raised a</w:t>
      </w:r>
      <w:r w:rsidR="009C16A1">
        <w:rPr>
          <w:rFonts w:ascii="Book Antiqua" w:hAnsi="Book Antiqua" w:cs="Arial"/>
        </w:rPr>
        <w:t>s</w:t>
      </w:r>
      <w:r>
        <w:rPr>
          <w:rFonts w:ascii="Book Antiqua" w:hAnsi="Book Antiqua" w:cs="Arial"/>
        </w:rPr>
        <w:t xml:space="preserve"> </w:t>
      </w:r>
      <w:r w:rsidR="009C16A1">
        <w:rPr>
          <w:rFonts w:ascii="Book Antiqua" w:hAnsi="Book Antiqua" w:cs="Arial"/>
        </w:rPr>
        <w:t xml:space="preserve">evidence of </w:t>
      </w:r>
      <w:r>
        <w:rPr>
          <w:rFonts w:ascii="Book Antiqua" w:hAnsi="Book Antiqua" w:cs="Arial"/>
        </w:rPr>
        <w:t>reasonable suspicion</w:t>
      </w:r>
      <w:r w:rsidR="009C16A1">
        <w:rPr>
          <w:rFonts w:ascii="Book Antiqua" w:hAnsi="Book Antiqua" w:cs="Arial"/>
        </w:rPr>
        <w:t>,</w:t>
      </w:r>
      <w:r>
        <w:rPr>
          <w:rFonts w:ascii="Book Antiqua" w:hAnsi="Book Antiqua" w:cs="Arial"/>
        </w:rPr>
        <w:t xml:space="preserve"> namely the speed at </w:t>
      </w:r>
      <w:r>
        <w:rPr>
          <w:rFonts w:ascii="Book Antiqua" w:hAnsi="Book Antiqua" w:cs="Arial"/>
        </w:rPr>
        <w:lastRenderedPageBreak/>
        <w:t>which the parties</w:t>
      </w:r>
      <w:r w:rsidR="00B2327A">
        <w:rPr>
          <w:rFonts w:ascii="Book Antiqua" w:hAnsi="Book Antiqua" w:cs="Arial"/>
        </w:rPr>
        <w:t xml:space="preserve"> moved in together and</w:t>
      </w:r>
      <w:r>
        <w:rPr>
          <w:rFonts w:ascii="Book Antiqua" w:hAnsi="Book Antiqua" w:cs="Arial"/>
        </w:rPr>
        <w:t xml:space="preserve"> </w:t>
      </w:r>
      <w:r w:rsidR="009C16A1">
        <w:rPr>
          <w:rFonts w:ascii="Book Antiqua" w:hAnsi="Book Antiqua" w:cs="Arial"/>
        </w:rPr>
        <w:t xml:space="preserve">at which they </w:t>
      </w:r>
      <w:r>
        <w:rPr>
          <w:rFonts w:ascii="Book Antiqua" w:hAnsi="Book Antiqua" w:cs="Arial"/>
        </w:rPr>
        <w:t>married after</w:t>
      </w:r>
      <w:r w:rsidR="00B2327A">
        <w:rPr>
          <w:rFonts w:ascii="Book Antiqua" w:hAnsi="Book Antiqua" w:cs="Arial"/>
        </w:rPr>
        <w:t xml:space="preserve"> their first meeting</w:t>
      </w:r>
      <w:r w:rsidR="009C16A1">
        <w:rPr>
          <w:rFonts w:ascii="Book Antiqua" w:hAnsi="Book Antiqua" w:cs="Arial"/>
        </w:rPr>
        <w:t>,</w:t>
      </w:r>
      <w:r>
        <w:rPr>
          <w:rFonts w:ascii="Book Antiqua" w:hAnsi="Book Antiqua" w:cs="Arial"/>
        </w:rPr>
        <w:t xml:space="preserve"> ha</w:t>
      </w:r>
      <w:r w:rsidR="009C16A1">
        <w:rPr>
          <w:rFonts w:ascii="Book Antiqua" w:hAnsi="Book Antiqua" w:cs="Arial"/>
        </w:rPr>
        <w:t>d</w:t>
      </w:r>
      <w:r>
        <w:rPr>
          <w:rFonts w:ascii="Book Antiqua" w:hAnsi="Book Antiqua" w:cs="Arial"/>
        </w:rPr>
        <w:t xml:space="preserve"> never properly been</w:t>
      </w:r>
      <w:r w:rsidR="00B2327A">
        <w:rPr>
          <w:rFonts w:ascii="Book Antiqua" w:hAnsi="Book Antiqua" w:cs="Arial"/>
        </w:rPr>
        <w:t xml:space="preserve"> </w:t>
      </w:r>
      <w:r>
        <w:rPr>
          <w:rFonts w:ascii="Book Antiqua" w:hAnsi="Book Antiqua" w:cs="Arial"/>
        </w:rPr>
        <w:t>put to either the Appellant or the Sponsor.</w:t>
      </w:r>
      <w:r w:rsidR="00CD49EB" w:rsidRPr="005676D9">
        <w:rPr>
          <w:rFonts w:ascii="Book Antiqua" w:hAnsi="Book Antiqua" w:cs="Arial"/>
        </w:rPr>
        <w:t xml:space="preserve"> </w:t>
      </w:r>
    </w:p>
    <w:p w:rsidR="0086728F" w:rsidRPr="00B2327A" w:rsidRDefault="00CD49EB" w:rsidP="00B2327A">
      <w:pPr>
        <w:numPr>
          <w:ilvl w:val="0"/>
          <w:numId w:val="3"/>
        </w:numPr>
        <w:spacing w:before="240"/>
        <w:jc w:val="both"/>
        <w:rPr>
          <w:rFonts w:ascii="Book Antiqua" w:hAnsi="Book Antiqua" w:cs="Arial"/>
        </w:rPr>
      </w:pPr>
      <w:r>
        <w:rPr>
          <w:rFonts w:ascii="Book Antiqua" w:hAnsi="Book Antiqua" w:cs="Arial"/>
        </w:rPr>
        <w:t>In these circumstances,</w:t>
      </w:r>
      <w:r w:rsidR="00B2327A">
        <w:rPr>
          <w:rFonts w:ascii="Book Antiqua" w:hAnsi="Book Antiqua" w:cs="Arial"/>
        </w:rPr>
        <w:t xml:space="preserve"> the criticism made of the judge for</w:t>
      </w:r>
      <w:r>
        <w:rPr>
          <w:rFonts w:ascii="Book Antiqua" w:hAnsi="Book Antiqua" w:cs="Arial"/>
        </w:rPr>
        <w:t xml:space="preserve"> failing to consider whether the information produced by the Respondent was sufficient to raise a reasonable suspicion in respect of the ma</w:t>
      </w:r>
      <w:r w:rsidR="00B2327A">
        <w:rPr>
          <w:rFonts w:ascii="Book Antiqua" w:hAnsi="Book Antiqua" w:cs="Arial"/>
        </w:rPr>
        <w:t>rriage being one of convenience is not made out.</w:t>
      </w:r>
      <w:r>
        <w:rPr>
          <w:rFonts w:ascii="Book Antiqua" w:hAnsi="Book Antiqua" w:cs="Arial"/>
        </w:rPr>
        <w:t xml:space="preserve"> A reading of the decision shows that it is clear that the</w:t>
      </w:r>
      <w:r w:rsidR="00B2327A">
        <w:rPr>
          <w:rFonts w:ascii="Book Antiqua" w:hAnsi="Book Antiqua" w:cs="Arial"/>
        </w:rPr>
        <w:t xml:space="preserve"> judge considered that the</w:t>
      </w:r>
      <w:r>
        <w:rPr>
          <w:rFonts w:ascii="Book Antiqua" w:hAnsi="Book Antiqua" w:cs="Arial"/>
        </w:rPr>
        <w:t xml:space="preserve"> Respondent’s decision was based on a misapprehension of the </w:t>
      </w:r>
      <w:r w:rsidR="0086728F">
        <w:rPr>
          <w:rFonts w:ascii="Book Antiqua" w:hAnsi="Book Antiqua" w:cs="Arial"/>
        </w:rPr>
        <w:t>fact</w:t>
      </w:r>
      <w:r w:rsidR="00B2327A">
        <w:rPr>
          <w:rFonts w:ascii="Book Antiqua" w:hAnsi="Book Antiqua" w:cs="Arial"/>
        </w:rPr>
        <w:t>s.  Therefore</w:t>
      </w:r>
      <w:r w:rsidR="0086728F">
        <w:rPr>
          <w:rFonts w:ascii="Book Antiqua" w:hAnsi="Book Antiqua" w:cs="Arial"/>
        </w:rPr>
        <w:t xml:space="preserve"> the evidential burden did not shift to the Appellant to show that the marriage was genuine.  The burden remained with the Respondent to show that the marriage was one of convenience.  </w:t>
      </w:r>
      <w:r w:rsidR="0086728F" w:rsidRPr="00B2327A">
        <w:rPr>
          <w:rFonts w:ascii="Book Antiqua" w:hAnsi="Book Antiqua" w:cs="Arial"/>
        </w:rPr>
        <w:t xml:space="preserve"> </w:t>
      </w:r>
    </w:p>
    <w:p w:rsidR="0086728F" w:rsidRPr="0086728F" w:rsidRDefault="0086728F" w:rsidP="0086728F">
      <w:pPr>
        <w:spacing w:before="240"/>
        <w:jc w:val="both"/>
        <w:rPr>
          <w:rFonts w:ascii="Book Antiqua" w:hAnsi="Book Antiqua" w:cs="Arial"/>
          <w:b/>
          <w:u w:val="single"/>
        </w:rPr>
      </w:pPr>
      <w:r w:rsidRPr="0086728F">
        <w:rPr>
          <w:rFonts w:ascii="Book Antiqua" w:hAnsi="Book Antiqua" w:cs="Arial"/>
          <w:b/>
          <w:u w:val="single"/>
        </w:rPr>
        <w:t>Consideration</w:t>
      </w:r>
    </w:p>
    <w:p w:rsidR="0086728F" w:rsidRDefault="0086728F" w:rsidP="00E943B7">
      <w:pPr>
        <w:numPr>
          <w:ilvl w:val="0"/>
          <w:numId w:val="3"/>
        </w:numPr>
        <w:spacing w:before="240"/>
        <w:jc w:val="both"/>
        <w:rPr>
          <w:rFonts w:ascii="Book Antiqua" w:hAnsi="Book Antiqua" w:cs="Arial"/>
        </w:rPr>
      </w:pPr>
      <w:r>
        <w:rPr>
          <w:rFonts w:ascii="Book Antiqua" w:hAnsi="Book Antiqua" w:cs="Arial"/>
        </w:rPr>
        <w:t xml:space="preserve">I find force in Ms </w:t>
      </w:r>
      <w:proofErr w:type="spellStart"/>
      <w:r w:rsidR="003223C9">
        <w:rPr>
          <w:rFonts w:ascii="Book Antiqua" w:hAnsi="Book Antiqua" w:cs="Arial"/>
        </w:rPr>
        <w:t>Bassiri</w:t>
      </w:r>
      <w:r>
        <w:rPr>
          <w:rFonts w:ascii="Book Antiqua" w:hAnsi="Book Antiqua" w:cs="Arial"/>
        </w:rPr>
        <w:t>-Dezfouli’s</w:t>
      </w:r>
      <w:proofErr w:type="spellEnd"/>
      <w:r>
        <w:rPr>
          <w:rFonts w:ascii="Book Antiqua" w:hAnsi="Book Antiqua" w:cs="Arial"/>
        </w:rPr>
        <w:t xml:space="preserve"> submissions.  I find I am satisfied that the Respondent’s decision was based on a misapprehension of the facts regard</w:t>
      </w:r>
      <w:r w:rsidR="009C16A1">
        <w:rPr>
          <w:rFonts w:ascii="Book Antiqua" w:hAnsi="Book Antiqua" w:cs="Arial"/>
        </w:rPr>
        <w:t>ing</w:t>
      </w:r>
      <w:r>
        <w:rPr>
          <w:rFonts w:ascii="Book Antiqua" w:hAnsi="Book Antiqua" w:cs="Arial"/>
        </w:rPr>
        <w:t xml:space="preserve"> the date when the Appellant and Sponsor first met.  A reading of the Sponsor’s interview notes shows that the judge was correct to find as he did at [11].  </w:t>
      </w:r>
    </w:p>
    <w:p w:rsidR="0086728F" w:rsidRDefault="0086728F" w:rsidP="00E943B7">
      <w:pPr>
        <w:numPr>
          <w:ilvl w:val="0"/>
          <w:numId w:val="3"/>
        </w:numPr>
        <w:spacing w:before="240"/>
        <w:jc w:val="both"/>
        <w:rPr>
          <w:rFonts w:ascii="Book Antiqua" w:hAnsi="Book Antiqua" w:cs="Arial"/>
        </w:rPr>
      </w:pPr>
      <w:r>
        <w:rPr>
          <w:rFonts w:ascii="Book Antiqua" w:hAnsi="Book Antiqua" w:cs="Arial"/>
        </w:rPr>
        <w:t xml:space="preserve">I also find that it was open to the judge to find that it was unfair to characterise the Sponsor’s conduct at the interview as </w:t>
      </w:r>
      <w:r w:rsidR="003223C9">
        <w:rPr>
          <w:rFonts w:ascii="Book Antiqua" w:hAnsi="Book Antiqua" w:cs="Arial"/>
        </w:rPr>
        <w:t>agitated</w:t>
      </w:r>
      <w:r>
        <w:rPr>
          <w:rFonts w:ascii="Book Antiqua" w:hAnsi="Book Antiqua" w:cs="Arial"/>
        </w:rPr>
        <w:t>, when there was evidence that she had visited the doctor a week ear</w:t>
      </w:r>
      <w:r w:rsidR="00C7494E">
        <w:rPr>
          <w:rFonts w:ascii="Book Antiqua" w:hAnsi="Book Antiqua" w:cs="Arial"/>
        </w:rPr>
        <w:t xml:space="preserve">lier for </w:t>
      </w:r>
      <w:r w:rsidR="009F6720">
        <w:rPr>
          <w:rFonts w:ascii="Book Antiqua" w:hAnsi="Book Antiqua" w:cs="Arial"/>
        </w:rPr>
        <w:t>a</w:t>
      </w:r>
      <w:r w:rsidR="00C7494E">
        <w:rPr>
          <w:rFonts w:ascii="Book Antiqua" w:hAnsi="Book Antiqua" w:cs="Arial"/>
        </w:rPr>
        <w:t xml:space="preserve"> discharge and was due to return the following week.</w:t>
      </w:r>
      <w:r>
        <w:rPr>
          <w:rFonts w:ascii="Book Antiqua" w:hAnsi="Book Antiqua" w:cs="Arial"/>
        </w:rPr>
        <w:t xml:space="preserve">  </w:t>
      </w:r>
    </w:p>
    <w:p w:rsidR="0086728F" w:rsidRDefault="0086728F" w:rsidP="00E943B7">
      <w:pPr>
        <w:numPr>
          <w:ilvl w:val="0"/>
          <w:numId w:val="3"/>
        </w:numPr>
        <w:spacing w:before="240"/>
        <w:jc w:val="both"/>
        <w:rPr>
          <w:rFonts w:ascii="Book Antiqua" w:hAnsi="Book Antiqua" w:cs="Arial"/>
        </w:rPr>
      </w:pPr>
      <w:r>
        <w:rPr>
          <w:rFonts w:ascii="Book Antiqua" w:hAnsi="Book Antiqua" w:cs="Arial"/>
        </w:rPr>
        <w:t>I find that the F</w:t>
      </w:r>
      <w:r w:rsidR="009C16A1">
        <w:rPr>
          <w:rFonts w:ascii="Book Antiqua" w:hAnsi="Book Antiqua" w:cs="Arial"/>
        </w:rPr>
        <w:t>t</w:t>
      </w:r>
      <w:r>
        <w:rPr>
          <w:rFonts w:ascii="Book Antiqua" w:hAnsi="Book Antiqua" w:cs="Arial"/>
        </w:rPr>
        <w:t xml:space="preserve">TJ was correct in his assessment that the evidential burden in this case remained with the Respondent.  </w:t>
      </w:r>
    </w:p>
    <w:p w:rsidR="0086728F" w:rsidRDefault="0086728F" w:rsidP="00E943B7">
      <w:pPr>
        <w:numPr>
          <w:ilvl w:val="0"/>
          <w:numId w:val="3"/>
        </w:numPr>
        <w:spacing w:before="240"/>
        <w:jc w:val="both"/>
        <w:rPr>
          <w:rFonts w:ascii="Book Antiqua" w:hAnsi="Book Antiqua" w:cs="Arial"/>
        </w:rPr>
      </w:pPr>
      <w:r>
        <w:rPr>
          <w:rFonts w:ascii="Book Antiqua" w:hAnsi="Book Antiqua" w:cs="Arial"/>
        </w:rPr>
        <w:t>Having assessed th</w:t>
      </w:r>
      <w:r w:rsidR="00C7494E">
        <w:rPr>
          <w:rFonts w:ascii="Book Antiqua" w:hAnsi="Book Antiqua" w:cs="Arial"/>
        </w:rPr>
        <w:t>e evidence on this basis, the Ft</w:t>
      </w:r>
      <w:r>
        <w:rPr>
          <w:rFonts w:ascii="Book Antiqua" w:hAnsi="Book Antiqua" w:cs="Arial"/>
        </w:rPr>
        <w:t xml:space="preserve">TJ found that the Respondent had not shown that the marriage between the Appellant and Sponsor was a marriage of convenience.  </w:t>
      </w:r>
      <w:r w:rsidR="003223C9">
        <w:rPr>
          <w:rFonts w:ascii="Book Antiqua" w:hAnsi="Book Antiqua" w:cs="Arial"/>
        </w:rPr>
        <w:t>Accordingly,</w:t>
      </w:r>
      <w:r w:rsidR="00C7494E">
        <w:rPr>
          <w:rFonts w:ascii="Book Antiqua" w:hAnsi="Book Antiqua" w:cs="Arial"/>
        </w:rPr>
        <w:t xml:space="preserve"> the </w:t>
      </w:r>
      <w:proofErr w:type="spellStart"/>
      <w:r w:rsidR="00C7494E">
        <w:rPr>
          <w:rFonts w:ascii="Book Antiqua" w:hAnsi="Book Antiqua" w:cs="Arial"/>
        </w:rPr>
        <w:t>Ft</w:t>
      </w:r>
      <w:r>
        <w:rPr>
          <w:rFonts w:ascii="Book Antiqua" w:hAnsi="Book Antiqua" w:cs="Arial"/>
        </w:rPr>
        <w:t>TJ’s</w:t>
      </w:r>
      <w:proofErr w:type="spellEnd"/>
      <w:r>
        <w:rPr>
          <w:rFonts w:ascii="Book Antiqua" w:hAnsi="Book Antiqua" w:cs="Arial"/>
        </w:rPr>
        <w:t xml:space="preserve"> decision to allow the Appellant’s appeal against the Respondent’s refusal to issue a residence card under the EEA Regulations was a decision open to him.  It follows therefore that the Secretary of State’s appeal to the Upper Tribunal is dismissed.  </w:t>
      </w:r>
    </w:p>
    <w:p w:rsidR="0086728F" w:rsidRPr="0086728F" w:rsidRDefault="0086728F" w:rsidP="0086728F">
      <w:pPr>
        <w:spacing w:before="240"/>
        <w:jc w:val="both"/>
        <w:rPr>
          <w:rFonts w:ascii="Book Antiqua" w:hAnsi="Book Antiqua" w:cs="Arial"/>
          <w:b/>
          <w:u w:val="single"/>
        </w:rPr>
      </w:pPr>
      <w:r w:rsidRPr="0086728F">
        <w:rPr>
          <w:rFonts w:ascii="Book Antiqua" w:hAnsi="Book Antiqua" w:cs="Arial"/>
          <w:b/>
          <w:u w:val="single"/>
        </w:rPr>
        <w:t>Notice of Decision</w:t>
      </w:r>
    </w:p>
    <w:p w:rsidR="0086728F" w:rsidRDefault="0086728F" w:rsidP="00E943B7">
      <w:pPr>
        <w:numPr>
          <w:ilvl w:val="0"/>
          <w:numId w:val="3"/>
        </w:numPr>
        <w:spacing w:before="240"/>
        <w:jc w:val="both"/>
        <w:rPr>
          <w:rFonts w:ascii="Book Antiqua" w:hAnsi="Book Antiqua" w:cs="Arial"/>
        </w:rPr>
      </w:pPr>
      <w:r>
        <w:rPr>
          <w:rFonts w:ascii="Book Antiqua" w:hAnsi="Book Antiqua" w:cs="Arial"/>
        </w:rPr>
        <w:t>The Secretary of State’s appeal against the decision of the First-tier Tribunal promulgated on 4</w:t>
      </w:r>
      <w:r w:rsidRPr="0086728F">
        <w:rPr>
          <w:rFonts w:ascii="Book Antiqua" w:hAnsi="Book Antiqua" w:cs="Arial"/>
          <w:vertAlign w:val="superscript"/>
        </w:rPr>
        <w:t>th</w:t>
      </w:r>
      <w:r>
        <w:rPr>
          <w:rFonts w:ascii="Book Antiqua" w:hAnsi="Book Antiqua" w:cs="Arial"/>
        </w:rPr>
        <w:t xml:space="preserve"> December 2017 is hereby dismissed.  The decision of the First-tier Tribunal stands.  </w:t>
      </w:r>
    </w:p>
    <w:p w:rsidR="00073E80" w:rsidRPr="0086728F" w:rsidRDefault="00073E80" w:rsidP="00073E80">
      <w:pPr>
        <w:numPr>
          <w:ilvl w:val="0"/>
          <w:numId w:val="3"/>
        </w:numPr>
        <w:spacing w:before="240"/>
        <w:jc w:val="both"/>
        <w:rPr>
          <w:rFonts w:ascii="Book Antiqua" w:hAnsi="Book Antiqua" w:cs="Arial"/>
        </w:rPr>
      </w:pPr>
      <w:r w:rsidRPr="0086728F">
        <w:rPr>
          <w:rFonts w:ascii="Book Antiqua" w:hAnsi="Book Antiqua" w:cs="Arial"/>
        </w:rPr>
        <w:t>No anonymity direction is made.</w:t>
      </w:r>
    </w:p>
    <w:p w:rsidR="00E76309" w:rsidRPr="00C01D77" w:rsidRDefault="00E76309" w:rsidP="000369F5">
      <w:pPr>
        <w:tabs>
          <w:tab w:val="left" w:pos="2520"/>
        </w:tabs>
        <w:jc w:val="both"/>
        <w:rPr>
          <w:rFonts w:ascii="Book Antiqua" w:hAnsi="Book Antiqua" w:cs="Arial"/>
        </w:rPr>
      </w:pPr>
    </w:p>
    <w:p w:rsidR="00073E80" w:rsidRPr="00C01D77" w:rsidRDefault="00073E80" w:rsidP="000369F5">
      <w:pPr>
        <w:tabs>
          <w:tab w:val="left" w:pos="2520"/>
        </w:tabs>
        <w:jc w:val="both"/>
        <w:rPr>
          <w:rFonts w:ascii="Book Antiqua" w:hAnsi="Book Antiqua" w:cs="Arial"/>
        </w:rPr>
      </w:pPr>
    </w:p>
    <w:p w:rsidR="001F2716" w:rsidRPr="00C01D77" w:rsidRDefault="006E3C90" w:rsidP="000369F5">
      <w:pPr>
        <w:tabs>
          <w:tab w:val="left" w:pos="2520"/>
        </w:tabs>
        <w:jc w:val="both"/>
        <w:rPr>
          <w:rFonts w:ascii="Book Antiqua" w:hAnsi="Book Antiqua" w:cs="Arial"/>
        </w:rPr>
      </w:pPr>
      <w:r w:rsidRPr="00C01D77">
        <w:rPr>
          <w:rFonts w:ascii="Book Antiqua" w:hAnsi="Book Antiqua" w:cs="Arial"/>
        </w:rPr>
        <w:t>Signed</w:t>
      </w:r>
      <w:r w:rsidRPr="00C01D77">
        <w:rPr>
          <w:rFonts w:ascii="Book Antiqua" w:hAnsi="Book Antiqua" w:cs="Arial"/>
        </w:rPr>
        <w:tab/>
      </w:r>
      <w:r w:rsidR="00167B08">
        <w:rPr>
          <w:rFonts w:ascii="Book Antiqua" w:hAnsi="Book Antiqua" w:cs="Arial"/>
        </w:rPr>
        <w:t>C E Roberts</w:t>
      </w:r>
      <w:r w:rsidRPr="00C01D77">
        <w:rPr>
          <w:rFonts w:ascii="Book Antiqua" w:hAnsi="Book Antiqua" w:cs="Arial"/>
        </w:rPr>
        <w:tab/>
      </w:r>
      <w:r w:rsidRPr="00C01D77">
        <w:rPr>
          <w:rFonts w:ascii="Book Antiqua" w:hAnsi="Book Antiqua" w:cs="Arial"/>
        </w:rPr>
        <w:tab/>
      </w:r>
      <w:r w:rsidRPr="00C01D77">
        <w:rPr>
          <w:rFonts w:ascii="Book Antiqua" w:hAnsi="Book Antiqua" w:cs="Arial"/>
        </w:rPr>
        <w:tab/>
      </w:r>
      <w:r w:rsidRPr="00C01D77">
        <w:rPr>
          <w:rFonts w:ascii="Book Antiqua" w:hAnsi="Book Antiqua" w:cs="Arial"/>
        </w:rPr>
        <w:tab/>
      </w:r>
      <w:r w:rsidRPr="00C01D77">
        <w:rPr>
          <w:rFonts w:ascii="Book Antiqua" w:hAnsi="Book Antiqua" w:cs="Arial"/>
        </w:rPr>
        <w:tab/>
      </w:r>
      <w:r w:rsidR="001F2716" w:rsidRPr="00C01D77">
        <w:rPr>
          <w:rFonts w:ascii="Book Antiqua" w:hAnsi="Book Antiqua" w:cs="Arial"/>
        </w:rPr>
        <w:t>Date</w:t>
      </w:r>
      <w:r w:rsidR="00167B08">
        <w:rPr>
          <w:rFonts w:ascii="Book Antiqua" w:hAnsi="Book Antiqua" w:cs="Arial"/>
        </w:rPr>
        <w:tab/>
      </w:r>
      <w:r w:rsidR="00167B08">
        <w:rPr>
          <w:rFonts w:ascii="Book Antiqua" w:hAnsi="Book Antiqua" w:cs="Arial"/>
        </w:rPr>
        <w:tab/>
        <w:t>22 June 2018</w:t>
      </w:r>
    </w:p>
    <w:p w:rsidR="001F2716" w:rsidRPr="00C01D77" w:rsidRDefault="001F2716" w:rsidP="000369F5">
      <w:pPr>
        <w:tabs>
          <w:tab w:val="left" w:pos="2520"/>
        </w:tabs>
        <w:jc w:val="both"/>
        <w:rPr>
          <w:rFonts w:ascii="Book Antiqua" w:hAnsi="Book Antiqua" w:cs="Arial"/>
        </w:rPr>
      </w:pPr>
    </w:p>
    <w:p w:rsidR="005B7789" w:rsidRDefault="00635C47" w:rsidP="000369F5">
      <w:pPr>
        <w:tabs>
          <w:tab w:val="left" w:pos="2520"/>
        </w:tabs>
        <w:jc w:val="both"/>
        <w:rPr>
          <w:rFonts w:ascii="Book Antiqua" w:hAnsi="Book Antiqua" w:cs="Arial"/>
        </w:rPr>
      </w:pPr>
      <w:r>
        <w:rPr>
          <w:rFonts w:ascii="Book Antiqua" w:hAnsi="Book Antiqua" w:cs="Arial"/>
        </w:rPr>
        <w:t xml:space="preserve">Deputy </w:t>
      </w:r>
      <w:r w:rsidR="00C61C08">
        <w:rPr>
          <w:rFonts w:ascii="Book Antiqua" w:hAnsi="Book Antiqua" w:cs="Arial"/>
        </w:rPr>
        <w:t>Upper Tribunal</w:t>
      </w:r>
      <w:r w:rsidR="00AC5CF6" w:rsidRPr="00C01D77">
        <w:rPr>
          <w:rFonts w:ascii="Book Antiqua" w:hAnsi="Book Antiqua" w:cs="Arial"/>
        </w:rPr>
        <w:t xml:space="preserve"> Judge</w:t>
      </w:r>
      <w:r w:rsidR="00825478" w:rsidRPr="00C01D77">
        <w:rPr>
          <w:rFonts w:ascii="Book Antiqua" w:hAnsi="Book Antiqua" w:cs="Arial"/>
        </w:rPr>
        <w:t xml:space="preserve"> Roberts</w:t>
      </w:r>
      <w:r w:rsidR="006B6451" w:rsidRPr="00C01D77">
        <w:rPr>
          <w:rFonts w:ascii="Book Antiqua" w:hAnsi="Book Antiqua" w:cs="Arial"/>
        </w:rPr>
        <w:t xml:space="preserve"> </w:t>
      </w:r>
    </w:p>
    <w:p w:rsidR="00073E80" w:rsidRDefault="00073E80" w:rsidP="000369F5">
      <w:pPr>
        <w:tabs>
          <w:tab w:val="left" w:pos="2520"/>
        </w:tabs>
        <w:jc w:val="both"/>
        <w:rPr>
          <w:rFonts w:ascii="Book Antiqua" w:hAnsi="Book Antiqua" w:cs="Arial"/>
        </w:rPr>
      </w:pPr>
    </w:p>
    <w:p w:rsidR="0086728F" w:rsidRDefault="0086728F" w:rsidP="000369F5">
      <w:pPr>
        <w:tabs>
          <w:tab w:val="left" w:pos="2520"/>
        </w:tabs>
        <w:jc w:val="both"/>
        <w:rPr>
          <w:rFonts w:ascii="Book Antiqua" w:hAnsi="Book Antiqua" w:cs="Arial"/>
        </w:rPr>
      </w:pPr>
    </w:p>
    <w:p w:rsidR="00317D89" w:rsidRDefault="00317D89" w:rsidP="000369F5">
      <w:pPr>
        <w:tabs>
          <w:tab w:val="left" w:pos="2520"/>
        </w:tabs>
        <w:jc w:val="both"/>
        <w:rPr>
          <w:rFonts w:ascii="Book Antiqua" w:hAnsi="Book Antiqua" w:cs="Arial"/>
        </w:rPr>
      </w:pPr>
    </w:p>
    <w:p w:rsidR="0086728F" w:rsidRDefault="0086728F" w:rsidP="000369F5">
      <w:pPr>
        <w:tabs>
          <w:tab w:val="left" w:pos="2520"/>
        </w:tabs>
        <w:jc w:val="both"/>
        <w:rPr>
          <w:rFonts w:ascii="Book Antiqua" w:hAnsi="Book Antiqua" w:cs="Arial"/>
        </w:rPr>
      </w:pPr>
    </w:p>
    <w:p w:rsidR="00073E80" w:rsidRPr="00073E80" w:rsidRDefault="00073E80" w:rsidP="00073E80">
      <w:pPr>
        <w:jc w:val="both"/>
        <w:rPr>
          <w:rFonts w:ascii="Book Antiqua" w:hAnsi="Book Antiqua" w:cs="Arial"/>
          <w:b/>
          <w:u w:val="single"/>
        </w:rPr>
      </w:pPr>
      <w:r w:rsidRPr="00073E80">
        <w:rPr>
          <w:rFonts w:ascii="Book Antiqua" w:hAnsi="Book Antiqua" w:cs="Arial"/>
          <w:b/>
          <w:u w:val="single"/>
        </w:rPr>
        <w:t>TO THE RESPONDENT</w:t>
      </w:r>
    </w:p>
    <w:p w:rsidR="00073E80" w:rsidRPr="00073E80" w:rsidRDefault="00073E80" w:rsidP="00073E80">
      <w:pPr>
        <w:ind w:left="567" w:hanging="567"/>
        <w:jc w:val="both"/>
        <w:rPr>
          <w:rFonts w:ascii="Book Antiqua" w:hAnsi="Book Antiqua" w:cs="Arial"/>
        </w:rPr>
      </w:pPr>
      <w:r w:rsidRPr="00073E80">
        <w:rPr>
          <w:rFonts w:ascii="Book Antiqua" w:hAnsi="Book Antiqua" w:cs="Arial"/>
          <w:b/>
          <w:u w:val="single"/>
        </w:rPr>
        <w:t>FEE AWARD</w:t>
      </w:r>
    </w:p>
    <w:p w:rsidR="00073E80" w:rsidRPr="00073E80" w:rsidRDefault="00073E80" w:rsidP="00073E80">
      <w:pPr>
        <w:ind w:left="567" w:hanging="567"/>
        <w:jc w:val="both"/>
        <w:rPr>
          <w:rFonts w:ascii="Book Antiqua" w:hAnsi="Book Antiqua" w:cs="Arial"/>
        </w:rPr>
      </w:pPr>
    </w:p>
    <w:p w:rsidR="00073E80" w:rsidRDefault="0086728F" w:rsidP="00073E80">
      <w:pPr>
        <w:jc w:val="both"/>
        <w:rPr>
          <w:rFonts w:ascii="Book Antiqua" w:hAnsi="Book Antiqua" w:cs="Arial"/>
        </w:rPr>
      </w:pPr>
      <w:r>
        <w:rPr>
          <w:rFonts w:ascii="Book Antiqua" w:hAnsi="Book Antiqua" w:cs="Arial"/>
        </w:rPr>
        <w:t xml:space="preserve">The First-tier Tribunal made a full fee award.  I see no reason to interfere with that decision.  </w:t>
      </w:r>
    </w:p>
    <w:p w:rsidR="00073E80" w:rsidRDefault="00073E80" w:rsidP="00073E80">
      <w:pPr>
        <w:jc w:val="both"/>
        <w:rPr>
          <w:rFonts w:ascii="Book Antiqua" w:hAnsi="Book Antiqua" w:cs="Arial"/>
        </w:rPr>
      </w:pPr>
    </w:p>
    <w:p w:rsidR="00073E80" w:rsidRDefault="00073E80" w:rsidP="00073E80">
      <w:pPr>
        <w:jc w:val="both"/>
        <w:rPr>
          <w:rFonts w:ascii="Book Antiqua" w:hAnsi="Book Antiqua" w:cs="Arial"/>
        </w:rPr>
      </w:pPr>
    </w:p>
    <w:p w:rsidR="009F6720" w:rsidRPr="00C01D77" w:rsidRDefault="009F6720" w:rsidP="009F6720">
      <w:pPr>
        <w:tabs>
          <w:tab w:val="left" w:pos="2520"/>
        </w:tabs>
        <w:jc w:val="both"/>
        <w:rPr>
          <w:rFonts w:ascii="Book Antiqua" w:hAnsi="Book Antiqua" w:cs="Arial"/>
        </w:rPr>
      </w:pPr>
      <w:r w:rsidRPr="00C01D77">
        <w:rPr>
          <w:rFonts w:ascii="Book Antiqua" w:hAnsi="Book Antiqua" w:cs="Arial"/>
        </w:rPr>
        <w:t>Signed</w:t>
      </w:r>
      <w:r w:rsidRPr="00C01D77">
        <w:rPr>
          <w:rFonts w:ascii="Book Antiqua" w:hAnsi="Book Antiqua" w:cs="Arial"/>
        </w:rPr>
        <w:tab/>
      </w:r>
      <w:r>
        <w:rPr>
          <w:rFonts w:ascii="Book Antiqua" w:hAnsi="Book Antiqua" w:cs="Arial"/>
        </w:rPr>
        <w:t>C E Roberts</w:t>
      </w:r>
      <w:r w:rsidRPr="00C01D77">
        <w:rPr>
          <w:rFonts w:ascii="Book Antiqua" w:hAnsi="Book Antiqua" w:cs="Arial"/>
        </w:rPr>
        <w:tab/>
      </w:r>
      <w:r w:rsidRPr="00C01D77">
        <w:rPr>
          <w:rFonts w:ascii="Book Antiqua" w:hAnsi="Book Antiqua" w:cs="Arial"/>
        </w:rPr>
        <w:tab/>
      </w:r>
      <w:r w:rsidRPr="00C01D77">
        <w:rPr>
          <w:rFonts w:ascii="Book Antiqua" w:hAnsi="Book Antiqua" w:cs="Arial"/>
        </w:rPr>
        <w:tab/>
      </w:r>
      <w:r w:rsidRPr="00C01D77">
        <w:rPr>
          <w:rFonts w:ascii="Book Antiqua" w:hAnsi="Book Antiqua" w:cs="Arial"/>
        </w:rPr>
        <w:tab/>
      </w:r>
      <w:r w:rsidRPr="00C01D77">
        <w:rPr>
          <w:rFonts w:ascii="Book Antiqua" w:hAnsi="Book Antiqua" w:cs="Arial"/>
        </w:rPr>
        <w:tab/>
        <w:t>Date</w:t>
      </w:r>
      <w:r>
        <w:rPr>
          <w:rFonts w:ascii="Book Antiqua" w:hAnsi="Book Antiqua" w:cs="Arial"/>
        </w:rPr>
        <w:tab/>
      </w:r>
      <w:r>
        <w:rPr>
          <w:rFonts w:ascii="Book Antiqua" w:hAnsi="Book Antiqua" w:cs="Arial"/>
        </w:rPr>
        <w:tab/>
        <w:t>22 June 2018</w:t>
      </w:r>
    </w:p>
    <w:p w:rsidR="00073E80" w:rsidRDefault="00073E80" w:rsidP="00073E80">
      <w:pPr>
        <w:tabs>
          <w:tab w:val="left" w:pos="2520"/>
        </w:tabs>
        <w:jc w:val="both"/>
        <w:rPr>
          <w:rFonts w:ascii="Book Antiqua" w:hAnsi="Book Antiqua" w:cs="Arial"/>
        </w:rPr>
      </w:pPr>
    </w:p>
    <w:p w:rsidR="00073E80" w:rsidRDefault="00635C47" w:rsidP="00073E80">
      <w:pPr>
        <w:tabs>
          <w:tab w:val="left" w:pos="2520"/>
        </w:tabs>
        <w:jc w:val="both"/>
        <w:rPr>
          <w:rFonts w:ascii="Book Antiqua" w:hAnsi="Book Antiqua" w:cs="Arial"/>
        </w:rPr>
      </w:pPr>
      <w:r>
        <w:rPr>
          <w:rFonts w:ascii="Book Antiqua" w:hAnsi="Book Antiqua" w:cs="Arial"/>
        </w:rPr>
        <w:t xml:space="preserve">Deputy </w:t>
      </w:r>
      <w:r w:rsidR="00073E80">
        <w:rPr>
          <w:rFonts w:ascii="Book Antiqua" w:hAnsi="Book Antiqua" w:cs="Arial"/>
        </w:rPr>
        <w:t>Upper Tribunal</w:t>
      </w:r>
      <w:r w:rsidR="00073E80" w:rsidRPr="00C01D77">
        <w:rPr>
          <w:rFonts w:ascii="Book Antiqua" w:hAnsi="Book Antiqua" w:cs="Arial"/>
        </w:rPr>
        <w:t xml:space="preserve"> Judge Roberts </w:t>
      </w:r>
    </w:p>
    <w:p w:rsidR="00073E80" w:rsidRDefault="00073E80" w:rsidP="00073E80">
      <w:pPr>
        <w:jc w:val="both"/>
        <w:rPr>
          <w:rFonts w:ascii="Book Antiqua" w:hAnsi="Book Antiqua" w:cs="Arial"/>
        </w:rPr>
      </w:pPr>
    </w:p>
    <w:p w:rsidR="00073E80" w:rsidRPr="00C01D77" w:rsidRDefault="00073E80" w:rsidP="000369F5">
      <w:pPr>
        <w:tabs>
          <w:tab w:val="left" w:pos="2520"/>
        </w:tabs>
        <w:jc w:val="both"/>
        <w:rPr>
          <w:rFonts w:ascii="Book Antiqua" w:hAnsi="Book Antiqua" w:cs="Arial"/>
        </w:rPr>
      </w:pPr>
    </w:p>
    <w:p w:rsidR="006B6451" w:rsidRPr="00C01D77" w:rsidRDefault="006B6451" w:rsidP="000369F5">
      <w:pPr>
        <w:tabs>
          <w:tab w:val="left" w:pos="2520"/>
        </w:tabs>
        <w:jc w:val="both"/>
        <w:rPr>
          <w:rFonts w:ascii="Book Antiqua" w:hAnsi="Book Antiqua" w:cs="Arial"/>
        </w:rPr>
      </w:pPr>
      <w:r w:rsidRPr="00C01D77">
        <w:rPr>
          <w:rFonts w:ascii="Book Antiqua" w:hAnsi="Book Antiqua" w:cs="Arial"/>
        </w:rPr>
        <w:t xml:space="preserve"> </w:t>
      </w:r>
    </w:p>
    <w:p w:rsidR="005B7789" w:rsidRPr="00C01D77" w:rsidRDefault="005B7789" w:rsidP="004611B1">
      <w:pPr>
        <w:tabs>
          <w:tab w:val="left" w:pos="2520"/>
        </w:tabs>
        <w:jc w:val="both"/>
        <w:rPr>
          <w:rFonts w:ascii="Book Antiqua" w:hAnsi="Book Antiqua" w:cs="Arial"/>
        </w:rPr>
      </w:pPr>
    </w:p>
    <w:p w:rsidR="005B7789" w:rsidRPr="00C01D77" w:rsidRDefault="005B7789" w:rsidP="000369F5">
      <w:pPr>
        <w:tabs>
          <w:tab w:val="left" w:pos="2520"/>
        </w:tabs>
        <w:jc w:val="both"/>
        <w:rPr>
          <w:rFonts w:ascii="Book Antiqua" w:hAnsi="Book Antiqua" w:cs="Arial"/>
        </w:rPr>
      </w:pPr>
    </w:p>
    <w:sectPr w:rsidR="005B7789" w:rsidRPr="00C01D77"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67D8" w:rsidRDefault="00CE67D8">
      <w:r>
        <w:separator/>
      </w:r>
    </w:p>
  </w:endnote>
  <w:endnote w:type="continuationSeparator" w:id="0">
    <w:p w:rsidR="00CE67D8" w:rsidRDefault="00CE67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2BC1" w:rsidRPr="00C01D77" w:rsidRDefault="00840DED" w:rsidP="00593795">
    <w:pPr>
      <w:pStyle w:val="Footer"/>
      <w:jc w:val="center"/>
      <w:rPr>
        <w:rFonts w:ascii="Book Antiqua" w:hAnsi="Book Antiqua" w:cs="Arial"/>
        <w:sz w:val="16"/>
        <w:szCs w:val="16"/>
      </w:rPr>
    </w:pPr>
    <w:r w:rsidRPr="00C01D77">
      <w:rPr>
        <w:rStyle w:val="PageNumber"/>
        <w:rFonts w:ascii="Book Antiqua" w:hAnsi="Book Antiqua" w:cs="Arial"/>
        <w:sz w:val="16"/>
        <w:szCs w:val="16"/>
      </w:rPr>
      <w:fldChar w:fldCharType="begin"/>
    </w:r>
    <w:r w:rsidR="00122BC1" w:rsidRPr="00C01D77">
      <w:rPr>
        <w:rStyle w:val="PageNumber"/>
        <w:rFonts w:ascii="Book Antiqua" w:hAnsi="Book Antiqua" w:cs="Arial"/>
        <w:sz w:val="16"/>
        <w:szCs w:val="16"/>
      </w:rPr>
      <w:instrText xml:space="preserve"> PAGE </w:instrText>
    </w:r>
    <w:r w:rsidRPr="00C01D77">
      <w:rPr>
        <w:rStyle w:val="PageNumber"/>
        <w:rFonts w:ascii="Book Antiqua" w:hAnsi="Book Antiqua" w:cs="Arial"/>
        <w:sz w:val="16"/>
        <w:szCs w:val="16"/>
      </w:rPr>
      <w:fldChar w:fldCharType="separate"/>
    </w:r>
    <w:r w:rsidR="00CE3466">
      <w:rPr>
        <w:rStyle w:val="PageNumber"/>
        <w:rFonts w:ascii="Book Antiqua" w:hAnsi="Book Antiqua" w:cs="Arial"/>
        <w:noProof/>
        <w:sz w:val="16"/>
        <w:szCs w:val="16"/>
      </w:rPr>
      <w:t>5</w:t>
    </w:r>
    <w:r w:rsidRPr="00C01D77">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2BC1" w:rsidRPr="00C01D77" w:rsidRDefault="00122BC1" w:rsidP="00E51376">
    <w:pPr>
      <w:jc w:val="center"/>
      <w:rPr>
        <w:rFonts w:ascii="Book Antiqua" w:hAnsi="Book Antiqua" w:cs="Arial"/>
        <w:b/>
      </w:rPr>
    </w:pPr>
    <w:r w:rsidRPr="00C01D77">
      <w:rPr>
        <w:rFonts w:ascii="Book Antiqua" w:hAnsi="Book Antiqua" w:cs="Arial"/>
        <w:b/>
        <w:spacing w:val="-6"/>
      </w:rPr>
      <w:t>©</w:t>
    </w:r>
    <w:r w:rsidR="0029282D">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67D8" w:rsidRDefault="00CE67D8">
      <w:r>
        <w:separator/>
      </w:r>
    </w:p>
  </w:footnote>
  <w:footnote w:type="continuationSeparator" w:id="0">
    <w:p w:rsidR="00CE67D8" w:rsidRDefault="00CE67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2BC1" w:rsidRPr="00886E53" w:rsidRDefault="00122BC1" w:rsidP="000369F5">
    <w:pPr>
      <w:pStyle w:val="Header"/>
      <w:tabs>
        <w:tab w:val="clear" w:pos="4153"/>
        <w:tab w:val="clear" w:pos="8306"/>
        <w:tab w:val="right" w:pos="9639"/>
      </w:tabs>
      <w:jc w:val="right"/>
      <w:rPr>
        <w:rFonts w:ascii="Book Antiqua" w:hAnsi="Book Antiqua" w:cs="Arial"/>
        <w:sz w:val="16"/>
        <w:szCs w:val="16"/>
      </w:rPr>
    </w:pPr>
    <w:r w:rsidRPr="00886E53">
      <w:rPr>
        <w:rFonts w:ascii="Book Antiqua" w:hAnsi="Book Antiqua" w:cs="Arial"/>
        <w:sz w:val="16"/>
        <w:szCs w:val="16"/>
      </w:rPr>
      <w:t xml:space="preserve">Appeal Number: </w:t>
    </w:r>
    <w:r w:rsidR="00886E53" w:rsidRPr="00886E53">
      <w:rPr>
        <w:rFonts w:ascii="Book Antiqua" w:hAnsi="Book Antiqua" w:cs="Arial"/>
        <w:sz w:val="16"/>
        <w:szCs w:val="16"/>
      </w:rPr>
      <w:t xml:space="preserve">  </w:t>
    </w:r>
    <w:r w:rsidR="00886E53" w:rsidRPr="00886E53">
      <w:rPr>
        <w:rFonts w:ascii="Book Antiqua" w:hAnsi="Book Antiqua" w:cs="Arial"/>
        <w:caps/>
        <w:sz w:val="16"/>
        <w:szCs w:val="16"/>
      </w:rPr>
      <w:t>EA/02420/2016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2BC1" w:rsidRPr="00C01D77" w:rsidRDefault="00122BC1">
    <w:pPr>
      <w:pStyle w:val="Header"/>
      <w:rPr>
        <w:rFonts w:ascii="Book Antiqua" w:hAnsi="Book Antiqua"/>
      </w:rPr>
    </w:pPr>
    <w:r w:rsidRPr="00C01D77">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C718588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D510024"/>
    <w:multiLevelType w:val="multilevel"/>
    <w:tmpl w:val="94C828E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CB2209F"/>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112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82D"/>
    <w:rsid w:val="00000621"/>
    <w:rsid w:val="000036C2"/>
    <w:rsid w:val="00021BDB"/>
    <w:rsid w:val="00033D3D"/>
    <w:rsid w:val="00036669"/>
    <w:rsid w:val="000369F5"/>
    <w:rsid w:val="00040F02"/>
    <w:rsid w:val="000431BE"/>
    <w:rsid w:val="000446FB"/>
    <w:rsid w:val="00045030"/>
    <w:rsid w:val="0006411D"/>
    <w:rsid w:val="00071A7E"/>
    <w:rsid w:val="00073E80"/>
    <w:rsid w:val="000746C0"/>
    <w:rsid w:val="00074D1D"/>
    <w:rsid w:val="00092580"/>
    <w:rsid w:val="000B3B14"/>
    <w:rsid w:val="000B4B02"/>
    <w:rsid w:val="000C7BD4"/>
    <w:rsid w:val="000D5D94"/>
    <w:rsid w:val="000F69E1"/>
    <w:rsid w:val="001165A7"/>
    <w:rsid w:val="00122BC1"/>
    <w:rsid w:val="00151BB7"/>
    <w:rsid w:val="00167B08"/>
    <w:rsid w:val="00167D3A"/>
    <w:rsid w:val="001D7D80"/>
    <w:rsid w:val="001F2716"/>
    <w:rsid w:val="0020133A"/>
    <w:rsid w:val="00207229"/>
    <w:rsid w:val="00207617"/>
    <w:rsid w:val="00215199"/>
    <w:rsid w:val="00261413"/>
    <w:rsid w:val="00283659"/>
    <w:rsid w:val="0029282D"/>
    <w:rsid w:val="0029401D"/>
    <w:rsid w:val="002B7E5C"/>
    <w:rsid w:val="002C4E73"/>
    <w:rsid w:val="002D6533"/>
    <w:rsid w:val="002D68BF"/>
    <w:rsid w:val="00317D89"/>
    <w:rsid w:val="003223C9"/>
    <w:rsid w:val="00336CBF"/>
    <w:rsid w:val="00340611"/>
    <w:rsid w:val="003546C8"/>
    <w:rsid w:val="003648C0"/>
    <w:rsid w:val="003836FC"/>
    <w:rsid w:val="003A7CF2"/>
    <w:rsid w:val="003C5CE5"/>
    <w:rsid w:val="003E267B"/>
    <w:rsid w:val="003E7CD1"/>
    <w:rsid w:val="003F5A8A"/>
    <w:rsid w:val="0040250C"/>
    <w:rsid w:val="00402B9E"/>
    <w:rsid w:val="004067C4"/>
    <w:rsid w:val="00423932"/>
    <w:rsid w:val="004249CB"/>
    <w:rsid w:val="0044127D"/>
    <w:rsid w:val="004448DB"/>
    <w:rsid w:val="00446C9A"/>
    <w:rsid w:val="004611B1"/>
    <w:rsid w:val="0047262D"/>
    <w:rsid w:val="00477193"/>
    <w:rsid w:val="004A1848"/>
    <w:rsid w:val="00507FEC"/>
    <w:rsid w:val="00510F0E"/>
    <w:rsid w:val="005479E1"/>
    <w:rsid w:val="00551122"/>
    <w:rsid w:val="005570FD"/>
    <w:rsid w:val="005575EA"/>
    <w:rsid w:val="005676D9"/>
    <w:rsid w:val="00573039"/>
    <w:rsid w:val="0057790C"/>
    <w:rsid w:val="00582644"/>
    <w:rsid w:val="00593795"/>
    <w:rsid w:val="005A1D02"/>
    <w:rsid w:val="005A75FF"/>
    <w:rsid w:val="005B7789"/>
    <w:rsid w:val="005D6B48"/>
    <w:rsid w:val="00635C47"/>
    <w:rsid w:val="0065791C"/>
    <w:rsid w:val="00690B8A"/>
    <w:rsid w:val="006939E1"/>
    <w:rsid w:val="006B6451"/>
    <w:rsid w:val="006D1DFA"/>
    <w:rsid w:val="006D506B"/>
    <w:rsid w:val="006D575F"/>
    <w:rsid w:val="006D5EEF"/>
    <w:rsid w:val="006E3C90"/>
    <w:rsid w:val="00704B61"/>
    <w:rsid w:val="0072401A"/>
    <w:rsid w:val="007419A9"/>
    <w:rsid w:val="007421B9"/>
    <w:rsid w:val="00742A8D"/>
    <w:rsid w:val="0074504A"/>
    <w:rsid w:val="007552A9"/>
    <w:rsid w:val="00761858"/>
    <w:rsid w:val="00767D59"/>
    <w:rsid w:val="00776E97"/>
    <w:rsid w:val="00780FD7"/>
    <w:rsid w:val="007912AD"/>
    <w:rsid w:val="007A6AED"/>
    <w:rsid w:val="007B0824"/>
    <w:rsid w:val="007B6BD8"/>
    <w:rsid w:val="007D1C7D"/>
    <w:rsid w:val="007F31D3"/>
    <w:rsid w:val="0081356A"/>
    <w:rsid w:val="00825478"/>
    <w:rsid w:val="008303B8"/>
    <w:rsid w:val="00833DCE"/>
    <w:rsid w:val="00840DED"/>
    <w:rsid w:val="0086728F"/>
    <w:rsid w:val="00871D34"/>
    <w:rsid w:val="00886E53"/>
    <w:rsid w:val="008B270C"/>
    <w:rsid w:val="008C3D3D"/>
    <w:rsid w:val="008C3F45"/>
    <w:rsid w:val="008D4131"/>
    <w:rsid w:val="008F1932"/>
    <w:rsid w:val="008F294D"/>
    <w:rsid w:val="00921062"/>
    <w:rsid w:val="00966ECF"/>
    <w:rsid w:val="009727A3"/>
    <w:rsid w:val="00973661"/>
    <w:rsid w:val="00987774"/>
    <w:rsid w:val="009A11E8"/>
    <w:rsid w:val="009C16A1"/>
    <w:rsid w:val="009E57CE"/>
    <w:rsid w:val="009E7921"/>
    <w:rsid w:val="009F5220"/>
    <w:rsid w:val="009F6720"/>
    <w:rsid w:val="009F7C4D"/>
    <w:rsid w:val="00A12991"/>
    <w:rsid w:val="00A15234"/>
    <w:rsid w:val="00A201AB"/>
    <w:rsid w:val="00A31C8B"/>
    <w:rsid w:val="00A40D60"/>
    <w:rsid w:val="00A53CEB"/>
    <w:rsid w:val="00A62E4B"/>
    <w:rsid w:val="00A845DC"/>
    <w:rsid w:val="00A97AEE"/>
    <w:rsid w:val="00AC5CF6"/>
    <w:rsid w:val="00AD7A85"/>
    <w:rsid w:val="00AE4BF1"/>
    <w:rsid w:val="00AE7547"/>
    <w:rsid w:val="00B02D2F"/>
    <w:rsid w:val="00B144FA"/>
    <w:rsid w:val="00B2327A"/>
    <w:rsid w:val="00B30648"/>
    <w:rsid w:val="00B3524D"/>
    <w:rsid w:val="00B370C1"/>
    <w:rsid w:val="00B40F69"/>
    <w:rsid w:val="00B46616"/>
    <w:rsid w:val="00B51B64"/>
    <w:rsid w:val="00B61205"/>
    <w:rsid w:val="00B617C4"/>
    <w:rsid w:val="00B626FA"/>
    <w:rsid w:val="00B7040A"/>
    <w:rsid w:val="00B86C3D"/>
    <w:rsid w:val="00BC2D58"/>
    <w:rsid w:val="00BD4196"/>
    <w:rsid w:val="00BE6907"/>
    <w:rsid w:val="00BF22CA"/>
    <w:rsid w:val="00C01D77"/>
    <w:rsid w:val="00C22723"/>
    <w:rsid w:val="00C26032"/>
    <w:rsid w:val="00C265B0"/>
    <w:rsid w:val="00C345E1"/>
    <w:rsid w:val="00C61C08"/>
    <w:rsid w:val="00C7494E"/>
    <w:rsid w:val="00CB6E35"/>
    <w:rsid w:val="00CD49EB"/>
    <w:rsid w:val="00CE1A46"/>
    <w:rsid w:val="00CE3466"/>
    <w:rsid w:val="00CE67D8"/>
    <w:rsid w:val="00CF253F"/>
    <w:rsid w:val="00CF56B4"/>
    <w:rsid w:val="00D20F09"/>
    <w:rsid w:val="00D22636"/>
    <w:rsid w:val="00D40FD9"/>
    <w:rsid w:val="00D41DB8"/>
    <w:rsid w:val="00D53769"/>
    <w:rsid w:val="00D748FB"/>
    <w:rsid w:val="00D74AFC"/>
    <w:rsid w:val="00D85C13"/>
    <w:rsid w:val="00D91BE3"/>
    <w:rsid w:val="00D94AFC"/>
    <w:rsid w:val="00DB70AE"/>
    <w:rsid w:val="00DB7231"/>
    <w:rsid w:val="00DC2FD6"/>
    <w:rsid w:val="00DD5071"/>
    <w:rsid w:val="00DD5C39"/>
    <w:rsid w:val="00DE26AF"/>
    <w:rsid w:val="00DE7DB7"/>
    <w:rsid w:val="00DF0231"/>
    <w:rsid w:val="00E00A0A"/>
    <w:rsid w:val="00E07F57"/>
    <w:rsid w:val="00E333C1"/>
    <w:rsid w:val="00E50BCE"/>
    <w:rsid w:val="00E51376"/>
    <w:rsid w:val="00E61292"/>
    <w:rsid w:val="00E65143"/>
    <w:rsid w:val="00E6528C"/>
    <w:rsid w:val="00E76309"/>
    <w:rsid w:val="00E77C4D"/>
    <w:rsid w:val="00E81D01"/>
    <w:rsid w:val="00E943B7"/>
    <w:rsid w:val="00EE45D8"/>
    <w:rsid w:val="00F004CD"/>
    <w:rsid w:val="00F22EDA"/>
    <w:rsid w:val="00F33E0E"/>
    <w:rsid w:val="00F41153"/>
    <w:rsid w:val="00F44EF3"/>
    <w:rsid w:val="00F92C21"/>
    <w:rsid w:val="00FA6457"/>
    <w:rsid w:val="00FB7E80"/>
    <w:rsid w:val="00FC28B0"/>
    <w:rsid w:val="00FE3C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5"/>
    <o:shapelayout v:ext="edit">
      <o:idmap v:ext="edit" data="1"/>
    </o:shapelayout>
  </w:shapeDefaults>
  <w:decimalSymbol w:val="."/>
  <w:listSeparator w:val=","/>
  <w14:docId w14:val="3977A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51B6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228DE1-5435-45C0-A0E4-B89C93674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1460</Words>
  <Characters>7448</Characters>
  <Application>Microsoft Office Word</Application>
  <DocSecurity>0</DocSecurity>
  <Lines>62</Lines>
  <Paragraphs>17</Paragraphs>
  <ScaleCrop>false</ScaleCrop>
  <Company/>
  <LinksUpToDate>false</LinksUpToDate>
  <CharactersWithSpaces>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2018-07-16T15:40:00Z</dcterms:created>
  <dcterms:modified xsi:type="dcterms:W3CDTF">2018-07-16T15:40:00Z</dcterms:modified>
</cp:coreProperties>
</file>