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3B65" w:rsidRPr="00F97703" w:rsidRDefault="00933B65" w:rsidP="00933B65">
      <w:pPr>
        <w:rPr>
          <w:rFonts w:ascii="Book Antiqua" w:hAnsi="Book Antiqua" w:cs="Arial"/>
          <w:color w:val="000000"/>
          <w:sz w:val="16"/>
          <w:szCs w:val="16"/>
        </w:rPr>
      </w:pPr>
    </w:p>
    <w:p w:rsidR="00933B65" w:rsidRDefault="00630054" w:rsidP="00933B65">
      <w:pPr>
        <w:jc w:val="center"/>
        <w:rPr>
          <w:rFonts w:ascii="Book Antiqua" w:hAnsi="Book Antiqua" w:cs="Arial"/>
          <w:color w:val="000000"/>
        </w:rPr>
      </w:pPr>
      <w:r>
        <w:rPr>
          <w:noProof/>
        </w:rPr>
        <w:drawing>
          <wp:inline distT="0" distB="0" distL="0" distR="0">
            <wp:extent cx="1429200" cy="1080000"/>
            <wp:effectExtent l="0" t="0" r="0" b="0"/>
            <wp:docPr id="1" name="Picture 1"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7" cstate="print">
                      <a:extLst>
                        <a:ext uri="{28A0092B-C50C-407E-A947-70E740481C1C}">
                          <a14:useLocalDpi xmlns:a14="http://schemas.microsoft.com/office/drawing/2010/main" val="0"/>
                        </a:ext>
                      </a:extLst>
                    </a:blip>
                    <a:srcRect r="81482" b="-7655"/>
                    <a:stretch>
                      <a:fillRect/>
                    </a:stretch>
                  </pic:blipFill>
                  <pic:spPr bwMode="auto">
                    <a:xfrm>
                      <a:off x="0" y="0"/>
                      <a:ext cx="1429200" cy="1080000"/>
                    </a:xfrm>
                    <a:prstGeom prst="rect">
                      <a:avLst/>
                    </a:prstGeom>
                    <a:noFill/>
                    <a:ln>
                      <a:noFill/>
                    </a:ln>
                  </pic:spPr>
                </pic:pic>
              </a:graphicData>
            </a:graphic>
          </wp:inline>
        </w:drawing>
      </w:r>
    </w:p>
    <w:p w:rsidR="00933B65" w:rsidRPr="00F97703" w:rsidRDefault="00933B65" w:rsidP="00933B65">
      <w:pPr>
        <w:tabs>
          <w:tab w:val="right" w:pos="9720"/>
        </w:tabs>
        <w:ind w:right="-82"/>
        <w:rPr>
          <w:rFonts w:ascii="Book Antiqua" w:hAnsi="Book Antiqua" w:cs="Arial"/>
          <w:b/>
          <w:color w:val="000000"/>
        </w:rPr>
      </w:pPr>
      <w:r>
        <w:rPr>
          <w:rFonts w:ascii="Book Antiqua" w:hAnsi="Book Antiqua" w:cs="Arial"/>
          <w:b/>
          <w:color w:val="000000"/>
        </w:rPr>
        <w:t>Upper</w:t>
      </w:r>
      <w:r w:rsidRPr="00F97703">
        <w:rPr>
          <w:rFonts w:ascii="Book Antiqua" w:hAnsi="Book Antiqua" w:cs="Arial"/>
          <w:b/>
          <w:color w:val="000000"/>
        </w:rPr>
        <w:t xml:space="preserve"> Tribunal </w:t>
      </w:r>
    </w:p>
    <w:p w:rsidR="00933B65" w:rsidRPr="00F97703" w:rsidRDefault="00933B65" w:rsidP="00933B65">
      <w:pPr>
        <w:tabs>
          <w:tab w:val="right" w:pos="9720"/>
        </w:tabs>
        <w:ind w:right="-82"/>
        <w:rPr>
          <w:rFonts w:ascii="Book Antiqua" w:hAnsi="Book Antiqua" w:cs="Arial"/>
          <w:color w:val="000000"/>
        </w:rPr>
      </w:pPr>
      <w:r w:rsidRPr="00F97703">
        <w:rPr>
          <w:rFonts w:ascii="Book Antiqua" w:hAnsi="Book Antiqua" w:cs="Arial"/>
          <w:b/>
          <w:color w:val="000000"/>
        </w:rPr>
        <w:t>(</w:t>
      </w:r>
      <w:r w:rsidR="00394426">
        <w:rPr>
          <w:rFonts w:ascii="Book Antiqua" w:hAnsi="Book Antiqua" w:cs="Arial"/>
          <w:b/>
          <w:color w:val="000000"/>
        </w:rPr>
        <w:t xml:space="preserve">Immigration and Asylum </w:t>
      </w:r>
      <w:proofErr w:type="gramStart"/>
      <w:r w:rsidR="00394426">
        <w:rPr>
          <w:rFonts w:ascii="Book Antiqua" w:hAnsi="Book Antiqua" w:cs="Arial"/>
          <w:b/>
          <w:color w:val="000000"/>
        </w:rPr>
        <w:t xml:space="preserve">Chamber)   </w:t>
      </w:r>
      <w:proofErr w:type="gramEnd"/>
      <w:r w:rsidR="00394426">
        <w:rPr>
          <w:rFonts w:ascii="Book Antiqua" w:hAnsi="Book Antiqua" w:cs="Arial"/>
          <w:b/>
          <w:color w:val="000000"/>
        </w:rPr>
        <w:t xml:space="preserve">                       </w:t>
      </w:r>
      <w:r w:rsidRPr="00394426">
        <w:rPr>
          <w:rFonts w:ascii="Book Antiqua" w:hAnsi="Book Antiqua" w:cs="Arial"/>
          <w:b/>
          <w:color w:val="000000"/>
        </w:rPr>
        <w:t xml:space="preserve">Appeal Number: </w:t>
      </w:r>
      <w:r w:rsidR="00180198" w:rsidRPr="00394426">
        <w:rPr>
          <w:rFonts w:ascii="Book Antiqua" w:hAnsi="Book Antiqua" w:cs="Arial"/>
          <w:b/>
          <w:color w:val="000000"/>
        </w:rPr>
        <w:t>EA/02450/2015</w:t>
      </w:r>
    </w:p>
    <w:p w:rsidR="00933B65" w:rsidRPr="00F97703" w:rsidRDefault="00933B65" w:rsidP="00933B65">
      <w:pPr>
        <w:jc w:val="center"/>
        <w:rPr>
          <w:rFonts w:ascii="Book Antiqua" w:hAnsi="Book Antiqua" w:cs="Arial"/>
          <w:color w:val="000000"/>
        </w:rPr>
      </w:pPr>
    </w:p>
    <w:p w:rsidR="00933B65" w:rsidRPr="00F97703" w:rsidRDefault="00933B65" w:rsidP="00933B65">
      <w:pPr>
        <w:jc w:val="center"/>
        <w:rPr>
          <w:rFonts w:ascii="Book Antiqua" w:hAnsi="Book Antiqua" w:cs="Arial"/>
          <w:b/>
          <w:color w:val="000000"/>
          <w:u w:val="single"/>
        </w:rPr>
      </w:pPr>
      <w:r w:rsidRPr="00F97703">
        <w:rPr>
          <w:rFonts w:ascii="Book Antiqua" w:hAnsi="Book Antiqua" w:cs="Arial"/>
          <w:b/>
          <w:color w:val="000000"/>
          <w:u w:val="single"/>
        </w:rPr>
        <w:t>THE IMMIGRATION ACTS</w:t>
      </w:r>
    </w:p>
    <w:p w:rsidR="00405694" w:rsidRPr="00F97703" w:rsidRDefault="00405694" w:rsidP="00405694">
      <w:pPr>
        <w:jc w:val="center"/>
        <w:rPr>
          <w:rFonts w:ascii="Book Antiqua" w:hAnsi="Book Antiqua" w:cs="Arial"/>
          <w:b/>
          <w:u w:val="single"/>
        </w:rPr>
      </w:pPr>
    </w:p>
    <w:tbl>
      <w:tblPr>
        <w:tblW w:w="10899" w:type="dxa"/>
        <w:tblLook w:val="01E0" w:firstRow="1" w:lastRow="1" w:firstColumn="1" w:lastColumn="1" w:noHBand="0" w:noVBand="0"/>
      </w:tblPr>
      <w:tblGrid>
        <w:gridCol w:w="5387"/>
        <w:gridCol w:w="5512"/>
      </w:tblGrid>
      <w:tr w:rsidR="00405694" w:rsidRPr="008D2EA4" w:rsidTr="00394426">
        <w:trPr>
          <w:trHeight w:val="653"/>
        </w:trPr>
        <w:tc>
          <w:tcPr>
            <w:tcW w:w="5387" w:type="dxa"/>
            <w:shd w:val="clear" w:color="auto" w:fill="auto"/>
          </w:tcPr>
          <w:p w:rsidR="00394426" w:rsidRDefault="00405694" w:rsidP="00AB1DC6">
            <w:pPr>
              <w:jc w:val="both"/>
              <w:rPr>
                <w:rFonts w:ascii="Book Antiqua" w:hAnsi="Book Antiqua" w:cs="Arial"/>
                <w:b/>
              </w:rPr>
            </w:pPr>
            <w:r w:rsidRPr="00AB1DC6">
              <w:rPr>
                <w:rFonts w:ascii="Book Antiqua" w:hAnsi="Book Antiqua" w:cs="Arial"/>
                <w:b/>
              </w:rPr>
              <w:t>Heard at Field House</w:t>
            </w:r>
            <w:r w:rsidR="00394426" w:rsidRPr="00AB1DC6">
              <w:rPr>
                <w:rFonts w:ascii="Book Antiqua" w:hAnsi="Book Antiqua" w:cs="Arial"/>
                <w:b/>
              </w:rPr>
              <w:t xml:space="preserve"> </w:t>
            </w:r>
          </w:p>
          <w:p w:rsidR="00405694" w:rsidRPr="00AB1DC6" w:rsidRDefault="00394426" w:rsidP="00AB1DC6">
            <w:pPr>
              <w:jc w:val="both"/>
              <w:rPr>
                <w:rFonts w:ascii="Book Antiqua" w:hAnsi="Book Antiqua" w:cs="Arial"/>
                <w:b/>
              </w:rPr>
            </w:pPr>
            <w:r w:rsidRPr="00AB1DC6">
              <w:rPr>
                <w:rFonts w:ascii="Book Antiqua" w:hAnsi="Book Antiqua" w:cs="Arial"/>
                <w:b/>
              </w:rPr>
              <w:t xml:space="preserve">On </w:t>
            </w:r>
            <w:r>
              <w:rPr>
                <w:rFonts w:ascii="Book Antiqua" w:hAnsi="Book Antiqua" w:cs="Arial"/>
                <w:b/>
              </w:rPr>
              <w:t>11 July 2018</w:t>
            </w:r>
          </w:p>
        </w:tc>
        <w:tc>
          <w:tcPr>
            <w:tcW w:w="5512" w:type="dxa"/>
            <w:shd w:val="clear" w:color="auto" w:fill="auto"/>
          </w:tcPr>
          <w:p w:rsidR="00394426" w:rsidRDefault="008D2EA4" w:rsidP="00AB1DC6">
            <w:pPr>
              <w:jc w:val="both"/>
              <w:rPr>
                <w:rFonts w:ascii="Book Antiqua" w:hAnsi="Book Antiqua"/>
                <w:b/>
              </w:rPr>
            </w:pPr>
            <w:r w:rsidRPr="008D2EA4">
              <w:rPr>
                <w:rFonts w:ascii="Book Antiqua" w:hAnsi="Book Antiqua"/>
                <w:b/>
              </w:rPr>
              <w:t>Decision and Reasons Promulgated</w:t>
            </w:r>
          </w:p>
          <w:p w:rsidR="00405694" w:rsidRPr="008D2EA4" w:rsidRDefault="00394426" w:rsidP="00AB1DC6">
            <w:pPr>
              <w:jc w:val="both"/>
              <w:rPr>
                <w:rFonts w:ascii="Book Antiqua" w:hAnsi="Book Antiqua" w:cs="Arial"/>
                <w:b/>
                <w:color w:val="000000"/>
              </w:rPr>
            </w:pPr>
            <w:r>
              <w:rPr>
                <w:rFonts w:ascii="Book Antiqua" w:hAnsi="Book Antiqua" w:cs="Arial"/>
                <w:b/>
              </w:rPr>
              <w:t>On 12 July 2018</w:t>
            </w:r>
          </w:p>
        </w:tc>
      </w:tr>
      <w:tr w:rsidR="00405694" w:rsidRPr="00AB1DC6" w:rsidTr="00394426">
        <w:trPr>
          <w:trHeight w:val="314"/>
        </w:trPr>
        <w:tc>
          <w:tcPr>
            <w:tcW w:w="5387" w:type="dxa"/>
            <w:shd w:val="clear" w:color="auto" w:fill="auto"/>
          </w:tcPr>
          <w:p w:rsidR="00405694" w:rsidRPr="00AB1DC6" w:rsidRDefault="00405694" w:rsidP="00AB1DC6">
            <w:pPr>
              <w:jc w:val="both"/>
              <w:rPr>
                <w:rFonts w:ascii="Book Antiqua" w:hAnsi="Book Antiqua" w:cs="Arial"/>
                <w:b/>
              </w:rPr>
            </w:pPr>
          </w:p>
        </w:tc>
        <w:tc>
          <w:tcPr>
            <w:tcW w:w="5512" w:type="dxa"/>
            <w:shd w:val="clear" w:color="auto" w:fill="auto"/>
          </w:tcPr>
          <w:p w:rsidR="00405694" w:rsidRPr="00AB1DC6" w:rsidRDefault="00405694" w:rsidP="00AB1DC6">
            <w:pPr>
              <w:jc w:val="both"/>
              <w:rPr>
                <w:rFonts w:ascii="Book Antiqua" w:hAnsi="Book Antiqua" w:cs="Arial"/>
                <w:b/>
              </w:rPr>
            </w:pPr>
          </w:p>
        </w:tc>
      </w:tr>
    </w:tbl>
    <w:p w:rsidR="00394426" w:rsidRDefault="00394426" w:rsidP="00933B65">
      <w:pPr>
        <w:jc w:val="center"/>
        <w:rPr>
          <w:rFonts w:ascii="Book Antiqua" w:hAnsi="Book Antiqua" w:cs="Arial"/>
          <w:b/>
        </w:rPr>
      </w:pPr>
    </w:p>
    <w:p w:rsidR="00933B65" w:rsidRPr="00F97703" w:rsidRDefault="00933B65" w:rsidP="00933B65">
      <w:pPr>
        <w:jc w:val="center"/>
        <w:rPr>
          <w:rFonts w:ascii="Book Antiqua" w:hAnsi="Book Antiqua" w:cs="Arial"/>
          <w:b/>
        </w:rPr>
      </w:pPr>
      <w:r w:rsidRPr="00F97703">
        <w:rPr>
          <w:rFonts w:ascii="Book Antiqua" w:hAnsi="Book Antiqua" w:cs="Arial"/>
          <w:b/>
        </w:rPr>
        <w:t>Before</w:t>
      </w:r>
    </w:p>
    <w:p w:rsidR="00933B65" w:rsidRDefault="00933B65" w:rsidP="00933B65">
      <w:pPr>
        <w:jc w:val="center"/>
        <w:rPr>
          <w:rFonts w:ascii="Book Antiqua" w:hAnsi="Book Antiqua" w:cs="Arial"/>
          <w:b/>
        </w:rPr>
      </w:pPr>
    </w:p>
    <w:p w:rsidR="00933B65" w:rsidRPr="00F97703" w:rsidRDefault="00546523" w:rsidP="00933B65">
      <w:pPr>
        <w:jc w:val="center"/>
        <w:rPr>
          <w:rFonts w:ascii="Book Antiqua" w:hAnsi="Book Antiqua" w:cs="Arial"/>
          <w:b/>
          <w:color w:val="000000"/>
        </w:rPr>
      </w:pPr>
      <w:r>
        <w:rPr>
          <w:rFonts w:ascii="Book Antiqua" w:hAnsi="Book Antiqua" w:cs="Arial"/>
          <w:b/>
          <w:color w:val="000000"/>
        </w:rPr>
        <w:t xml:space="preserve">UPPER TRIBUNAL JUDGE </w:t>
      </w:r>
      <w:r w:rsidR="00A57676">
        <w:rPr>
          <w:rFonts w:ascii="Book Antiqua" w:hAnsi="Book Antiqua" w:cs="Arial"/>
          <w:b/>
          <w:color w:val="000000"/>
        </w:rPr>
        <w:t>CANAVAN</w:t>
      </w:r>
    </w:p>
    <w:p w:rsidR="00E468D9" w:rsidRDefault="00E468D9" w:rsidP="00933B65">
      <w:pPr>
        <w:jc w:val="center"/>
        <w:rPr>
          <w:rFonts w:ascii="Book Antiqua" w:hAnsi="Book Antiqua" w:cs="Arial"/>
          <w:b/>
        </w:rPr>
      </w:pPr>
    </w:p>
    <w:p w:rsidR="00933B65" w:rsidRDefault="00933B65" w:rsidP="00933B65">
      <w:pPr>
        <w:jc w:val="center"/>
        <w:rPr>
          <w:rFonts w:ascii="Book Antiqua" w:hAnsi="Book Antiqua" w:cs="Arial"/>
          <w:b/>
        </w:rPr>
      </w:pPr>
      <w:r w:rsidRPr="00F97703">
        <w:rPr>
          <w:rFonts w:ascii="Book Antiqua" w:hAnsi="Book Antiqua" w:cs="Arial"/>
          <w:b/>
        </w:rPr>
        <w:t>Between</w:t>
      </w:r>
    </w:p>
    <w:p w:rsidR="00294F41" w:rsidRDefault="00294F41" w:rsidP="00933B65">
      <w:pPr>
        <w:jc w:val="center"/>
        <w:rPr>
          <w:rFonts w:ascii="Book Antiqua" w:hAnsi="Book Antiqua" w:cs="Arial"/>
          <w:b/>
        </w:rPr>
      </w:pPr>
    </w:p>
    <w:p w:rsidR="00933B65" w:rsidRDefault="00E13AB0" w:rsidP="00933B65">
      <w:pPr>
        <w:jc w:val="center"/>
        <w:rPr>
          <w:rFonts w:ascii="Book Antiqua" w:hAnsi="Book Antiqua" w:cs="Arial"/>
          <w:b/>
        </w:rPr>
      </w:pPr>
      <w:r>
        <w:rPr>
          <w:rFonts w:ascii="Book Antiqua" w:hAnsi="Book Antiqua" w:cs="Arial"/>
          <w:b/>
        </w:rPr>
        <w:t>ALPHA OMAR JALLOH</w:t>
      </w:r>
    </w:p>
    <w:p w:rsidR="00933B65" w:rsidRDefault="00933B65" w:rsidP="00933B65">
      <w:pPr>
        <w:jc w:val="right"/>
        <w:rPr>
          <w:rFonts w:ascii="Book Antiqua" w:hAnsi="Book Antiqua" w:cs="Arial"/>
          <w:u w:val="single"/>
        </w:rPr>
      </w:pPr>
      <w:r w:rsidRPr="00F97703">
        <w:rPr>
          <w:rFonts w:ascii="Book Antiqua" w:hAnsi="Book Antiqua" w:cs="Arial"/>
          <w:u w:val="single"/>
        </w:rPr>
        <w:t>Appellant</w:t>
      </w:r>
    </w:p>
    <w:p w:rsidR="00294F41" w:rsidRPr="00F97703" w:rsidRDefault="00294F41" w:rsidP="00933B65">
      <w:pPr>
        <w:jc w:val="right"/>
        <w:rPr>
          <w:rFonts w:ascii="Book Antiqua" w:hAnsi="Book Antiqua" w:cs="Arial"/>
          <w:u w:val="single"/>
        </w:rPr>
      </w:pPr>
    </w:p>
    <w:p w:rsidR="00933B65" w:rsidRDefault="00394426" w:rsidP="00933B65">
      <w:pPr>
        <w:jc w:val="center"/>
        <w:rPr>
          <w:rFonts w:ascii="Book Antiqua" w:hAnsi="Book Antiqua" w:cs="Arial"/>
          <w:b/>
        </w:rPr>
      </w:pPr>
      <w:r>
        <w:rPr>
          <w:rFonts w:ascii="Book Antiqua" w:hAnsi="Book Antiqua" w:cs="Arial"/>
          <w:b/>
        </w:rPr>
        <w:t>a</w:t>
      </w:r>
      <w:r w:rsidR="00933B65" w:rsidRPr="00F97703">
        <w:rPr>
          <w:rFonts w:ascii="Book Antiqua" w:hAnsi="Book Antiqua" w:cs="Arial"/>
          <w:b/>
        </w:rPr>
        <w:t>nd</w:t>
      </w:r>
    </w:p>
    <w:p w:rsidR="00394426" w:rsidRPr="00F97703" w:rsidRDefault="00394426" w:rsidP="00933B65">
      <w:pPr>
        <w:jc w:val="center"/>
        <w:rPr>
          <w:rFonts w:ascii="Book Antiqua" w:hAnsi="Book Antiqua" w:cs="Arial"/>
          <w:b/>
        </w:rPr>
      </w:pPr>
    </w:p>
    <w:p w:rsidR="00933B65" w:rsidRDefault="00394426" w:rsidP="00933B65">
      <w:pPr>
        <w:jc w:val="center"/>
        <w:rPr>
          <w:rFonts w:ascii="Book Antiqua" w:hAnsi="Book Antiqua" w:cs="Arial"/>
          <w:b/>
        </w:rPr>
      </w:pPr>
      <w:r>
        <w:rPr>
          <w:rFonts w:ascii="Book Antiqua" w:hAnsi="Book Antiqua" w:cs="Arial"/>
          <w:b/>
        </w:rPr>
        <w:t>THE SECRETARY OF STATE FOR THE HOME DEPARTMENT</w:t>
      </w:r>
    </w:p>
    <w:p w:rsidR="00933B65" w:rsidRDefault="00933B65" w:rsidP="00933B65">
      <w:pPr>
        <w:jc w:val="right"/>
        <w:rPr>
          <w:rFonts w:ascii="Book Antiqua" w:hAnsi="Book Antiqua" w:cs="Arial"/>
          <w:u w:val="single"/>
        </w:rPr>
      </w:pPr>
      <w:r w:rsidRPr="00F97703">
        <w:rPr>
          <w:rFonts w:ascii="Book Antiqua" w:hAnsi="Book Antiqua" w:cs="Arial"/>
          <w:u w:val="single"/>
        </w:rPr>
        <w:t>Respondent</w:t>
      </w:r>
    </w:p>
    <w:p w:rsidR="001B6898" w:rsidRPr="00F97703" w:rsidRDefault="001B6898" w:rsidP="00933B65">
      <w:pPr>
        <w:jc w:val="right"/>
        <w:rPr>
          <w:rFonts w:ascii="Book Antiqua" w:hAnsi="Book Antiqua" w:cs="Arial"/>
          <w:u w:val="single"/>
        </w:rPr>
      </w:pPr>
    </w:p>
    <w:p w:rsidR="00405694" w:rsidRDefault="00405694" w:rsidP="00933B65">
      <w:pPr>
        <w:rPr>
          <w:rFonts w:ascii="Book Antiqua" w:hAnsi="Book Antiqua" w:cs="Arial"/>
          <w:b/>
          <w:u w:val="single"/>
        </w:rPr>
      </w:pPr>
      <w:r w:rsidRPr="00405694">
        <w:rPr>
          <w:rFonts w:ascii="Book Antiqua" w:hAnsi="Book Antiqua" w:cs="Arial"/>
          <w:b/>
          <w:u w:val="single"/>
        </w:rPr>
        <w:t>Representation:</w:t>
      </w:r>
    </w:p>
    <w:p w:rsidR="00405694" w:rsidRDefault="00405694" w:rsidP="00933B65">
      <w:pPr>
        <w:rPr>
          <w:rFonts w:ascii="Book Antiqua" w:hAnsi="Book Antiqua" w:cs="Arial"/>
        </w:rPr>
      </w:pPr>
    </w:p>
    <w:p w:rsidR="00405694" w:rsidRDefault="00405694" w:rsidP="00933B65">
      <w:pPr>
        <w:rPr>
          <w:rFonts w:ascii="Book Antiqua" w:hAnsi="Book Antiqua" w:cs="Arial"/>
        </w:rPr>
      </w:pPr>
      <w:r>
        <w:rPr>
          <w:rFonts w:ascii="Book Antiqua" w:hAnsi="Book Antiqua" w:cs="Arial"/>
        </w:rPr>
        <w:t>For the appellant:</w:t>
      </w:r>
      <w:r>
        <w:rPr>
          <w:rFonts w:ascii="Book Antiqua" w:hAnsi="Book Antiqua" w:cs="Arial"/>
        </w:rPr>
        <w:tab/>
      </w:r>
      <w:r>
        <w:rPr>
          <w:rFonts w:ascii="Book Antiqua" w:hAnsi="Book Antiqua" w:cs="Arial"/>
        </w:rPr>
        <w:tab/>
      </w:r>
      <w:r w:rsidR="00A606C2">
        <w:rPr>
          <w:rFonts w:ascii="Book Antiqua" w:hAnsi="Book Antiqua" w:cs="Arial"/>
        </w:rPr>
        <w:t xml:space="preserve">Mr E. </w:t>
      </w:r>
      <w:proofErr w:type="spellStart"/>
      <w:r w:rsidR="00A606C2">
        <w:rPr>
          <w:rFonts w:ascii="Book Antiqua" w:hAnsi="Book Antiqua" w:cs="Arial"/>
        </w:rPr>
        <w:t>Akohene</w:t>
      </w:r>
      <w:proofErr w:type="spellEnd"/>
      <w:r w:rsidR="00A606C2">
        <w:rPr>
          <w:rFonts w:ascii="Book Antiqua" w:hAnsi="Book Antiqua" w:cs="Arial"/>
        </w:rPr>
        <w:t xml:space="preserve"> of </w:t>
      </w:r>
      <w:proofErr w:type="spellStart"/>
      <w:r w:rsidR="00A606C2">
        <w:rPr>
          <w:rFonts w:ascii="Book Antiqua" w:hAnsi="Book Antiqua" w:cs="Arial"/>
        </w:rPr>
        <w:t>Afrifa</w:t>
      </w:r>
      <w:proofErr w:type="spellEnd"/>
      <w:r w:rsidR="00A606C2">
        <w:rPr>
          <w:rFonts w:ascii="Book Antiqua" w:hAnsi="Book Antiqua" w:cs="Arial"/>
        </w:rPr>
        <w:t xml:space="preserve"> and Partners Solicitors</w:t>
      </w:r>
    </w:p>
    <w:p w:rsidR="00405694" w:rsidRDefault="00405694" w:rsidP="00933B65">
      <w:pPr>
        <w:rPr>
          <w:rFonts w:ascii="Book Antiqua" w:hAnsi="Book Antiqua" w:cs="Arial"/>
        </w:rPr>
      </w:pPr>
      <w:r>
        <w:rPr>
          <w:rFonts w:ascii="Book Antiqua" w:hAnsi="Book Antiqua" w:cs="Arial"/>
        </w:rPr>
        <w:t>For the respondent:</w:t>
      </w:r>
      <w:r>
        <w:rPr>
          <w:rFonts w:ascii="Book Antiqua" w:hAnsi="Book Antiqua" w:cs="Arial"/>
        </w:rPr>
        <w:tab/>
      </w:r>
      <w:r>
        <w:rPr>
          <w:rFonts w:ascii="Book Antiqua" w:hAnsi="Book Antiqua" w:cs="Arial"/>
        </w:rPr>
        <w:tab/>
      </w:r>
      <w:r w:rsidR="00A606C2">
        <w:rPr>
          <w:rFonts w:ascii="Book Antiqua" w:hAnsi="Book Antiqua" w:cs="Arial"/>
        </w:rPr>
        <w:t xml:space="preserve">Mr D. Mills, Senior Home Office Presenting Officer </w:t>
      </w:r>
    </w:p>
    <w:p w:rsidR="00405694" w:rsidRPr="00405694" w:rsidRDefault="00405694" w:rsidP="00933B65">
      <w:pPr>
        <w:rPr>
          <w:rFonts w:ascii="Book Antiqua" w:hAnsi="Book Antiqua" w:cs="Arial"/>
        </w:rPr>
      </w:pPr>
    </w:p>
    <w:p w:rsidR="00056E7C" w:rsidRDefault="00405694" w:rsidP="00405694">
      <w:pPr>
        <w:tabs>
          <w:tab w:val="left" w:pos="2520"/>
        </w:tabs>
        <w:jc w:val="center"/>
        <w:rPr>
          <w:rFonts w:ascii="Book Antiqua" w:hAnsi="Book Antiqua" w:cs="Arial"/>
          <w:b/>
          <w:u w:val="single"/>
        </w:rPr>
      </w:pPr>
      <w:r>
        <w:rPr>
          <w:rFonts w:ascii="Book Antiqua" w:hAnsi="Book Antiqua" w:cs="Arial"/>
          <w:b/>
          <w:u w:val="single"/>
        </w:rPr>
        <w:t>DECISION</w:t>
      </w:r>
      <w:r w:rsidRPr="00F97703">
        <w:rPr>
          <w:rFonts w:ascii="Book Antiqua" w:hAnsi="Book Antiqua" w:cs="Arial"/>
          <w:b/>
          <w:u w:val="single"/>
        </w:rPr>
        <w:t xml:space="preserve"> AND REASONS</w:t>
      </w:r>
    </w:p>
    <w:p w:rsidR="009C6C7B" w:rsidRDefault="009C6C7B" w:rsidP="00405694">
      <w:pPr>
        <w:tabs>
          <w:tab w:val="left" w:pos="2520"/>
        </w:tabs>
        <w:jc w:val="center"/>
        <w:rPr>
          <w:rFonts w:ascii="Book Antiqua" w:hAnsi="Book Antiqua" w:cs="Arial"/>
        </w:rPr>
      </w:pPr>
      <w:bookmarkStart w:id="0" w:name="_GoBack"/>
      <w:bookmarkEnd w:id="0"/>
    </w:p>
    <w:p w:rsidR="00056E7C" w:rsidRDefault="00056E7C" w:rsidP="00933B65">
      <w:pPr>
        <w:tabs>
          <w:tab w:val="left" w:pos="567"/>
        </w:tabs>
        <w:jc w:val="both"/>
        <w:rPr>
          <w:rFonts w:ascii="Book Antiqua" w:hAnsi="Book Antiqua" w:cs="Arial"/>
        </w:rPr>
      </w:pPr>
    </w:p>
    <w:p w:rsidR="00A606C2" w:rsidRDefault="00A606C2" w:rsidP="00A606C2">
      <w:pPr>
        <w:tabs>
          <w:tab w:val="left" w:pos="567"/>
        </w:tabs>
        <w:ind w:left="564" w:hanging="564"/>
        <w:jc w:val="both"/>
        <w:rPr>
          <w:rFonts w:ascii="Book Antiqua" w:hAnsi="Book Antiqua" w:cs="Arial"/>
        </w:rPr>
      </w:pPr>
      <w:r>
        <w:rPr>
          <w:rFonts w:ascii="Book Antiqua" w:hAnsi="Book Antiqua" w:cs="Arial"/>
        </w:rPr>
        <w:t>1.</w:t>
      </w:r>
      <w:r>
        <w:rPr>
          <w:rFonts w:ascii="Book Antiqua" w:hAnsi="Book Antiqua" w:cs="Arial"/>
        </w:rPr>
        <w:tab/>
        <w:t xml:space="preserve">The appellant appealed the respondent’s decision dated 26 October 2015 to refuse to issue a residence card recognising a retained right of residence as the former spouse of an EEA national. The sole reason for refusal was that the appellant had failed to produce evidence to show that the </w:t>
      </w:r>
      <w:r w:rsidR="001B6898">
        <w:rPr>
          <w:rFonts w:ascii="Book Antiqua" w:hAnsi="Book Antiqua" w:cs="Arial"/>
        </w:rPr>
        <w:t xml:space="preserve">former </w:t>
      </w:r>
      <w:r>
        <w:rPr>
          <w:rFonts w:ascii="Book Antiqua" w:hAnsi="Book Antiqua" w:cs="Arial"/>
        </w:rPr>
        <w:t xml:space="preserve">EEA national spouse was exercising rights of free movement at the date of the divorce on 25 March 2014. </w:t>
      </w:r>
    </w:p>
    <w:p w:rsidR="00A606C2" w:rsidRDefault="00A606C2" w:rsidP="00A606C2">
      <w:pPr>
        <w:tabs>
          <w:tab w:val="left" w:pos="567"/>
        </w:tabs>
        <w:ind w:left="564" w:hanging="564"/>
        <w:jc w:val="both"/>
        <w:rPr>
          <w:rFonts w:ascii="Book Antiqua" w:hAnsi="Book Antiqua" w:cs="Arial"/>
        </w:rPr>
      </w:pPr>
    </w:p>
    <w:p w:rsidR="00A606C2" w:rsidRDefault="00A606C2" w:rsidP="00A606C2">
      <w:pPr>
        <w:tabs>
          <w:tab w:val="left" w:pos="567"/>
        </w:tabs>
        <w:ind w:left="564" w:hanging="564"/>
        <w:jc w:val="both"/>
        <w:rPr>
          <w:rFonts w:ascii="Book Antiqua" w:hAnsi="Book Antiqua" w:cs="Arial"/>
        </w:rPr>
      </w:pPr>
      <w:r>
        <w:rPr>
          <w:rFonts w:ascii="Book Antiqua" w:hAnsi="Book Antiqua" w:cs="Arial"/>
        </w:rPr>
        <w:t>2.</w:t>
      </w:r>
      <w:r>
        <w:rPr>
          <w:rFonts w:ascii="Book Antiqua" w:hAnsi="Book Antiqua" w:cs="Arial"/>
        </w:rPr>
        <w:tab/>
        <w:t>The appellant appealed to the First-tier Tribunal, which made a direction for the respondent to produce records of the EEA national’s payments to HMRC</w:t>
      </w:r>
      <w:r w:rsidR="001669D3">
        <w:rPr>
          <w:rFonts w:ascii="Book Antiqua" w:hAnsi="Book Antiqua" w:cs="Arial"/>
        </w:rPr>
        <w:t xml:space="preserve">. First-tier Tribunal Judge Coutts accepted </w:t>
      </w:r>
      <w:r w:rsidR="001B6898">
        <w:rPr>
          <w:rFonts w:ascii="Book Antiqua" w:hAnsi="Book Antiqua" w:cs="Arial"/>
        </w:rPr>
        <w:t xml:space="preserve">that </w:t>
      </w:r>
      <w:r w:rsidR="001669D3">
        <w:rPr>
          <w:rFonts w:ascii="Book Antiqua" w:hAnsi="Book Antiqua" w:cs="Arial"/>
        </w:rPr>
        <w:t>the records showed that the former EEA national spouse earned a gross income of £17,885.37 in the tax year 2013-2014</w:t>
      </w:r>
      <w:r w:rsidR="001B6898">
        <w:rPr>
          <w:rFonts w:ascii="Book Antiqua" w:hAnsi="Book Antiqua" w:cs="Arial"/>
        </w:rPr>
        <w:t xml:space="preserve"> [11]</w:t>
      </w:r>
      <w:r w:rsidR="001669D3">
        <w:rPr>
          <w:rFonts w:ascii="Book Antiqua" w:hAnsi="Book Antiqua" w:cs="Arial"/>
        </w:rPr>
        <w:t>. However, the judge concluded:</w:t>
      </w:r>
    </w:p>
    <w:p w:rsidR="001669D3" w:rsidRDefault="001669D3" w:rsidP="00A606C2">
      <w:pPr>
        <w:tabs>
          <w:tab w:val="left" w:pos="567"/>
        </w:tabs>
        <w:ind w:left="564" w:hanging="564"/>
        <w:jc w:val="both"/>
        <w:rPr>
          <w:rFonts w:ascii="Book Antiqua" w:hAnsi="Book Antiqua" w:cs="Arial"/>
        </w:rPr>
      </w:pPr>
    </w:p>
    <w:p w:rsidR="001669D3" w:rsidRPr="001669D3" w:rsidRDefault="001669D3" w:rsidP="001669D3">
      <w:pPr>
        <w:tabs>
          <w:tab w:val="left" w:pos="567"/>
        </w:tabs>
        <w:ind w:left="1440" w:hanging="1440"/>
        <w:jc w:val="both"/>
        <w:rPr>
          <w:rFonts w:ascii="Book Antiqua" w:hAnsi="Book Antiqua" w:cs="Arial"/>
          <w:sz w:val="20"/>
          <w:szCs w:val="20"/>
        </w:rPr>
      </w:pPr>
      <w:r>
        <w:rPr>
          <w:rFonts w:ascii="Book Antiqua" w:hAnsi="Book Antiqua" w:cs="Arial"/>
        </w:rPr>
        <w:lastRenderedPageBreak/>
        <w:tab/>
      </w:r>
      <w:r w:rsidRPr="001669D3">
        <w:rPr>
          <w:rFonts w:ascii="Book Antiqua" w:hAnsi="Book Antiqua" w:cs="Arial"/>
          <w:sz w:val="20"/>
          <w:szCs w:val="20"/>
        </w:rPr>
        <w:t>“19.</w:t>
      </w:r>
      <w:r w:rsidRPr="001669D3">
        <w:rPr>
          <w:rFonts w:ascii="Book Antiqua" w:hAnsi="Book Antiqua" w:cs="Arial"/>
          <w:sz w:val="20"/>
          <w:szCs w:val="20"/>
        </w:rPr>
        <w:tab/>
        <w:t xml:space="preserve">The only reliable information I have before me are the records from HMRC and these just give global figures for the tax year 2013-2014 for the sponsor with two employers and not whether her employment was continuous throughout that period. </w:t>
      </w:r>
    </w:p>
    <w:p w:rsidR="001669D3" w:rsidRPr="001669D3" w:rsidRDefault="001669D3" w:rsidP="00A606C2">
      <w:pPr>
        <w:tabs>
          <w:tab w:val="left" w:pos="567"/>
        </w:tabs>
        <w:ind w:left="564" w:hanging="564"/>
        <w:jc w:val="both"/>
        <w:rPr>
          <w:rFonts w:ascii="Book Antiqua" w:hAnsi="Book Antiqua" w:cs="Arial"/>
          <w:sz w:val="20"/>
          <w:szCs w:val="20"/>
        </w:rPr>
      </w:pPr>
    </w:p>
    <w:p w:rsidR="001669D3" w:rsidRPr="001669D3" w:rsidRDefault="001669D3" w:rsidP="001669D3">
      <w:pPr>
        <w:tabs>
          <w:tab w:val="left" w:pos="567"/>
        </w:tabs>
        <w:ind w:left="1440" w:hanging="1440"/>
        <w:jc w:val="both"/>
        <w:rPr>
          <w:rFonts w:ascii="Book Antiqua" w:hAnsi="Book Antiqua" w:cs="Arial"/>
          <w:sz w:val="20"/>
          <w:szCs w:val="20"/>
        </w:rPr>
      </w:pPr>
      <w:r w:rsidRPr="001669D3">
        <w:rPr>
          <w:rFonts w:ascii="Book Antiqua" w:hAnsi="Book Antiqua" w:cs="Arial"/>
          <w:sz w:val="20"/>
          <w:szCs w:val="20"/>
        </w:rPr>
        <w:tab/>
        <w:t>20.</w:t>
      </w:r>
      <w:r w:rsidRPr="001669D3">
        <w:rPr>
          <w:rFonts w:ascii="Book Antiqua" w:hAnsi="Book Antiqua" w:cs="Arial"/>
          <w:sz w:val="20"/>
          <w:szCs w:val="20"/>
        </w:rPr>
        <w:tab/>
        <w:t>I therefore have to conclude that the appellant has not discharged the burden upon him to show that the sponsor was exercising treat</w:t>
      </w:r>
      <w:r w:rsidR="00BA2264">
        <w:rPr>
          <w:rFonts w:ascii="Book Antiqua" w:hAnsi="Book Antiqua" w:cs="Arial"/>
          <w:sz w:val="20"/>
          <w:szCs w:val="20"/>
        </w:rPr>
        <w:t>y</w:t>
      </w:r>
      <w:r w:rsidRPr="001669D3">
        <w:rPr>
          <w:rFonts w:ascii="Book Antiqua" w:hAnsi="Book Antiqua" w:cs="Arial"/>
          <w:sz w:val="20"/>
          <w:szCs w:val="20"/>
        </w:rPr>
        <w:t xml:space="preserve"> rights on 25 March 2014.”</w:t>
      </w:r>
    </w:p>
    <w:p w:rsidR="00405694" w:rsidRDefault="00405694" w:rsidP="00933B65">
      <w:pPr>
        <w:tabs>
          <w:tab w:val="left" w:pos="567"/>
        </w:tabs>
        <w:jc w:val="both"/>
        <w:rPr>
          <w:rFonts w:ascii="Book Antiqua" w:hAnsi="Book Antiqua" w:cs="Arial"/>
        </w:rPr>
      </w:pPr>
    </w:p>
    <w:p w:rsidR="00405694" w:rsidRDefault="001669D3" w:rsidP="001669D3">
      <w:pPr>
        <w:tabs>
          <w:tab w:val="left" w:pos="567"/>
        </w:tabs>
        <w:ind w:left="564" w:hanging="564"/>
        <w:jc w:val="both"/>
        <w:rPr>
          <w:rFonts w:ascii="Book Antiqua" w:hAnsi="Book Antiqua" w:cs="Arial"/>
        </w:rPr>
      </w:pPr>
      <w:r>
        <w:rPr>
          <w:rFonts w:ascii="Book Antiqua" w:hAnsi="Book Antiqua" w:cs="Arial"/>
        </w:rPr>
        <w:t>3.</w:t>
      </w:r>
      <w:r>
        <w:rPr>
          <w:rFonts w:ascii="Book Antiqua" w:hAnsi="Book Antiqua" w:cs="Arial"/>
        </w:rPr>
        <w:tab/>
        <w:t>It is not necessary to set out the appellant’s grounds of appeal to the Upper Tribunal because Mr Mills accepted that the decision involved the making of an error of law. The judge’s decision either (</w:t>
      </w:r>
      <w:proofErr w:type="spellStart"/>
      <w:r>
        <w:rPr>
          <w:rFonts w:ascii="Book Antiqua" w:hAnsi="Book Antiqua" w:cs="Arial"/>
        </w:rPr>
        <w:t>i</w:t>
      </w:r>
      <w:proofErr w:type="spellEnd"/>
      <w:r>
        <w:rPr>
          <w:rFonts w:ascii="Book Antiqua" w:hAnsi="Book Antiqua" w:cs="Arial"/>
        </w:rPr>
        <w:t xml:space="preserve">) </w:t>
      </w:r>
      <w:r w:rsidR="00BA2264">
        <w:rPr>
          <w:rFonts w:ascii="Book Antiqua" w:hAnsi="Book Antiqua" w:cs="Arial"/>
        </w:rPr>
        <w:t>applied too high a standard of proof</w:t>
      </w:r>
      <w:r>
        <w:rPr>
          <w:rFonts w:ascii="Book Antiqua" w:hAnsi="Book Antiqua" w:cs="Arial"/>
        </w:rPr>
        <w:t xml:space="preserve">; or (ii) </w:t>
      </w:r>
      <w:r w:rsidR="00BA2264">
        <w:rPr>
          <w:rFonts w:ascii="Book Antiqua" w:hAnsi="Book Antiqua" w:cs="Arial"/>
        </w:rPr>
        <w:t xml:space="preserve">was perverse </w:t>
      </w:r>
      <w:proofErr w:type="gramStart"/>
      <w:r w:rsidR="00BA2264">
        <w:rPr>
          <w:rFonts w:ascii="Book Antiqua" w:hAnsi="Book Antiqua" w:cs="Arial"/>
        </w:rPr>
        <w:t>in light of</w:t>
      </w:r>
      <w:proofErr w:type="gramEnd"/>
      <w:r w:rsidR="00BA2264">
        <w:rPr>
          <w:rFonts w:ascii="Book Antiqua" w:hAnsi="Book Antiqua" w:cs="Arial"/>
        </w:rPr>
        <w:t xml:space="preserve"> the evidence</w:t>
      </w:r>
      <w:r>
        <w:rPr>
          <w:rFonts w:ascii="Book Antiqua" w:hAnsi="Book Antiqua" w:cs="Arial"/>
        </w:rPr>
        <w:t xml:space="preserve">. He urged me to set aside the decision and to remake the decision and allow the appeal. </w:t>
      </w:r>
      <w:proofErr w:type="gramStart"/>
      <w:r>
        <w:rPr>
          <w:rFonts w:ascii="Book Antiqua" w:hAnsi="Book Antiqua" w:cs="Arial"/>
        </w:rPr>
        <w:t>In light of</w:t>
      </w:r>
      <w:proofErr w:type="gramEnd"/>
      <w:r>
        <w:rPr>
          <w:rFonts w:ascii="Book Antiqua" w:hAnsi="Book Antiqua" w:cs="Arial"/>
        </w:rPr>
        <w:t xml:space="preserve"> this concession</w:t>
      </w:r>
      <w:r w:rsidR="00BA2264">
        <w:rPr>
          <w:rFonts w:ascii="Book Antiqua" w:hAnsi="Book Antiqua" w:cs="Arial"/>
        </w:rPr>
        <w:t>,</w:t>
      </w:r>
      <w:r>
        <w:rPr>
          <w:rFonts w:ascii="Book Antiqua" w:hAnsi="Book Antiqua" w:cs="Arial"/>
        </w:rPr>
        <w:t xml:space="preserve"> it was not necessary for Mr </w:t>
      </w:r>
      <w:proofErr w:type="spellStart"/>
      <w:r>
        <w:rPr>
          <w:rFonts w:ascii="Book Antiqua" w:hAnsi="Book Antiqua" w:cs="Arial"/>
        </w:rPr>
        <w:t>Akohene</w:t>
      </w:r>
      <w:proofErr w:type="spellEnd"/>
      <w:r>
        <w:rPr>
          <w:rFonts w:ascii="Book Antiqua" w:hAnsi="Book Antiqua" w:cs="Arial"/>
        </w:rPr>
        <w:t xml:space="preserve"> to make any submissions. </w:t>
      </w:r>
    </w:p>
    <w:p w:rsidR="00405694" w:rsidRDefault="00405694" w:rsidP="00933B65">
      <w:pPr>
        <w:tabs>
          <w:tab w:val="left" w:pos="567"/>
        </w:tabs>
        <w:jc w:val="both"/>
        <w:rPr>
          <w:rFonts w:ascii="Book Antiqua" w:hAnsi="Book Antiqua" w:cs="Arial"/>
        </w:rPr>
      </w:pPr>
    </w:p>
    <w:p w:rsidR="00405694" w:rsidRDefault="001669D3" w:rsidP="0019494F">
      <w:pPr>
        <w:tabs>
          <w:tab w:val="left" w:pos="567"/>
        </w:tabs>
        <w:ind w:left="564" w:hanging="564"/>
        <w:jc w:val="both"/>
        <w:rPr>
          <w:rFonts w:ascii="Book Antiqua" w:hAnsi="Book Antiqua" w:cs="Arial"/>
        </w:rPr>
      </w:pPr>
      <w:r>
        <w:rPr>
          <w:rFonts w:ascii="Book Antiqua" w:hAnsi="Book Antiqua" w:cs="Arial"/>
        </w:rPr>
        <w:t>4.</w:t>
      </w:r>
      <w:r>
        <w:rPr>
          <w:rFonts w:ascii="Book Antiqua" w:hAnsi="Book Antiqua" w:cs="Arial"/>
        </w:rPr>
        <w:tab/>
        <w:t xml:space="preserve">I find that Mr Mills’ concession is sensible and clearly correct. </w:t>
      </w:r>
      <w:r w:rsidR="0019494F">
        <w:rPr>
          <w:rFonts w:ascii="Book Antiqua" w:hAnsi="Book Antiqua" w:cs="Arial"/>
        </w:rPr>
        <w:t xml:space="preserve">The appellant only had to prove his case on the balance of probabilities. The evidence from HMRC reflected an average annual income for the tax year 2013-2014, which suggested that it was more likely than not that the appellant’s former spouse was exercising rights of free movement at the date of the divorce. If the income had been nominal, there might have been some question as to whether she was in employment for the whole of the tax year, but it was not. To require the appellant to prove his case with any greater degree of certainty amounted to an error in the application of the standard of proof. I conclude that the First-tier Tribunal decision involved the making of an error of law for the reasons given by Mr Mills. </w:t>
      </w:r>
    </w:p>
    <w:p w:rsidR="0019494F" w:rsidRDefault="0019494F" w:rsidP="0019494F">
      <w:pPr>
        <w:tabs>
          <w:tab w:val="left" w:pos="567"/>
        </w:tabs>
        <w:ind w:left="564" w:hanging="564"/>
        <w:jc w:val="both"/>
        <w:rPr>
          <w:rFonts w:ascii="Book Antiqua" w:hAnsi="Book Antiqua" w:cs="Arial"/>
        </w:rPr>
      </w:pPr>
    </w:p>
    <w:p w:rsidR="001669D3" w:rsidRDefault="0019494F" w:rsidP="001B6898">
      <w:pPr>
        <w:tabs>
          <w:tab w:val="left" w:pos="567"/>
        </w:tabs>
        <w:ind w:left="564" w:hanging="564"/>
        <w:jc w:val="both"/>
        <w:rPr>
          <w:rFonts w:ascii="Book Antiqua" w:hAnsi="Book Antiqua" w:cs="Arial"/>
        </w:rPr>
      </w:pPr>
      <w:r>
        <w:rPr>
          <w:rFonts w:ascii="Book Antiqua" w:hAnsi="Book Antiqua" w:cs="Arial"/>
        </w:rPr>
        <w:t>5.</w:t>
      </w:r>
      <w:r>
        <w:rPr>
          <w:rFonts w:ascii="Book Antiqua" w:hAnsi="Book Antiqua" w:cs="Arial"/>
        </w:rPr>
        <w:tab/>
        <w:t>I am satisfied that the evidence from the HMRC was sufficient to show on the balance of probabilities that the appellant’s former spouse was likely to be exercising rights of free movement at the date of the divorce on 25 March 2014. As such, the appellant meets the requirements of regulation 10</w:t>
      </w:r>
      <w:r w:rsidR="001B6898">
        <w:rPr>
          <w:rFonts w:ascii="Book Antiqua" w:hAnsi="Book Antiqua" w:cs="Arial"/>
        </w:rPr>
        <w:t xml:space="preserve">(5) of The Immigration (European Economic Area) Regulations 2006. This was the only reasons for refusal. As such, the appeal is allowed. </w:t>
      </w:r>
    </w:p>
    <w:p w:rsidR="001669D3" w:rsidRDefault="001669D3" w:rsidP="00933B65">
      <w:pPr>
        <w:tabs>
          <w:tab w:val="left" w:pos="567"/>
        </w:tabs>
        <w:jc w:val="both"/>
        <w:rPr>
          <w:rFonts w:ascii="Book Antiqua" w:hAnsi="Book Antiqua" w:cs="Arial"/>
        </w:rPr>
      </w:pPr>
    </w:p>
    <w:p w:rsidR="00394426" w:rsidRDefault="00394426" w:rsidP="00933B65">
      <w:pPr>
        <w:tabs>
          <w:tab w:val="left" w:pos="567"/>
        </w:tabs>
        <w:jc w:val="both"/>
        <w:rPr>
          <w:rFonts w:ascii="Book Antiqua" w:hAnsi="Book Antiqua" w:cs="Arial"/>
          <w:b/>
          <w:u w:val="single"/>
        </w:rPr>
      </w:pPr>
    </w:p>
    <w:p w:rsidR="00405694" w:rsidRDefault="001669D3" w:rsidP="00933B65">
      <w:pPr>
        <w:tabs>
          <w:tab w:val="left" w:pos="567"/>
        </w:tabs>
        <w:jc w:val="both"/>
        <w:rPr>
          <w:rFonts w:ascii="Book Antiqua" w:hAnsi="Book Antiqua" w:cs="Arial"/>
        </w:rPr>
      </w:pPr>
      <w:r>
        <w:rPr>
          <w:rFonts w:ascii="Book Antiqua" w:hAnsi="Book Antiqua" w:cs="Arial"/>
          <w:b/>
          <w:u w:val="single"/>
        </w:rPr>
        <w:t>DECISION</w:t>
      </w:r>
    </w:p>
    <w:p w:rsidR="00405694" w:rsidRDefault="00405694" w:rsidP="00933B65">
      <w:pPr>
        <w:tabs>
          <w:tab w:val="left" w:pos="567"/>
        </w:tabs>
        <w:jc w:val="both"/>
        <w:rPr>
          <w:rFonts w:ascii="Book Antiqua" w:hAnsi="Book Antiqua" w:cs="Arial"/>
        </w:rPr>
      </w:pPr>
    </w:p>
    <w:p w:rsidR="001669D3" w:rsidRDefault="001669D3" w:rsidP="00933B65">
      <w:pPr>
        <w:tabs>
          <w:tab w:val="left" w:pos="567"/>
        </w:tabs>
        <w:jc w:val="both"/>
        <w:rPr>
          <w:rFonts w:ascii="Book Antiqua" w:hAnsi="Book Antiqua" w:cs="Arial"/>
        </w:rPr>
      </w:pPr>
      <w:r>
        <w:rPr>
          <w:rFonts w:ascii="Book Antiqua" w:hAnsi="Book Antiqua" w:cs="Arial"/>
        </w:rPr>
        <w:t>The First-tier Tribunal decision involved the making of an error of law</w:t>
      </w:r>
    </w:p>
    <w:p w:rsidR="001669D3" w:rsidRDefault="001669D3" w:rsidP="00933B65">
      <w:pPr>
        <w:tabs>
          <w:tab w:val="left" w:pos="567"/>
        </w:tabs>
        <w:jc w:val="both"/>
        <w:rPr>
          <w:rFonts w:ascii="Book Antiqua" w:hAnsi="Book Antiqua" w:cs="Arial"/>
        </w:rPr>
      </w:pPr>
    </w:p>
    <w:p w:rsidR="001669D3" w:rsidRDefault="001669D3" w:rsidP="00933B65">
      <w:pPr>
        <w:tabs>
          <w:tab w:val="left" w:pos="567"/>
        </w:tabs>
        <w:jc w:val="both"/>
        <w:rPr>
          <w:rFonts w:ascii="Book Antiqua" w:hAnsi="Book Antiqua" w:cs="Arial"/>
        </w:rPr>
      </w:pPr>
      <w:r>
        <w:rPr>
          <w:rFonts w:ascii="Book Antiqua" w:hAnsi="Book Antiqua" w:cs="Arial"/>
        </w:rPr>
        <w:t>The decision is set aside</w:t>
      </w:r>
    </w:p>
    <w:p w:rsidR="001669D3" w:rsidRDefault="001669D3" w:rsidP="00933B65">
      <w:pPr>
        <w:tabs>
          <w:tab w:val="left" w:pos="567"/>
        </w:tabs>
        <w:jc w:val="both"/>
        <w:rPr>
          <w:rFonts w:ascii="Book Antiqua" w:hAnsi="Book Antiqua" w:cs="Arial"/>
        </w:rPr>
      </w:pPr>
    </w:p>
    <w:p w:rsidR="001669D3" w:rsidRDefault="001669D3" w:rsidP="00933B65">
      <w:pPr>
        <w:tabs>
          <w:tab w:val="left" w:pos="567"/>
        </w:tabs>
        <w:jc w:val="both"/>
        <w:rPr>
          <w:rFonts w:ascii="Book Antiqua" w:hAnsi="Book Antiqua" w:cs="Arial"/>
        </w:rPr>
      </w:pPr>
      <w:r>
        <w:rPr>
          <w:rFonts w:ascii="Book Antiqua" w:hAnsi="Book Antiqua" w:cs="Arial"/>
        </w:rPr>
        <w:t xml:space="preserve">The appeal is remade and ALLOWED under the EEA Regulations 2006. </w:t>
      </w:r>
    </w:p>
    <w:p w:rsidR="00405694" w:rsidRDefault="00405694" w:rsidP="00933B65">
      <w:pPr>
        <w:tabs>
          <w:tab w:val="left" w:pos="567"/>
        </w:tabs>
        <w:jc w:val="both"/>
        <w:rPr>
          <w:rFonts w:ascii="Book Antiqua" w:hAnsi="Book Antiqua" w:cs="Arial"/>
        </w:rPr>
      </w:pPr>
    </w:p>
    <w:p w:rsidR="00A57676" w:rsidRDefault="00115648" w:rsidP="00933B65">
      <w:pPr>
        <w:tabs>
          <w:tab w:val="left" w:pos="567"/>
        </w:tabs>
        <w:jc w:val="both"/>
        <w:rPr>
          <w:rFonts w:ascii="Book Antiqua" w:hAnsi="Book Antiqua" w:cs="Arial"/>
        </w:rPr>
      </w:pPr>
      <w:r>
        <w:rPr>
          <w:rFonts w:ascii="Book Antiqua" w:hAnsi="Book Antiqua" w:cs="Arial"/>
        </w:rPr>
        <w:t>Signed</w:t>
      </w:r>
      <w:r w:rsidR="00BB40C3">
        <w:rPr>
          <w:rFonts w:ascii="Book Antiqua" w:hAnsi="Book Antiqua" w:cs="Arial"/>
        </w:rPr>
        <w:t xml:space="preserve">   </w:t>
      </w:r>
      <w:r w:rsidR="00630054" w:rsidRPr="000A38E1">
        <w:rPr>
          <w:rFonts w:ascii="Book Antiqua" w:hAnsi="Book Antiqua" w:cs="Arial"/>
          <w:noProof/>
        </w:rPr>
        <w:drawing>
          <wp:inline distT="0" distB="0" distL="0" distR="0">
            <wp:extent cx="1385570" cy="372745"/>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85570" cy="372745"/>
                    </a:xfrm>
                    <a:prstGeom prst="rect">
                      <a:avLst/>
                    </a:prstGeom>
                    <a:noFill/>
                    <a:ln>
                      <a:noFill/>
                    </a:ln>
                  </pic:spPr>
                </pic:pic>
              </a:graphicData>
            </a:graphic>
          </wp:inline>
        </w:drawing>
      </w:r>
      <w:r w:rsidR="00A57676">
        <w:rPr>
          <w:rFonts w:ascii="Book Antiqua" w:hAnsi="Book Antiqua" w:cs="Arial"/>
        </w:rPr>
        <w:tab/>
      </w:r>
      <w:r>
        <w:rPr>
          <w:rFonts w:ascii="Book Antiqua" w:hAnsi="Book Antiqua" w:cs="Arial"/>
        </w:rPr>
        <w:t>Date</w:t>
      </w:r>
      <w:r w:rsidR="00056E7C">
        <w:rPr>
          <w:rFonts w:ascii="Book Antiqua" w:hAnsi="Book Antiqua" w:cs="Arial"/>
        </w:rPr>
        <w:t xml:space="preserve"> </w:t>
      </w:r>
      <w:r w:rsidR="001B6898">
        <w:rPr>
          <w:rFonts w:ascii="Book Antiqua" w:hAnsi="Book Antiqua" w:cs="Arial"/>
        </w:rPr>
        <w:t>11 July 2018</w:t>
      </w:r>
    </w:p>
    <w:p w:rsidR="008832E8" w:rsidRDefault="00546523" w:rsidP="001B6898">
      <w:pPr>
        <w:tabs>
          <w:tab w:val="left" w:pos="567"/>
        </w:tabs>
        <w:jc w:val="both"/>
        <w:rPr>
          <w:rFonts w:ascii="Book Antiqua" w:hAnsi="Book Antiqua" w:cs="Arial"/>
        </w:rPr>
      </w:pPr>
      <w:r>
        <w:rPr>
          <w:rFonts w:ascii="Book Antiqua" w:hAnsi="Book Antiqua" w:cs="Arial"/>
        </w:rPr>
        <w:t xml:space="preserve">Upper Tribunal Judge </w:t>
      </w:r>
      <w:r w:rsidR="00A57676">
        <w:rPr>
          <w:rFonts w:ascii="Book Antiqua" w:hAnsi="Book Antiqua" w:cs="Arial"/>
        </w:rPr>
        <w:t>Canavan</w:t>
      </w:r>
    </w:p>
    <w:sectPr w:rsidR="008832E8" w:rsidSect="00394426">
      <w:headerReference w:type="default" r:id="rId9"/>
      <w:footerReference w:type="default" r:id="rId10"/>
      <w:footerReference w:type="first" r:id="rId11"/>
      <w:pgSz w:w="11906" w:h="16838"/>
      <w:pgMar w:top="426"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D312D" w:rsidRDefault="008D312D">
      <w:r>
        <w:separator/>
      </w:r>
    </w:p>
  </w:endnote>
  <w:endnote w:type="continuationSeparator" w:id="0">
    <w:p w:rsidR="008D312D" w:rsidRDefault="008D31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5541" w:rsidRPr="00394426" w:rsidRDefault="00F75541" w:rsidP="00614E94">
    <w:pPr>
      <w:pStyle w:val="Footer"/>
      <w:jc w:val="center"/>
      <w:rPr>
        <w:rFonts w:ascii="Book Antiqua" w:hAnsi="Book Antiqua" w:cs="Arial"/>
      </w:rPr>
    </w:pPr>
    <w:r w:rsidRPr="00394426">
      <w:rPr>
        <w:rStyle w:val="PageNumber"/>
        <w:rFonts w:ascii="Book Antiqua" w:hAnsi="Book Antiqua" w:cs="Arial"/>
      </w:rPr>
      <w:fldChar w:fldCharType="begin"/>
    </w:r>
    <w:r w:rsidRPr="00394426">
      <w:rPr>
        <w:rStyle w:val="PageNumber"/>
        <w:rFonts w:ascii="Book Antiqua" w:hAnsi="Book Antiqua" w:cs="Arial"/>
      </w:rPr>
      <w:instrText xml:space="preserve"> PAGE </w:instrText>
    </w:r>
    <w:r w:rsidRPr="00394426">
      <w:rPr>
        <w:rStyle w:val="PageNumber"/>
        <w:rFonts w:ascii="Book Antiqua" w:hAnsi="Book Antiqua" w:cs="Arial"/>
      </w:rPr>
      <w:fldChar w:fldCharType="separate"/>
    </w:r>
    <w:r w:rsidR="00D45B40">
      <w:rPr>
        <w:rStyle w:val="PageNumber"/>
        <w:rFonts w:ascii="Book Antiqua" w:hAnsi="Book Antiqua" w:cs="Arial"/>
        <w:noProof/>
      </w:rPr>
      <w:t>2</w:t>
    </w:r>
    <w:r w:rsidRPr="00394426">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5541" w:rsidRPr="00394426" w:rsidRDefault="00F75541" w:rsidP="00614E94">
    <w:pPr>
      <w:jc w:val="center"/>
      <w:rPr>
        <w:rFonts w:ascii="Book Antiqua" w:hAnsi="Book Antiqua" w:cs="Arial"/>
        <w:b/>
      </w:rPr>
    </w:pPr>
    <w:r w:rsidRPr="00394426">
      <w:rPr>
        <w:rFonts w:ascii="Book Antiqua" w:hAnsi="Book Antiqua" w:cs="Arial"/>
        <w:b/>
        <w:spacing w:val="-6"/>
      </w:rPr>
      <w:t>©</w:t>
    </w:r>
    <w:r w:rsidR="00816668" w:rsidRPr="00394426">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D312D" w:rsidRDefault="008D312D">
      <w:r>
        <w:separator/>
      </w:r>
    </w:p>
  </w:footnote>
  <w:footnote w:type="continuationSeparator" w:id="0">
    <w:p w:rsidR="008D312D" w:rsidRDefault="008D31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06C2" w:rsidRPr="00F97703" w:rsidRDefault="00F75541" w:rsidP="00A606C2">
    <w:pPr>
      <w:tabs>
        <w:tab w:val="right" w:pos="9720"/>
      </w:tabs>
      <w:ind w:right="-82"/>
      <w:jc w:val="right"/>
      <w:rPr>
        <w:rFonts w:ascii="Book Antiqua" w:hAnsi="Book Antiqua" w:cs="Arial"/>
        <w:color w:val="000000"/>
      </w:rPr>
    </w:pPr>
    <w:r w:rsidRPr="001C2435">
      <w:rPr>
        <w:rFonts w:ascii="Book Antiqua" w:hAnsi="Book Antiqua" w:cs="Arial"/>
        <w:sz w:val="16"/>
        <w:szCs w:val="16"/>
      </w:rPr>
      <w:t>Appeal Number</w:t>
    </w:r>
    <w:r w:rsidR="008F0F73">
      <w:rPr>
        <w:rFonts w:ascii="Book Antiqua" w:hAnsi="Book Antiqua" w:cs="Arial"/>
        <w:sz w:val="16"/>
        <w:szCs w:val="16"/>
      </w:rPr>
      <w:t xml:space="preserve">: </w:t>
    </w:r>
    <w:r w:rsidR="00A606C2" w:rsidRPr="00A606C2">
      <w:rPr>
        <w:rFonts w:ascii="Book Antiqua" w:hAnsi="Book Antiqua" w:cs="Arial"/>
        <w:color w:val="000000"/>
        <w:sz w:val="16"/>
        <w:szCs w:val="16"/>
      </w:rPr>
      <w:t>EA/02450/2015</w:t>
    </w:r>
  </w:p>
  <w:p w:rsidR="00CF2453" w:rsidRPr="00CF2453" w:rsidRDefault="00CF2453" w:rsidP="00CF2453">
    <w:pPr>
      <w:tabs>
        <w:tab w:val="right" w:pos="9720"/>
      </w:tabs>
      <w:ind w:right="-82"/>
      <w:jc w:val="right"/>
      <w:rPr>
        <w:rFonts w:ascii="Book Antiqua" w:hAnsi="Book Antiqua" w:cs="Arial"/>
        <w:color w:val="000000"/>
        <w:sz w:val="16"/>
        <w:szCs w:val="16"/>
      </w:rPr>
    </w:pPr>
  </w:p>
  <w:p w:rsidR="00F75541" w:rsidRPr="001C2435" w:rsidRDefault="00F75541" w:rsidP="00614E94">
    <w:pPr>
      <w:pStyle w:val="Header"/>
      <w:jc w:val="right"/>
      <w:rPr>
        <w:rFonts w:ascii="Book Antiqua" w:hAnsi="Book Antiqua" w:cs="Arial"/>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1B291C"/>
    <w:multiLevelType w:val="hybridMultilevel"/>
    <w:tmpl w:val="12745270"/>
    <w:lvl w:ilvl="0" w:tplc="AF60661E">
      <w:start w:val="1"/>
      <w:numFmt w:val="decimal"/>
      <w:lvlText w:val="%1."/>
      <w:lvlJc w:val="left"/>
      <w:pPr>
        <w:tabs>
          <w:tab w:val="num" w:pos="930"/>
        </w:tabs>
        <w:ind w:left="930" w:hanging="570"/>
      </w:pPr>
      <w:rPr>
        <w:rFonts w:hint="default"/>
      </w:rPr>
    </w:lvl>
    <w:lvl w:ilvl="1" w:tplc="22A43138">
      <w:start w:val="1"/>
      <w:numFmt w:val="lowerRoman"/>
      <w:lvlText w:val="(%2)"/>
      <w:lvlJc w:val="left"/>
      <w:pPr>
        <w:tabs>
          <w:tab w:val="num" w:pos="1800"/>
        </w:tabs>
        <w:ind w:left="1800" w:hanging="720"/>
      </w:pPr>
      <w:rPr>
        <w:rFonts w:hint="default"/>
      </w:rPr>
    </w:lvl>
    <w:lvl w:ilvl="2" w:tplc="0809001B">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 w15:restartNumberingAfterBreak="0">
    <w:nsid w:val="479B4335"/>
    <w:multiLevelType w:val="hybridMultilevel"/>
    <w:tmpl w:val="FA9E25E0"/>
    <w:lvl w:ilvl="0" w:tplc="649C1A72">
      <w:start w:val="1"/>
      <w:numFmt w:val="lowerRoman"/>
      <w:lvlText w:val="(%1)"/>
      <w:lvlJc w:val="left"/>
      <w:pPr>
        <w:ind w:left="1290" w:hanging="720"/>
      </w:pPr>
      <w:rPr>
        <w:rFonts w:hint="default"/>
      </w:rPr>
    </w:lvl>
    <w:lvl w:ilvl="1" w:tplc="08090019" w:tentative="1">
      <w:start w:val="1"/>
      <w:numFmt w:val="lowerLetter"/>
      <w:lvlText w:val="%2."/>
      <w:lvlJc w:val="left"/>
      <w:pPr>
        <w:ind w:left="1650" w:hanging="360"/>
      </w:pPr>
    </w:lvl>
    <w:lvl w:ilvl="2" w:tplc="0809001B" w:tentative="1">
      <w:start w:val="1"/>
      <w:numFmt w:val="lowerRoman"/>
      <w:lvlText w:val="%3."/>
      <w:lvlJc w:val="right"/>
      <w:pPr>
        <w:ind w:left="2370" w:hanging="180"/>
      </w:pPr>
    </w:lvl>
    <w:lvl w:ilvl="3" w:tplc="0809000F" w:tentative="1">
      <w:start w:val="1"/>
      <w:numFmt w:val="decimal"/>
      <w:lvlText w:val="%4."/>
      <w:lvlJc w:val="left"/>
      <w:pPr>
        <w:ind w:left="3090" w:hanging="360"/>
      </w:pPr>
    </w:lvl>
    <w:lvl w:ilvl="4" w:tplc="08090019" w:tentative="1">
      <w:start w:val="1"/>
      <w:numFmt w:val="lowerLetter"/>
      <w:lvlText w:val="%5."/>
      <w:lvlJc w:val="left"/>
      <w:pPr>
        <w:ind w:left="3810" w:hanging="360"/>
      </w:pPr>
    </w:lvl>
    <w:lvl w:ilvl="5" w:tplc="0809001B" w:tentative="1">
      <w:start w:val="1"/>
      <w:numFmt w:val="lowerRoman"/>
      <w:lvlText w:val="%6."/>
      <w:lvlJc w:val="right"/>
      <w:pPr>
        <w:ind w:left="4530" w:hanging="180"/>
      </w:pPr>
    </w:lvl>
    <w:lvl w:ilvl="6" w:tplc="0809000F" w:tentative="1">
      <w:start w:val="1"/>
      <w:numFmt w:val="decimal"/>
      <w:lvlText w:val="%7."/>
      <w:lvlJc w:val="left"/>
      <w:pPr>
        <w:ind w:left="5250" w:hanging="360"/>
      </w:pPr>
    </w:lvl>
    <w:lvl w:ilvl="7" w:tplc="08090019" w:tentative="1">
      <w:start w:val="1"/>
      <w:numFmt w:val="lowerLetter"/>
      <w:lvlText w:val="%8."/>
      <w:lvlJc w:val="left"/>
      <w:pPr>
        <w:ind w:left="5970" w:hanging="360"/>
      </w:pPr>
    </w:lvl>
    <w:lvl w:ilvl="8" w:tplc="0809001B" w:tentative="1">
      <w:start w:val="1"/>
      <w:numFmt w:val="lowerRoman"/>
      <w:lvlText w:val="%9."/>
      <w:lvlJc w:val="right"/>
      <w:pPr>
        <w:ind w:left="6690" w:hanging="180"/>
      </w:pPr>
    </w:lvl>
  </w:abstractNum>
  <w:abstractNum w:abstractNumId="2" w15:restartNumberingAfterBreak="0">
    <w:nsid w:val="4808157A"/>
    <w:multiLevelType w:val="hybridMultilevel"/>
    <w:tmpl w:val="4C302354"/>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 w15:restartNumberingAfterBreak="0">
    <w:nsid w:val="4F4250BF"/>
    <w:multiLevelType w:val="hybridMultilevel"/>
    <w:tmpl w:val="83FE4D62"/>
    <w:lvl w:ilvl="0" w:tplc="0809000F">
      <w:start w:val="1"/>
      <w:numFmt w:val="decimal"/>
      <w:lvlText w:val="%1."/>
      <w:lvlJc w:val="left"/>
      <w:pPr>
        <w:tabs>
          <w:tab w:val="num" w:pos="927"/>
        </w:tabs>
        <w:ind w:left="927" w:hanging="360"/>
      </w:pPr>
      <w:rPr>
        <w:rFonts w:hint="default"/>
      </w:rPr>
    </w:lvl>
    <w:lvl w:ilvl="1" w:tplc="08090019" w:tentative="1">
      <w:start w:val="1"/>
      <w:numFmt w:val="lowerLetter"/>
      <w:lvlText w:val="%2."/>
      <w:lvlJc w:val="left"/>
      <w:pPr>
        <w:tabs>
          <w:tab w:val="num" w:pos="1647"/>
        </w:tabs>
        <w:ind w:left="1647" w:hanging="360"/>
      </w:pPr>
    </w:lvl>
    <w:lvl w:ilvl="2" w:tplc="0809001B" w:tentative="1">
      <w:start w:val="1"/>
      <w:numFmt w:val="lowerRoman"/>
      <w:lvlText w:val="%3."/>
      <w:lvlJc w:val="right"/>
      <w:pPr>
        <w:tabs>
          <w:tab w:val="num" w:pos="2367"/>
        </w:tabs>
        <w:ind w:left="2367" w:hanging="180"/>
      </w:pPr>
    </w:lvl>
    <w:lvl w:ilvl="3" w:tplc="0809000F" w:tentative="1">
      <w:start w:val="1"/>
      <w:numFmt w:val="decimal"/>
      <w:lvlText w:val="%4."/>
      <w:lvlJc w:val="left"/>
      <w:pPr>
        <w:tabs>
          <w:tab w:val="num" w:pos="3087"/>
        </w:tabs>
        <w:ind w:left="3087" w:hanging="360"/>
      </w:pPr>
    </w:lvl>
    <w:lvl w:ilvl="4" w:tplc="08090019" w:tentative="1">
      <w:start w:val="1"/>
      <w:numFmt w:val="lowerLetter"/>
      <w:lvlText w:val="%5."/>
      <w:lvlJc w:val="left"/>
      <w:pPr>
        <w:tabs>
          <w:tab w:val="num" w:pos="3807"/>
        </w:tabs>
        <w:ind w:left="3807" w:hanging="360"/>
      </w:pPr>
    </w:lvl>
    <w:lvl w:ilvl="5" w:tplc="0809001B" w:tentative="1">
      <w:start w:val="1"/>
      <w:numFmt w:val="lowerRoman"/>
      <w:lvlText w:val="%6."/>
      <w:lvlJc w:val="right"/>
      <w:pPr>
        <w:tabs>
          <w:tab w:val="num" w:pos="4527"/>
        </w:tabs>
        <w:ind w:left="4527" w:hanging="180"/>
      </w:pPr>
    </w:lvl>
    <w:lvl w:ilvl="6" w:tplc="0809000F" w:tentative="1">
      <w:start w:val="1"/>
      <w:numFmt w:val="decimal"/>
      <w:lvlText w:val="%7."/>
      <w:lvlJc w:val="left"/>
      <w:pPr>
        <w:tabs>
          <w:tab w:val="num" w:pos="5247"/>
        </w:tabs>
        <w:ind w:left="5247" w:hanging="360"/>
      </w:pPr>
    </w:lvl>
    <w:lvl w:ilvl="7" w:tplc="08090019" w:tentative="1">
      <w:start w:val="1"/>
      <w:numFmt w:val="lowerLetter"/>
      <w:lvlText w:val="%8."/>
      <w:lvlJc w:val="left"/>
      <w:pPr>
        <w:tabs>
          <w:tab w:val="num" w:pos="5967"/>
        </w:tabs>
        <w:ind w:left="5967" w:hanging="360"/>
      </w:pPr>
    </w:lvl>
    <w:lvl w:ilvl="8" w:tplc="0809001B" w:tentative="1">
      <w:start w:val="1"/>
      <w:numFmt w:val="lowerRoman"/>
      <w:lvlText w:val="%9."/>
      <w:lvlJc w:val="right"/>
      <w:pPr>
        <w:tabs>
          <w:tab w:val="num" w:pos="6687"/>
        </w:tabs>
        <w:ind w:left="6687" w:hanging="180"/>
      </w:pPr>
    </w:lvl>
  </w:abstractNum>
  <w:abstractNum w:abstractNumId="4" w15:restartNumberingAfterBreak="0">
    <w:nsid w:val="68AF4B14"/>
    <w:multiLevelType w:val="hybridMultilevel"/>
    <w:tmpl w:val="C6C61CE6"/>
    <w:lvl w:ilvl="0" w:tplc="032AB2D0">
      <w:start w:val="1"/>
      <w:numFmt w:val="decimal"/>
      <w:lvlText w:val="%1."/>
      <w:lvlJc w:val="left"/>
      <w:pPr>
        <w:tabs>
          <w:tab w:val="num" w:pos="851"/>
        </w:tabs>
        <w:ind w:left="1078" w:hanging="737"/>
      </w:pPr>
      <w:rPr>
        <w:rFonts w:hint="default"/>
      </w:rPr>
    </w:lvl>
    <w:lvl w:ilvl="1" w:tplc="08090019" w:tentative="1">
      <w:start w:val="1"/>
      <w:numFmt w:val="lowerLetter"/>
      <w:lvlText w:val="%2."/>
      <w:lvlJc w:val="left"/>
      <w:pPr>
        <w:tabs>
          <w:tab w:val="num" w:pos="760"/>
        </w:tabs>
        <w:ind w:left="760" w:hanging="360"/>
      </w:pPr>
    </w:lvl>
    <w:lvl w:ilvl="2" w:tplc="0809001B" w:tentative="1">
      <w:start w:val="1"/>
      <w:numFmt w:val="lowerRoman"/>
      <w:lvlText w:val="%3."/>
      <w:lvlJc w:val="right"/>
      <w:pPr>
        <w:tabs>
          <w:tab w:val="num" w:pos="1480"/>
        </w:tabs>
        <w:ind w:left="1480" w:hanging="180"/>
      </w:pPr>
    </w:lvl>
    <w:lvl w:ilvl="3" w:tplc="0809000F" w:tentative="1">
      <w:start w:val="1"/>
      <w:numFmt w:val="decimal"/>
      <w:lvlText w:val="%4."/>
      <w:lvlJc w:val="left"/>
      <w:pPr>
        <w:tabs>
          <w:tab w:val="num" w:pos="2200"/>
        </w:tabs>
        <w:ind w:left="2200" w:hanging="360"/>
      </w:pPr>
    </w:lvl>
    <w:lvl w:ilvl="4" w:tplc="08090019" w:tentative="1">
      <w:start w:val="1"/>
      <w:numFmt w:val="lowerLetter"/>
      <w:lvlText w:val="%5."/>
      <w:lvlJc w:val="left"/>
      <w:pPr>
        <w:tabs>
          <w:tab w:val="num" w:pos="2920"/>
        </w:tabs>
        <w:ind w:left="2920" w:hanging="360"/>
      </w:pPr>
    </w:lvl>
    <w:lvl w:ilvl="5" w:tplc="0809001B" w:tentative="1">
      <w:start w:val="1"/>
      <w:numFmt w:val="lowerRoman"/>
      <w:lvlText w:val="%6."/>
      <w:lvlJc w:val="right"/>
      <w:pPr>
        <w:tabs>
          <w:tab w:val="num" w:pos="3640"/>
        </w:tabs>
        <w:ind w:left="3640" w:hanging="180"/>
      </w:pPr>
    </w:lvl>
    <w:lvl w:ilvl="6" w:tplc="0809000F" w:tentative="1">
      <w:start w:val="1"/>
      <w:numFmt w:val="decimal"/>
      <w:lvlText w:val="%7."/>
      <w:lvlJc w:val="left"/>
      <w:pPr>
        <w:tabs>
          <w:tab w:val="num" w:pos="4360"/>
        </w:tabs>
        <w:ind w:left="4360" w:hanging="360"/>
      </w:pPr>
    </w:lvl>
    <w:lvl w:ilvl="7" w:tplc="08090019" w:tentative="1">
      <w:start w:val="1"/>
      <w:numFmt w:val="lowerLetter"/>
      <w:lvlText w:val="%8."/>
      <w:lvlJc w:val="left"/>
      <w:pPr>
        <w:tabs>
          <w:tab w:val="num" w:pos="5080"/>
        </w:tabs>
        <w:ind w:left="5080" w:hanging="360"/>
      </w:pPr>
    </w:lvl>
    <w:lvl w:ilvl="8" w:tplc="0809001B" w:tentative="1">
      <w:start w:val="1"/>
      <w:numFmt w:val="lowerRoman"/>
      <w:lvlText w:val="%9."/>
      <w:lvlJc w:val="right"/>
      <w:pPr>
        <w:tabs>
          <w:tab w:val="num" w:pos="5800"/>
        </w:tabs>
        <w:ind w:left="5800" w:hanging="180"/>
      </w:p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3B65"/>
    <w:rsid w:val="00010B88"/>
    <w:rsid w:val="00047060"/>
    <w:rsid w:val="00050D1B"/>
    <w:rsid w:val="00056E7C"/>
    <w:rsid w:val="000644CE"/>
    <w:rsid w:val="000D0603"/>
    <w:rsid w:val="00115648"/>
    <w:rsid w:val="001669D3"/>
    <w:rsid w:val="00180198"/>
    <w:rsid w:val="0019494F"/>
    <w:rsid w:val="00194FB4"/>
    <w:rsid w:val="001A14A2"/>
    <w:rsid w:val="001A373D"/>
    <w:rsid w:val="001B6898"/>
    <w:rsid w:val="001C2435"/>
    <w:rsid w:val="00200671"/>
    <w:rsid w:val="00266FFE"/>
    <w:rsid w:val="00270D89"/>
    <w:rsid w:val="00272712"/>
    <w:rsid w:val="00294F41"/>
    <w:rsid w:val="002F6D78"/>
    <w:rsid w:val="003049FE"/>
    <w:rsid w:val="00345182"/>
    <w:rsid w:val="00394426"/>
    <w:rsid w:val="00396F7B"/>
    <w:rsid w:val="003B36AE"/>
    <w:rsid w:val="004044E6"/>
    <w:rsid w:val="00405694"/>
    <w:rsid w:val="00407E66"/>
    <w:rsid w:val="004171D0"/>
    <w:rsid w:val="00426F9F"/>
    <w:rsid w:val="00497CC7"/>
    <w:rsid w:val="004A012D"/>
    <w:rsid w:val="004F4BE7"/>
    <w:rsid w:val="00546523"/>
    <w:rsid w:val="0057020B"/>
    <w:rsid w:val="005819E4"/>
    <w:rsid w:val="005907D8"/>
    <w:rsid w:val="00614E94"/>
    <w:rsid w:val="00630054"/>
    <w:rsid w:val="00631E34"/>
    <w:rsid w:val="00662048"/>
    <w:rsid w:val="0068059E"/>
    <w:rsid w:val="006A364A"/>
    <w:rsid w:val="00731039"/>
    <w:rsid w:val="0073630A"/>
    <w:rsid w:val="0074036A"/>
    <w:rsid w:val="007B09CD"/>
    <w:rsid w:val="00816668"/>
    <w:rsid w:val="00821972"/>
    <w:rsid w:val="008832E8"/>
    <w:rsid w:val="008A3B24"/>
    <w:rsid w:val="008D2EA4"/>
    <w:rsid w:val="008D312D"/>
    <w:rsid w:val="008E01FB"/>
    <w:rsid w:val="008F0F73"/>
    <w:rsid w:val="00933B65"/>
    <w:rsid w:val="0094479E"/>
    <w:rsid w:val="009701EB"/>
    <w:rsid w:val="00973725"/>
    <w:rsid w:val="009942DD"/>
    <w:rsid w:val="009C6C7B"/>
    <w:rsid w:val="009D5EB6"/>
    <w:rsid w:val="00A03E4C"/>
    <w:rsid w:val="00A472B6"/>
    <w:rsid w:val="00A57676"/>
    <w:rsid w:val="00A606C2"/>
    <w:rsid w:val="00A621AC"/>
    <w:rsid w:val="00A7051D"/>
    <w:rsid w:val="00A70F8E"/>
    <w:rsid w:val="00A86A8D"/>
    <w:rsid w:val="00AB1DC6"/>
    <w:rsid w:val="00AB703E"/>
    <w:rsid w:val="00BA2264"/>
    <w:rsid w:val="00BB40C3"/>
    <w:rsid w:val="00C56E05"/>
    <w:rsid w:val="00C60451"/>
    <w:rsid w:val="00C61D30"/>
    <w:rsid w:val="00C91E16"/>
    <w:rsid w:val="00CD3E33"/>
    <w:rsid w:val="00CE5C94"/>
    <w:rsid w:val="00CF2453"/>
    <w:rsid w:val="00D25C76"/>
    <w:rsid w:val="00D3274C"/>
    <w:rsid w:val="00D36F32"/>
    <w:rsid w:val="00D40718"/>
    <w:rsid w:val="00D45B40"/>
    <w:rsid w:val="00DA52F3"/>
    <w:rsid w:val="00DE3D56"/>
    <w:rsid w:val="00E13AB0"/>
    <w:rsid w:val="00E15512"/>
    <w:rsid w:val="00E2527C"/>
    <w:rsid w:val="00E468D9"/>
    <w:rsid w:val="00E63B55"/>
    <w:rsid w:val="00E96B33"/>
    <w:rsid w:val="00ED1E61"/>
    <w:rsid w:val="00F648C0"/>
    <w:rsid w:val="00F66C52"/>
    <w:rsid w:val="00F75541"/>
    <w:rsid w:val="00F8752A"/>
    <w:rsid w:val="00FA0A2E"/>
    <w:rsid w:val="00FB0516"/>
    <w:rsid w:val="00FE33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448284D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33B65"/>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33B65"/>
    <w:pPr>
      <w:tabs>
        <w:tab w:val="center" w:pos="4153"/>
        <w:tab w:val="right" w:pos="8306"/>
      </w:tabs>
    </w:pPr>
  </w:style>
  <w:style w:type="paragraph" w:styleId="Footer">
    <w:name w:val="footer"/>
    <w:basedOn w:val="Normal"/>
    <w:rsid w:val="00933B65"/>
    <w:pPr>
      <w:tabs>
        <w:tab w:val="center" w:pos="4153"/>
        <w:tab w:val="right" w:pos="8306"/>
      </w:tabs>
    </w:pPr>
  </w:style>
  <w:style w:type="character" w:styleId="PageNumber">
    <w:name w:val="page number"/>
    <w:basedOn w:val="DefaultParagraphFont"/>
    <w:rsid w:val="00933B65"/>
  </w:style>
  <w:style w:type="table" w:styleId="TableGrid">
    <w:name w:val="Table Grid"/>
    <w:basedOn w:val="TableNormal"/>
    <w:rsid w:val="00933B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270D89"/>
    <w:rPr>
      <w:rFonts w:ascii="Tahoma" w:hAnsi="Tahoma" w:cs="Tahoma"/>
      <w:sz w:val="16"/>
      <w:szCs w:val="16"/>
    </w:rPr>
  </w:style>
  <w:style w:type="paragraph" w:styleId="ListParagraph">
    <w:name w:val="List Paragraph"/>
    <w:basedOn w:val="Normal"/>
    <w:uiPriority w:val="34"/>
    <w:qFormat/>
    <w:rsid w:val="00CF2453"/>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611</Words>
  <Characters>3053</Characters>
  <Application>Microsoft Office Word</Application>
  <DocSecurity>0</DocSecurity>
  <Lines>25</Lines>
  <Paragraphs>7</Paragraphs>
  <ScaleCrop>false</ScaleCrop>
  <Company/>
  <LinksUpToDate>false</LinksUpToDate>
  <CharactersWithSpaces>3657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2018-07-26T15:02:00Z</dcterms:created>
  <dcterms:modified xsi:type="dcterms:W3CDTF">2018-07-26T15:02:00Z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