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B65" w:rsidRPr="00A67A78" w:rsidRDefault="00FE0046" w:rsidP="00A67A78">
      <w:pPr>
        <w:jc w:val="center"/>
        <w:rPr>
          <w:rFonts w:ascii="Book Antiqua" w:hAnsi="Book Antiqua" w:cs="Arial"/>
          <w:color w:val="000000"/>
          <w:sz w:val="16"/>
          <w:szCs w:val="16"/>
        </w:rPr>
      </w:pPr>
      <w:r w:rsidRPr="00A67A78">
        <w:rPr>
          <w:noProof/>
          <w:sz w:val="16"/>
          <w:szCs w:val="16"/>
        </w:rPr>
        <w:drawing>
          <wp:inline distT="0" distB="0" distL="0" distR="0" wp14:anchorId="334D9F49" wp14:editId="334D9F4A">
            <wp:extent cx="1495425" cy="1133475"/>
            <wp:effectExtent l="0" t="0" r="0" b="0"/>
            <wp:docPr id="1" name="Picture 1" descr="Asylum and Immigration tribunal-b&amp;w-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lum and Immigration tribunal-b&amp;w-tif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482" b="-7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581" w:rsidRPr="00A67A78" w:rsidRDefault="00331581" w:rsidP="00A67A78">
      <w:pPr>
        <w:rPr>
          <w:rFonts w:ascii="Book Antiqua" w:hAnsi="Book Antiqua" w:cs="Arial"/>
          <w:b/>
          <w:color w:val="000000"/>
          <w:sz w:val="16"/>
          <w:szCs w:val="16"/>
        </w:rPr>
      </w:pPr>
    </w:p>
    <w:p w:rsidR="00933B65" w:rsidRPr="00F97703" w:rsidRDefault="00933B65" w:rsidP="00A67A78">
      <w:pPr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Upper</w:t>
      </w:r>
      <w:r w:rsidRPr="00F97703">
        <w:rPr>
          <w:rFonts w:ascii="Book Antiqua" w:hAnsi="Book Antiqua" w:cs="Arial"/>
          <w:b/>
          <w:color w:val="000000"/>
        </w:rPr>
        <w:t xml:space="preserve"> Tribunal </w:t>
      </w:r>
    </w:p>
    <w:p w:rsidR="00933B65" w:rsidRDefault="00933B65" w:rsidP="00A67A78">
      <w:pPr>
        <w:tabs>
          <w:tab w:val="right" w:pos="9638"/>
        </w:tabs>
        <w:rPr>
          <w:rFonts w:ascii="Book Antiqua" w:hAnsi="Book Antiqua" w:cs="Arial"/>
          <w:caps/>
          <w:color w:val="000000"/>
        </w:rPr>
      </w:pPr>
      <w:r w:rsidRPr="00F97703">
        <w:rPr>
          <w:rFonts w:ascii="Book Antiqua" w:hAnsi="Book Antiqua" w:cs="Arial"/>
          <w:b/>
          <w:color w:val="000000"/>
        </w:rPr>
        <w:t>(Immigration and Asylum Chamber)</w:t>
      </w:r>
      <w:r w:rsidR="00A67A78">
        <w:rPr>
          <w:rFonts w:ascii="Book Antiqua" w:hAnsi="Book Antiqua" w:cs="Arial"/>
          <w:b/>
          <w:color w:val="000000"/>
        </w:rPr>
        <w:tab/>
      </w:r>
      <w:r w:rsidRPr="00F97703">
        <w:rPr>
          <w:rFonts w:ascii="Book Antiqua" w:hAnsi="Book Antiqua" w:cs="Arial"/>
          <w:color w:val="000000"/>
        </w:rPr>
        <w:t xml:space="preserve">Appeal Number: </w:t>
      </w:r>
      <w:bookmarkStart w:id="0" w:name="_GoBack"/>
      <w:r w:rsidR="005D4A99">
        <w:rPr>
          <w:rFonts w:ascii="Book Antiqua" w:hAnsi="Book Antiqua" w:cs="Arial"/>
          <w:caps/>
          <w:color w:val="000000"/>
        </w:rPr>
        <w:t>EA/02693/2016</w:t>
      </w:r>
      <w:bookmarkEnd w:id="0"/>
    </w:p>
    <w:p w:rsidR="00331581" w:rsidRPr="00F97703" w:rsidRDefault="00331581" w:rsidP="00A67A78">
      <w:pPr>
        <w:tabs>
          <w:tab w:val="right" w:pos="9720"/>
        </w:tabs>
        <w:jc w:val="center"/>
        <w:rPr>
          <w:rFonts w:ascii="Book Antiqua" w:hAnsi="Book Antiqua" w:cs="Arial"/>
          <w:color w:val="000000"/>
        </w:rPr>
      </w:pPr>
    </w:p>
    <w:p w:rsidR="00933B65" w:rsidRPr="00F97703" w:rsidRDefault="00933B65" w:rsidP="00A67A78">
      <w:pPr>
        <w:jc w:val="center"/>
        <w:rPr>
          <w:rFonts w:ascii="Book Antiqua" w:hAnsi="Book Antiqua" w:cs="Arial"/>
          <w:color w:val="000000"/>
        </w:rPr>
      </w:pPr>
    </w:p>
    <w:p w:rsidR="00933B65" w:rsidRDefault="00933B65" w:rsidP="00A67A78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F97703">
        <w:rPr>
          <w:rFonts w:ascii="Book Antiqua" w:hAnsi="Book Antiqua" w:cs="Arial"/>
          <w:b/>
          <w:color w:val="000000"/>
          <w:u w:val="single"/>
        </w:rPr>
        <w:t>THE IMMIGRATION ACTS</w:t>
      </w:r>
    </w:p>
    <w:p w:rsidR="00331581" w:rsidRPr="00F97703" w:rsidRDefault="00331581" w:rsidP="00A67A78">
      <w:pPr>
        <w:jc w:val="center"/>
        <w:rPr>
          <w:rFonts w:ascii="Book Antiqua" w:hAnsi="Book Antiqua" w:cs="Arial"/>
          <w:b/>
          <w:u w:val="single"/>
        </w:rPr>
      </w:pPr>
    </w:p>
    <w:p w:rsidR="00933B65" w:rsidRPr="00F97703" w:rsidRDefault="00933B65" w:rsidP="00A67A78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819"/>
        <w:gridCol w:w="4819"/>
      </w:tblGrid>
      <w:tr w:rsidR="00933B65" w:rsidRPr="002154EF" w:rsidTr="00A67A78">
        <w:tc>
          <w:tcPr>
            <w:tcW w:w="2500" w:type="pct"/>
            <w:shd w:val="clear" w:color="auto" w:fill="auto"/>
          </w:tcPr>
          <w:p w:rsidR="00933B65" w:rsidRPr="002154EF" w:rsidRDefault="00933B65" w:rsidP="00A67A78">
            <w:pPr>
              <w:jc w:val="both"/>
              <w:rPr>
                <w:rFonts w:ascii="Book Antiqua" w:hAnsi="Book Antiqua" w:cs="Arial"/>
                <w:b/>
              </w:rPr>
            </w:pPr>
            <w:r w:rsidRPr="002154EF">
              <w:rPr>
                <w:rFonts w:ascii="Book Antiqua" w:hAnsi="Book Antiqua" w:cs="Arial"/>
                <w:b/>
              </w:rPr>
              <w:t xml:space="preserve">Heard at </w:t>
            </w:r>
            <w:r w:rsidR="008B5B9B" w:rsidRPr="002154EF">
              <w:rPr>
                <w:rFonts w:ascii="Book Antiqua" w:hAnsi="Book Antiqua" w:cs="Arial"/>
                <w:b/>
              </w:rPr>
              <w:t xml:space="preserve">Glasgow </w:t>
            </w:r>
          </w:p>
        </w:tc>
        <w:tc>
          <w:tcPr>
            <w:tcW w:w="2500" w:type="pct"/>
            <w:shd w:val="clear" w:color="auto" w:fill="auto"/>
          </w:tcPr>
          <w:p w:rsidR="00933B65" w:rsidRPr="002154EF" w:rsidRDefault="00933B65" w:rsidP="00A67A78">
            <w:pPr>
              <w:jc w:val="right"/>
              <w:rPr>
                <w:rFonts w:ascii="Book Antiqua" w:hAnsi="Book Antiqua" w:cs="Arial"/>
                <w:b/>
                <w:color w:val="000000"/>
              </w:rPr>
            </w:pPr>
            <w:r w:rsidRPr="002154EF">
              <w:rPr>
                <w:rFonts w:ascii="Book Antiqua" w:hAnsi="Book Antiqua" w:cs="Arial"/>
                <w:b/>
                <w:color w:val="000000"/>
              </w:rPr>
              <w:t>De</w:t>
            </w:r>
            <w:r w:rsidR="008E485B">
              <w:rPr>
                <w:rFonts w:ascii="Book Antiqua" w:hAnsi="Book Antiqua" w:cs="Arial"/>
                <w:b/>
                <w:color w:val="000000"/>
              </w:rPr>
              <w:t>cision and Reasons Promulgated</w:t>
            </w:r>
          </w:p>
        </w:tc>
      </w:tr>
      <w:tr w:rsidR="00933B65" w:rsidRPr="002154EF" w:rsidTr="00A67A78">
        <w:tc>
          <w:tcPr>
            <w:tcW w:w="2500" w:type="pct"/>
            <w:shd w:val="clear" w:color="auto" w:fill="auto"/>
          </w:tcPr>
          <w:p w:rsidR="00933B65" w:rsidRPr="002154EF" w:rsidRDefault="008E485B" w:rsidP="00A67A7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</w:t>
            </w:r>
            <w:r w:rsidR="00933B65" w:rsidRPr="002154EF">
              <w:rPr>
                <w:rFonts w:ascii="Book Antiqua" w:hAnsi="Book Antiqua" w:cs="Arial"/>
                <w:b/>
              </w:rPr>
              <w:t xml:space="preserve">n </w:t>
            </w:r>
            <w:r w:rsidR="005D4A99">
              <w:rPr>
                <w:rFonts w:ascii="Book Antiqua" w:hAnsi="Book Antiqua" w:cs="Arial"/>
                <w:b/>
              </w:rPr>
              <w:t>23 August 2018</w:t>
            </w:r>
          </w:p>
        </w:tc>
        <w:tc>
          <w:tcPr>
            <w:tcW w:w="2500" w:type="pct"/>
            <w:shd w:val="clear" w:color="auto" w:fill="auto"/>
          </w:tcPr>
          <w:p w:rsidR="00933B65" w:rsidRPr="002154EF" w:rsidRDefault="008E485B" w:rsidP="00A67A78">
            <w:pPr>
              <w:jc w:val="right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On 04 September 2018 </w:t>
            </w:r>
          </w:p>
        </w:tc>
      </w:tr>
      <w:tr w:rsidR="00933B65" w:rsidRPr="002154EF" w:rsidTr="00A67A78">
        <w:tc>
          <w:tcPr>
            <w:tcW w:w="2500" w:type="pct"/>
            <w:shd w:val="clear" w:color="auto" w:fill="auto"/>
          </w:tcPr>
          <w:p w:rsidR="00933B65" w:rsidRPr="002154EF" w:rsidRDefault="00933B65" w:rsidP="00A67A78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2500" w:type="pct"/>
            <w:shd w:val="clear" w:color="auto" w:fill="auto"/>
          </w:tcPr>
          <w:p w:rsidR="00933B65" w:rsidRPr="002154EF" w:rsidRDefault="00933B65" w:rsidP="00A67A78">
            <w:pPr>
              <w:jc w:val="right"/>
              <w:rPr>
                <w:rFonts w:ascii="Book Antiqua" w:hAnsi="Book Antiqua" w:cs="Arial"/>
                <w:b/>
              </w:rPr>
            </w:pPr>
          </w:p>
        </w:tc>
      </w:tr>
    </w:tbl>
    <w:p w:rsidR="00331581" w:rsidRDefault="00331581" w:rsidP="00A67A78">
      <w:pPr>
        <w:jc w:val="center"/>
        <w:rPr>
          <w:rFonts w:ascii="Book Antiqua" w:hAnsi="Book Antiqua" w:cs="Arial"/>
          <w:b/>
        </w:rPr>
      </w:pPr>
    </w:p>
    <w:p w:rsidR="00933B65" w:rsidRPr="00F97703" w:rsidRDefault="00933B65" w:rsidP="00A67A78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Before</w:t>
      </w:r>
    </w:p>
    <w:p w:rsidR="00933B65" w:rsidRPr="00F97703" w:rsidRDefault="00933B65" w:rsidP="00A67A78">
      <w:pPr>
        <w:jc w:val="center"/>
        <w:rPr>
          <w:rFonts w:ascii="Book Antiqua" w:hAnsi="Book Antiqua" w:cs="Arial"/>
          <w:b/>
        </w:rPr>
      </w:pPr>
    </w:p>
    <w:p w:rsidR="00933B65" w:rsidRPr="00F97703" w:rsidRDefault="00933B65" w:rsidP="00A67A78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 xml:space="preserve">UPPER TRIBUNAL JUDGE </w:t>
      </w:r>
      <w:r w:rsidR="008B5B9B">
        <w:rPr>
          <w:rFonts w:ascii="Book Antiqua" w:hAnsi="Book Antiqua" w:cs="Arial"/>
          <w:b/>
          <w:color w:val="000000"/>
        </w:rPr>
        <w:t>MACLEMAN</w:t>
      </w:r>
    </w:p>
    <w:p w:rsidR="00933B65" w:rsidRPr="00F97703" w:rsidRDefault="00933B65" w:rsidP="00A67A78">
      <w:pPr>
        <w:jc w:val="center"/>
        <w:rPr>
          <w:rFonts w:ascii="Book Antiqua" w:hAnsi="Book Antiqua" w:cs="Arial"/>
          <w:b/>
        </w:rPr>
      </w:pPr>
    </w:p>
    <w:p w:rsidR="00A67A78" w:rsidRDefault="00A67A78" w:rsidP="00A67A78">
      <w:pPr>
        <w:jc w:val="center"/>
        <w:rPr>
          <w:rFonts w:ascii="Book Antiqua" w:hAnsi="Book Antiqua" w:cs="Arial"/>
          <w:b/>
        </w:rPr>
      </w:pPr>
    </w:p>
    <w:p w:rsidR="00933B65" w:rsidRDefault="00933B65" w:rsidP="00A67A78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Between</w:t>
      </w:r>
    </w:p>
    <w:p w:rsidR="00933B65" w:rsidRDefault="00933B65" w:rsidP="00A67A78">
      <w:pPr>
        <w:jc w:val="center"/>
        <w:rPr>
          <w:rFonts w:ascii="Book Antiqua" w:hAnsi="Book Antiqua" w:cs="Arial"/>
          <w:b/>
        </w:rPr>
      </w:pPr>
    </w:p>
    <w:p w:rsidR="00933B65" w:rsidRDefault="0085277E" w:rsidP="00A67A78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IMRAN </w:t>
      </w:r>
      <w:r w:rsidR="00A67A78">
        <w:rPr>
          <w:rFonts w:ascii="Book Antiqua" w:hAnsi="Book Antiqua" w:cs="Arial"/>
          <w:b/>
        </w:rPr>
        <w:t>[</w:t>
      </w:r>
      <w:r>
        <w:rPr>
          <w:rFonts w:ascii="Book Antiqua" w:hAnsi="Book Antiqua" w:cs="Arial"/>
          <w:b/>
        </w:rPr>
        <w:t>Y</w:t>
      </w:r>
      <w:r w:rsidR="00A67A78">
        <w:rPr>
          <w:rFonts w:ascii="Book Antiqua" w:hAnsi="Book Antiqua" w:cs="Arial"/>
          <w:b/>
        </w:rPr>
        <w:t>]</w:t>
      </w:r>
    </w:p>
    <w:p w:rsidR="008E485B" w:rsidRPr="00F97703" w:rsidRDefault="008E485B" w:rsidP="00A67A78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(anonymity direction not made) </w:t>
      </w:r>
    </w:p>
    <w:p w:rsidR="00933B65" w:rsidRPr="00F97703" w:rsidRDefault="00933B65" w:rsidP="00A67A78">
      <w:pPr>
        <w:jc w:val="right"/>
        <w:rPr>
          <w:rFonts w:ascii="Book Antiqua" w:hAnsi="Book Antiqua" w:cs="Arial"/>
          <w:u w:val="single"/>
        </w:rPr>
      </w:pPr>
      <w:r w:rsidRPr="00F97703">
        <w:rPr>
          <w:rFonts w:ascii="Book Antiqua" w:hAnsi="Book Antiqua" w:cs="Arial"/>
          <w:u w:val="single"/>
        </w:rPr>
        <w:t>Appellant</w:t>
      </w:r>
    </w:p>
    <w:p w:rsidR="00933B65" w:rsidRPr="00F97703" w:rsidRDefault="00933B65" w:rsidP="00A67A78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and</w:t>
      </w:r>
    </w:p>
    <w:p w:rsidR="00933B65" w:rsidRPr="00F97703" w:rsidRDefault="00933B65" w:rsidP="00A67A78">
      <w:pPr>
        <w:jc w:val="center"/>
        <w:rPr>
          <w:rFonts w:ascii="Book Antiqua" w:hAnsi="Book Antiqua" w:cs="Arial"/>
          <w:b/>
        </w:rPr>
      </w:pPr>
    </w:p>
    <w:p w:rsidR="00D44C2B" w:rsidRDefault="00933B65" w:rsidP="00A67A78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1" w:name="Text7"/>
      <w:r w:rsidRPr="00F97703">
        <w:rPr>
          <w:rFonts w:ascii="Book Antiqua" w:hAnsi="Book Antiqua" w:cs="Arial"/>
          <w:b/>
        </w:rPr>
        <w:instrText xml:space="preserve"> FORMTEXT </w:instrText>
      </w:r>
      <w:r w:rsidRPr="00F97703">
        <w:rPr>
          <w:rFonts w:ascii="Book Antiqua" w:hAnsi="Book Antiqua" w:cs="Arial"/>
          <w:b/>
        </w:rPr>
      </w:r>
      <w:r w:rsidRPr="00F97703">
        <w:rPr>
          <w:rFonts w:ascii="Book Antiqua" w:hAnsi="Book Antiqua" w:cs="Arial"/>
          <w:b/>
        </w:rPr>
        <w:fldChar w:fldCharType="separate"/>
      </w:r>
      <w:r w:rsidRPr="00F97703">
        <w:rPr>
          <w:rFonts w:ascii="Book Antiqua" w:hAnsi="Book Antiqua" w:cs="Arial"/>
          <w:b/>
          <w:noProof/>
        </w:rPr>
        <w:t>THE SECRETARY OF STATE FOR THE HOME DEPARTMENT</w:t>
      </w:r>
      <w:r w:rsidRPr="00F97703">
        <w:rPr>
          <w:rFonts w:ascii="Book Antiqua" w:hAnsi="Book Antiqua" w:cs="Arial"/>
          <w:b/>
        </w:rPr>
        <w:fldChar w:fldCharType="end"/>
      </w:r>
      <w:bookmarkEnd w:id="1"/>
    </w:p>
    <w:p w:rsidR="00933B65" w:rsidRPr="00F97703" w:rsidRDefault="00933B65" w:rsidP="00A67A78">
      <w:pPr>
        <w:jc w:val="right"/>
        <w:rPr>
          <w:rFonts w:ascii="Book Antiqua" w:hAnsi="Book Antiqua" w:cs="Arial"/>
          <w:u w:val="single"/>
        </w:rPr>
      </w:pPr>
      <w:r w:rsidRPr="00F97703">
        <w:rPr>
          <w:rFonts w:ascii="Book Antiqua" w:hAnsi="Book Antiqua" w:cs="Arial"/>
          <w:u w:val="single"/>
        </w:rPr>
        <w:t>Respondent</w:t>
      </w:r>
    </w:p>
    <w:p w:rsidR="00933B65" w:rsidRDefault="00933B65" w:rsidP="00A67A78">
      <w:pPr>
        <w:rPr>
          <w:rFonts w:ascii="Book Antiqua" w:hAnsi="Book Antiqua" w:cs="Arial"/>
        </w:rPr>
      </w:pPr>
    </w:p>
    <w:p w:rsidR="00A67A78" w:rsidRPr="00F97703" w:rsidRDefault="00A67A78" w:rsidP="00A67A78">
      <w:pPr>
        <w:rPr>
          <w:rFonts w:ascii="Book Antiqua" w:hAnsi="Book Antiqua" w:cs="Arial"/>
        </w:rPr>
      </w:pPr>
    </w:p>
    <w:p w:rsidR="00933B65" w:rsidRPr="00F97703" w:rsidRDefault="00933B65" w:rsidP="00A67A78">
      <w:pPr>
        <w:tabs>
          <w:tab w:val="left" w:pos="2552"/>
        </w:tabs>
        <w:ind w:left="2552" w:hanging="2552"/>
        <w:rPr>
          <w:rFonts w:ascii="Book Antiqua" w:hAnsi="Book Antiqua" w:cs="Arial"/>
        </w:rPr>
      </w:pPr>
      <w:r w:rsidRPr="00F97703">
        <w:rPr>
          <w:rFonts w:ascii="Book Antiqua" w:hAnsi="Book Antiqua" w:cs="Arial"/>
        </w:rPr>
        <w:t>For the Appellant:</w:t>
      </w:r>
      <w:r w:rsidR="00A67A78">
        <w:rPr>
          <w:rFonts w:ascii="Book Antiqua" w:hAnsi="Book Antiqua" w:cs="Arial"/>
        </w:rPr>
        <w:tab/>
      </w:r>
      <w:r w:rsidR="00BF01BD">
        <w:rPr>
          <w:rFonts w:ascii="Book Antiqua" w:hAnsi="Book Antiqua" w:cs="Arial"/>
        </w:rPr>
        <w:t xml:space="preserve">Mr K Forrest, </w:t>
      </w:r>
      <w:r w:rsidR="009253FF">
        <w:rPr>
          <w:rFonts w:ascii="Book Antiqua" w:hAnsi="Book Antiqua" w:cs="Arial"/>
        </w:rPr>
        <w:t xml:space="preserve">Advocate, instructed by </w:t>
      </w:r>
      <w:r w:rsidR="007A2CE8">
        <w:rPr>
          <w:rFonts w:ascii="Book Antiqua" w:hAnsi="Book Antiqua" w:cs="Arial"/>
        </w:rPr>
        <w:t xml:space="preserve">Norman </w:t>
      </w:r>
      <w:r w:rsidR="00B41D44">
        <w:rPr>
          <w:rFonts w:ascii="Book Antiqua" w:hAnsi="Book Antiqua" w:cs="Arial"/>
        </w:rPr>
        <w:t>Lawson &amp; Co, S</w:t>
      </w:r>
      <w:r w:rsidR="003D7D3D">
        <w:rPr>
          <w:rFonts w:ascii="Book Antiqua" w:hAnsi="Book Antiqua" w:cs="Arial"/>
        </w:rPr>
        <w:t>olicitors</w:t>
      </w:r>
    </w:p>
    <w:p w:rsidR="00933B65" w:rsidRPr="00F97703" w:rsidRDefault="00933B65" w:rsidP="00A67A78">
      <w:pPr>
        <w:tabs>
          <w:tab w:val="left" w:pos="2552"/>
        </w:tabs>
        <w:rPr>
          <w:rFonts w:ascii="Book Antiqua" w:hAnsi="Book Antiqua" w:cs="Arial"/>
        </w:rPr>
      </w:pPr>
      <w:r w:rsidRPr="00F97703">
        <w:rPr>
          <w:rFonts w:ascii="Book Antiqua" w:hAnsi="Book Antiqua" w:cs="Arial"/>
        </w:rPr>
        <w:t>For the Respondent:</w:t>
      </w:r>
      <w:r w:rsidR="00A67A78">
        <w:rPr>
          <w:rFonts w:ascii="Book Antiqua" w:hAnsi="Book Antiqua" w:cs="Arial"/>
        </w:rPr>
        <w:tab/>
      </w:r>
      <w:r w:rsidR="005E5E5D">
        <w:rPr>
          <w:rFonts w:ascii="Book Antiqua" w:hAnsi="Book Antiqua" w:cs="Arial"/>
        </w:rPr>
        <w:t>Mr</w:t>
      </w:r>
      <w:r w:rsidR="0085277E">
        <w:rPr>
          <w:rFonts w:ascii="Book Antiqua" w:hAnsi="Book Antiqua" w:cs="Arial"/>
        </w:rPr>
        <w:t xml:space="preserve"> </w:t>
      </w:r>
      <w:r w:rsidR="005E5E5D">
        <w:rPr>
          <w:rFonts w:ascii="Book Antiqua" w:hAnsi="Book Antiqua" w:cs="Arial"/>
        </w:rPr>
        <w:t xml:space="preserve">A Govan, </w:t>
      </w:r>
      <w:r w:rsidR="003D7D3D">
        <w:rPr>
          <w:rFonts w:ascii="Book Antiqua" w:hAnsi="Book Antiqua" w:cs="Arial"/>
        </w:rPr>
        <w:t>Senior</w:t>
      </w:r>
      <w:r>
        <w:rPr>
          <w:rFonts w:ascii="Book Antiqua" w:hAnsi="Book Antiqua" w:cs="Arial"/>
        </w:rPr>
        <w:t xml:space="preserve"> Home Office Presenting Officer</w:t>
      </w:r>
    </w:p>
    <w:p w:rsidR="00933B65" w:rsidRDefault="00933B65" w:rsidP="00A67A78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A67A78" w:rsidRPr="00F97703" w:rsidRDefault="00A67A78" w:rsidP="00A67A78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321C6F" w:rsidRPr="002B54F9" w:rsidRDefault="00933B65" w:rsidP="00A67A78">
      <w:pPr>
        <w:tabs>
          <w:tab w:val="left" w:pos="2520"/>
        </w:tabs>
        <w:jc w:val="center"/>
        <w:rPr>
          <w:rFonts w:ascii="Book Antiqua" w:hAnsi="Book Antiqua" w:cs="Arial"/>
          <w:sz w:val="20"/>
          <w:szCs w:val="20"/>
        </w:rPr>
      </w:pPr>
      <w:r w:rsidRPr="00F97703">
        <w:rPr>
          <w:rFonts w:ascii="Book Antiqua" w:hAnsi="Book Antiqua" w:cs="Arial"/>
          <w:b/>
          <w:u w:val="single"/>
        </w:rPr>
        <w:t>DETERMINATION AND REASONS</w:t>
      </w:r>
    </w:p>
    <w:p w:rsidR="00A30929" w:rsidRDefault="00007BAC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</w:t>
      </w:r>
      <w:r w:rsidR="00B41D44">
        <w:rPr>
          <w:rFonts w:ascii="Book Antiqua" w:hAnsi="Book Antiqua" w:cs="Arial"/>
        </w:rPr>
        <w:t xml:space="preserve">e appellant applied </w:t>
      </w:r>
      <w:r w:rsidR="006F5D00">
        <w:rPr>
          <w:rFonts w:ascii="Book Antiqua" w:hAnsi="Book Antiqua" w:cs="Arial"/>
        </w:rPr>
        <w:t>to the respondent for a residence card</w:t>
      </w:r>
      <w:r w:rsidR="00A84F92">
        <w:rPr>
          <w:rFonts w:ascii="Book Antiqua" w:hAnsi="Book Antiqua" w:cs="Arial"/>
        </w:rPr>
        <w:t>, under</w:t>
      </w:r>
      <w:r w:rsidR="006F5D00">
        <w:rPr>
          <w:rFonts w:ascii="Book Antiqua" w:hAnsi="Book Antiqua" w:cs="Arial"/>
        </w:rPr>
        <w:t xml:space="preserve"> </w:t>
      </w:r>
      <w:r w:rsidR="00842D40">
        <w:rPr>
          <w:rFonts w:ascii="Book Antiqua" w:hAnsi="Book Antiqua" w:cs="Arial"/>
        </w:rPr>
        <w:t>cover of a</w:t>
      </w:r>
      <w:r w:rsidR="006F5D00">
        <w:rPr>
          <w:rFonts w:ascii="Book Antiqua" w:hAnsi="Book Antiqua" w:cs="Arial"/>
        </w:rPr>
        <w:t xml:space="preserve"> letter from </w:t>
      </w:r>
      <w:r w:rsidR="00EA0A76">
        <w:rPr>
          <w:rFonts w:ascii="Book Antiqua" w:hAnsi="Book Antiqua" w:cs="Arial"/>
        </w:rPr>
        <w:t>the</w:t>
      </w:r>
      <w:r w:rsidR="006F5D00">
        <w:rPr>
          <w:rFonts w:ascii="Book Antiqua" w:hAnsi="Book Antiqua" w:cs="Arial"/>
        </w:rPr>
        <w:t xml:space="preserve"> representatives</w:t>
      </w:r>
      <w:r w:rsidR="00556E32">
        <w:rPr>
          <w:rFonts w:ascii="Book Antiqua" w:hAnsi="Book Antiqua" w:cs="Arial"/>
        </w:rPr>
        <w:t xml:space="preserve"> </w:t>
      </w:r>
      <w:r w:rsidR="00EA0A76">
        <w:rPr>
          <w:rFonts w:ascii="Book Antiqua" w:hAnsi="Book Antiqua" w:cs="Arial"/>
        </w:rPr>
        <w:t>acting for him</w:t>
      </w:r>
      <w:r w:rsidR="00D222D3">
        <w:rPr>
          <w:rFonts w:ascii="Book Antiqua" w:hAnsi="Book Antiqua" w:cs="Arial"/>
        </w:rPr>
        <w:t xml:space="preserve"> </w:t>
      </w:r>
      <w:r w:rsidR="00556E32">
        <w:rPr>
          <w:rFonts w:ascii="Book Antiqua" w:hAnsi="Book Antiqua" w:cs="Arial"/>
        </w:rPr>
        <w:t>at the time, dated 14 August 2015</w:t>
      </w:r>
      <w:r w:rsidR="00842D40">
        <w:rPr>
          <w:rFonts w:ascii="Book Antiqua" w:hAnsi="Book Antiqua" w:cs="Arial"/>
        </w:rPr>
        <w:t>.</w:t>
      </w:r>
      <w:r w:rsidR="004922CD">
        <w:rPr>
          <w:rFonts w:ascii="Book Antiqua" w:hAnsi="Book Antiqua" w:cs="Arial"/>
        </w:rPr>
        <w:t xml:space="preserve">  The circumstances were explained in the letter</w:t>
      </w:r>
      <w:r w:rsidR="00556E32">
        <w:rPr>
          <w:rFonts w:ascii="Book Antiqua" w:hAnsi="Book Antiqua" w:cs="Arial"/>
        </w:rPr>
        <w:t xml:space="preserve"> and </w:t>
      </w:r>
      <w:r w:rsidR="00FB0F39">
        <w:rPr>
          <w:rFonts w:ascii="Book Antiqua" w:hAnsi="Book Antiqua" w:cs="Arial"/>
        </w:rPr>
        <w:t xml:space="preserve">accompanying </w:t>
      </w:r>
      <w:r w:rsidR="00AA156F">
        <w:rPr>
          <w:rFonts w:ascii="Book Antiqua" w:hAnsi="Book Antiqua" w:cs="Arial"/>
        </w:rPr>
        <w:t xml:space="preserve">documents, </w:t>
      </w:r>
      <w:r w:rsidR="004922CD">
        <w:rPr>
          <w:rFonts w:ascii="Book Antiqua" w:hAnsi="Book Antiqua" w:cs="Arial"/>
        </w:rPr>
        <w:t>and reliance was placed on</w:t>
      </w:r>
      <w:r w:rsidR="00D222D3">
        <w:rPr>
          <w:rFonts w:ascii="Book Antiqua" w:hAnsi="Book Antiqua" w:cs="Arial"/>
        </w:rPr>
        <w:t xml:space="preserve"> </w:t>
      </w:r>
      <w:r w:rsidR="00C7328A" w:rsidRPr="00A84F92">
        <w:rPr>
          <w:rFonts w:ascii="Book Antiqua" w:hAnsi="Book Antiqua" w:cs="Arial"/>
          <w:i/>
        </w:rPr>
        <w:t>Zambrano</w:t>
      </w:r>
      <w:r w:rsidR="00A45D31">
        <w:rPr>
          <w:rFonts w:ascii="Book Antiqua" w:hAnsi="Book Antiqua" w:cs="Arial"/>
        </w:rPr>
        <w:t xml:space="preserve"> C-34/09, [2011] All ER (EC) 491</w:t>
      </w:r>
      <w:r w:rsidR="00A84F92">
        <w:rPr>
          <w:rFonts w:ascii="Book Antiqua" w:hAnsi="Book Antiqua" w:cs="Arial"/>
        </w:rPr>
        <w:t>.</w:t>
      </w:r>
    </w:p>
    <w:p w:rsidR="00224B0C" w:rsidRDefault="00224B0C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respondent refused that application </w:t>
      </w:r>
      <w:r w:rsidR="005B2977">
        <w:rPr>
          <w:rFonts w:ascii="Book Antiqua" w:hAnsi="Book Antiqua" w:cs="Arial"/>
        </w:rPr>
        <w:t>by</w:t>
      </w:r>
      <w:r>
        <w:rPr>
          <w:rFonts w:ascii="Book Antiqua" w:hAnsi="Book Antiqua" w:cs="Arial"/>
        </w:rPr>
        <w:t xml:space="preserve"> a letter dated 16 </w:t>
      </w:r>
      <w:r w:rsidR="005A1D38">
        <w:rPr>
          <w:rFonts w:ascii="Book Antiqua" w:hAnsi="Book Antiqua" w:cs="Arial"/>
        </w:rPr>
        <w:t>February</w:t>
      </w:r>
      <w:r>
        <w:rPr>
          <w:rFonts w:ascii="Book Antiqua" w:hAnsi="Book Antiqua" w:cs="Arial"/>
        </w:rPr>
        <w:t xml:space="preserve"> 2016.</w:t>
      </w:r>
    </w:p>
    <w:p w:rsidR="00224B0C" w:rsidRDefault="00E26925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FtT Judge Handley dismissed the appellant’s appeal by a decision promulgated on 21 September 2017.</w:t>
      </w:r>
    </w:p>
    <w:p w:rsidR="00CB2738" w:rsidRDefault="00CB2738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>On 27 May 2018, UT Judge Plimmer granted permission to appeal to the UT, for these reasons:</w:t>
      </w:r>
    </w:p>
    <w:p w:rsidR="00F07807" w:rsidRPr="00A67A78" w:rsidRDefault="00A67A78" w:rsidP="00A67A78">
      <w:pPr>
        <w:spacing w:before="120"/>
        <w:ind w:left="1134" w:right="567"/>
        <w:jc w:val="both"/>
        <w:rPr>
          <w:rFonts w:ascii="Book Antiqua" w:hAnsi="Book Antiqua"/>
          <w:sz w:val="22"/>
          <w:szCs w:val="20"/>
        </w:rPr>
      </w:pPr>
      <w:r w:rsidRPr="00A67A78">
        <w:rPr>
          <w:rFonts w:ascii="Book Antiqua" w:hAnsi="Book Antiqua"/>
          <w:sz w:val="22"/>
          <w:szCs w:val="20"/>
        </w:rPr>
        <w:t>“</w:t>
      </w:r>
      <w:r w:rsidR="00F07807" w:rsidRPr="00A67A78">
        <w:rPr>
          <w:rFonts w:ascii="Book Antiqua" w:hAnsi="Book Antiqua"/>
          <w:sz w:val="22"/>
          <w:szCs w:val="20"/>
        </w:rPr>
        <w:t>I</w:t>
      </w:r>
      <w:r w:rsidR="00E2795E" w:rsidRPr="00A67A78">
        <w:rPr>
          <w:rFonts w:ascii="Book Antiqua" w:hAnsi="Book Antiqua"/>
          <w:sz w:val="22"/>
          <w:szCs w:val="20"/>
        </w:rPr>
        <w:t xml:space="preserve">t is arguable that the </w:t>
      </w:r>
      <w:r w:rsidR="00F07807" w:rsidRPr="00A67A78">
        <w:rPr>
          <w:rFonts w:ascii="Book Antiqua" w:hAnsi="Book Antiqua"/>
          <w:sz w:val="22"/>
          <w:szCs w:val="20"/>
        </w:rPr>
        <w:t>FtT</w:t>
      </w:r>
      <w:r w:rsidR="00E2795E" w:rsidRPr="00A67A78">
        <w:rPr>
          <w:rFonts w:ascii="Book Antiqua" w:hAnsi="Book Antiqua"/>
          <w:sz w:val="22"/>
          <w:szCs w:val="20"/>
        </w:rPr>
        <w:t xml:space="preserve"> failed to address the </w:t>
      </w:r>
      <w:r w:rsidR="00E2795E" w:rsidRPr="00A67A78">
        <w:rPr>
          <w:rFonts w:ascii="Book Antiqua" w:hAnsi="Book Antiqua"/>
          <w:i/>
          <w:sz w:val="22"/>
          <w:szCs w:val="20"/>
        </w:rPr>
        <w:t>Zambrano</w:t>
      </w:r>
      <w:r w:rsidR="00E2795E" w:rsidRPr="00A67A78">
        <w:rPr>
          <w:rFonts w:ascii="Book Antiqua" w:hAnsi="Book Antiqua"/>
          <w:sz w:val="22"/>
          <w:szCs w:val="20"/>
        </w:rPr>
        <w:t xml:space="preserve"> principle as recently considered in </w:t>
      </w:r>
      <w:r w:rsidR="00E2795E" w:rsidRPr="00A67A78">
        <w:rPr>
          <w:rFonts w:ascii="Book Antiqua" w:hAnsi="Book Antiqua"/>
          <w:i/>
          <w:sz w:val="22"/>
          <w:szCs w:val="20"/>
        </w:rPr>
        <w:t xml:space="preserve">Patel </w:t>
      </w:r>
      <w:r w:rsidR="00F07807" w:rsidRPr="00A67A78">
        <w:rPr>
          <w:rFonts w:ascii="Book Antiqua" w:hAnsi="Book Antiqua"/>
          <w:i/>
          <w:sz w:val="22"/>
          <w:szCs w:val="20"/>
        </w:rPr>
        <w:t>v</w:t>
      </w:r>
      <w:r w:rsidR="00E2795E" w:rsidRPr="00A67A78">
        <w:rPr>
          <w:rFonts w:ascii="Book Antiqua" w:hAnsi="Book Antiqua"/>
          <w:i/>
          <w:sz w:val="22"/>
          <w:szCs w:val="20"/>
        </w:rPr>
        <w:t xml:space="preserve"> SSHD</w:t>
      </w:r>
      <w:r w:rsidR="00E2795E" w:rsidRPr="00A67A78">
        <w:rPr>
          <w:rFonts w:ascii="Book Antiqua" w:hAnsi="Book Antiqua"/>
          <w:sz w:val="22"/>
          <w:szCs w:val="20"/>
        </w:rPr>
        <w:t xml:space="preserve"> </w:t>
      </w:r>
      <w:r w:rsidR="00F07807" w:rsidRPr="00A67A78">
        <w:rPr>
          <w:rFonts w:ascii="Book Antiqua" w:hAnsi="Book Antiqua"/>
          <w:sz w:val="22"/>
          <w:szCs w:val="20"/>
        </w:rPr>
        <w:t>[</w:t>
      </w:r>
      <w:r w:rsidR="00E2795E" w:rsidRPr="00A67A78">
        <w:rPr>
          <w:rFonts w:ascii="Book Antiqua" w:hAnsi="Book Antiqua"/>
          <w:sz w:val="22"/>
          <w:szCs w:val="20"/>
        </w:rPr>
        <w:t>2017</w:t>
      </w:r>
      <w:r w:rsidR="00F07807" w:rsidRPr="00A67A78">
        <w:rPr>
          <w:rFonts w:ascii="Book Antiqua" w:hAnsi="Book Antiqua"/>
          <w:sz w:val="22"/>
          <w:szCs w:val="20"/>
        </w:rPr>
        <w:t>]</w:t>
      </w:r>
      <w:r w:rsidR="00E2795E" w:rsidRPr="00A67A78">
        <w:rPr>
          <w:rFonts w:ascii="Book Antiqua" w:hAnsi="Book Antiqua"/>
          <w:sz w:val="22"/>
          <w:szCs w:val="20"/>
        </w:rPr>
        <w:t xml:space="preserve"> EWCA C</w:t>
      </w:r>
      <w:r w:rsidR="00F07807" w:rsidRPr="00A67A78">
        <w:rPr>
          <w:rFonts w:ascii="Book Antiqua" w:hAnsi="Book Antiqua"/>
          <w:sz w:val="22"/>
          <w:szCs w:val="20"/>
        </w:rPr>
        <w:t>iv</w:t>
      </w:r>
      <w:r w:rsidR="00E2795E" w:rsidRPr="00A67A78">
        <w:rPr>
          <w:rFonts w:ascii="Book Antiqua" w:hAnsi="Book Antiqua"/>
          <w:sz w:val="22"/>
          <w:szCs w:val="20"/>
        </w:rPr>
        <w:t xml:space="preserve"> 2028</w:t>
      </w:r>
      <w:r w:rsidR="00F07807" w:rsidRPr="00A67A78">
        <w:rPr>
          <w:rFonts w:ascii="Book Antiqua" w:hAnsi="Book Antiqua"/>
          <w:sz w:val="22"/>
          <w:szCs w:val="20"/>
        </w:rPr>
        <w:t>.</w:t>
      </w:r>
    </w:p>
    <w:p w:rsidR="00F07807" w:rsidRPr="00A67A78" w:rsidRDefault="00F07807" w:rsidP="00A67A78">
      <w:pPr>
        <w:spacing w:before="120"/>
        <w:ind w:left="1134" w:right="567"/>
        <w:jc w:val="both"/>
        <w:rPr>
          <w:rFonts w:ascii="Book Antiqua" w:hAnsi="Book Antiqua"/>
          <w:sz w:val="22"/>
          <w:szCs w:val="20"/>
        </w:rPr>
      </w:pPr>
      <w:r w:rsidRPr="00A67A78">
        <w:rPr>
          <w:rFonts w:ascii="Book Antiqua" w:hAnsi="Book Antiqua"/>
          <w:sz w:val="22"/>
          <w:szCs w:val="20"/>
        </w:rPr>
        <w:t>This is material because the EEA child’s mother had died, and the child might therefore be compelled to leave the EEA with his non-EU father.</w:t>
      </w:r>
      <w:r w:rsidR="00A67A78" w:rsidRPr="00A67A78">
        <w:rPr>
          <w:rFonts w:ascii="Book Antiqua" w:hAnsi="Book Antiqua"/>
          <w:sz w:val="22"/>
          <w:szCs w:val="20"/>
        </w:rPr>
        <w:t>”</w:t>
      </w:r>
    </w:p>
    <w:p w:rsidR="00F75865" w:rsidRPr="005123C8" w:rsidRDefault="00F75865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 w:cs="Arial"/>
        </w:rPr>
        <w:t>The</w:t>
      </w:r>
      <w:r w:rsidR="009513D3">
        <w:rPr>
          <w:rFonts w:ascii="Book Antiqua" w:hAnsi="Book Antiqua" w:cs="Arial"/>
        </w:rPr>
        <w:t xml:space="preserve"> history of the appellant</w:t>
      </w:r>
      <w:r>
        <w:rPr>
          <w:rFonts w:ascii="Book Antiqua" w:hAnsi="Book Antiqua" w:cs="Arial"/>
        </w:rPr>
        <w:t xml:space="preserve">, his late partner and his son is rather complicated, </w:t>
      </w:r>
      <w:r w:rsidR="00F62896">
        <w:rPr>
          <w:rFonts w:ascii="Book Antiqua" w:hAnsi="Book Antiqua" w:cs="Arial"/>
        </w:rPr>
        <w:t xml:space="preserve">including the annulment in Norway of </w:t>
      </w:r>
      <w:r w:rsidR="002F48B0">
        <w:rPr>
          <w:rFonts w:ascii="Book Antiqua" w:hAnsi="Book Antiqua" w:cs="Arial"/>
        </w:rPr>
        <w:t>her</w:t>
      </w:r>
      <w:r w:rsidR="00F62896">
        <w:rPr>
          <w:rFonts w:ascii="Book Antiqua" w:hAnsi="Book Antiqua" w:cs="Arial"/>
        </w:rPr>
        <w:t xml:space="preserve"> forced marriage </w:t>
      </w:r>
      <w:r w:rsidR="002F48B0">
        <w:rPr>
          <w:rFonts w:ascii="Book Antiqua" w:hAnsi="Book Antiqua" w:cs="Arial"/>
        </w:rPr>
        <w:t xml:space="preserve">to someone else </w:t>
      </w:r>
      <w:r w:rsidR="00F62896">
        <w:rPr>
          <w:rFonts w:ascii="Book Antiqua" w:hAnsi="Book Antiqua" w:cs="Arial"/>
        </w:rPr>
        <w:t>in Pakistan</w:t>
      </w:r>
      <w:r w:rsidR="00AE195C">
        <w:rPr>
          <w:rFonts w:ascii="Book Antiqua" w:hAnsi="Book Antiqua" w:cs="Arial"/>
        </w:rPr>
        <w:t>.  The</w:t>
      </w:r>
      <w:r>
        <w:rPr>
          <w:rFonts w:ascii="Book Antiqua" w:hAnsi="Book Antiqua" w:cs="Arial"/>
        </w:rPr>
        <w:t xml:space="preserve"> </w:t>
      </w:r>
      <w:r w:rsidR="00565B8D">
        <w:rPr>
          <w:rFonts w:ascii="Book Antiqua" w:hAnsi="Book Antiqua" w:cs="Arial"/>
        </w:rPr>
        <w:t>principal</w:t>
      </w:r>
      <w:r>
        <w:rPr>
          <w:rFonts w:ascii="Book Antiqua" w:hAnsi="Book Antiqua" w:cs="Arial"/>
        </w:rPr>
        <w:t xml:space="preserve"> facts </w:t>
      </w:r>
      <w:r w:rsidR="005123C8">
        <w:rPr>
          <w:rFonts w:ascii="Book Antiqua" w:hAnsi="Book Antiqua" w:cs="Arial"/>
        </w:rPr>
        <w:t>in relation to entitle</w:t>
      </w:r>
      <w:r w:rsidR="00AE195C">
        <w:rPr>
          <w:rFonts w:ascii="Book Antiqua" w:hAnsi="Book Antiqua" w:cs="Arial"/>
        </w:rPr>
        <w:t>ment</w:t>
      </w:r>
      <w:r w:rsidR="005123C8">
        <w:rPr>
          <w:rFonts w:ascii="Book Antiqua" w:hAnsi="Book Antiqua" w:cs="Arial"/>
        </w:rPr>
        <w:t xml:space="preserve"> to a residence card are these:</w:t>
      </w:r>
    </w:p>
    <w:p w:rsidR="00B13898" w:rsidRDefault="005123C8" w:rsidP="00A67A78">
      <w:pPr>
        <w:numPr>
          <w:ilvl w:val="1"/>
          <w:numId w:val="2"/>
        </w:numPr>
        <w:spacing w:before="12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appellant </w:t>
      </w:r>
      <w:r w:rsidR="0093148C">
        <w:rPr>
          <w:rFonts w:ascii="Book Antiqua" w:hAnsi="Book Antiqua"/>
        </w:rPr>
        <w:t xml:space="preserve">is a citizen of Pakistan, </w:t>
      </w:r>
      <w:r w:rsidR="00860A25">
        <w:rPr>
          <w:rFonts w:ascii="Book Antiqua" w:hAnsi="Book Antiqua"/>
        </w:rPr>
        <w:t xml:space="preserve">and of no other country, </w:t>
      </w:r>
      <w:r w:rsidR="0093148C">
        <w:rPr>
          <w:rFonts w:ascii="Book Antiqua" w:hAnsi="Book Antiqua"/>
        </w:rPr>
        <w:t>born on 23 June</w:t>
      </w:r>
      <w:r w:rsidR="00860A25">
        <w:rPr>
          <w:rFonts w:ascii="Book Antiqua" w:hAnsi="Book Antiqua"/>
        </w:rPr>
        <w:t xml:space="preserve"> 1983.</w:t>
      </w:r>
      <w:r w:rsidR="00A3042F">
        <w:rPr>
          <w:rFonts w:ascii="Book Antiqua" w:hAnsi="Book Antiqua"/>
        </w:rPr>
        <w:t xml:space="preserve">  He came to the UK on a visit visa in 2005</w:t>
      </w:r>
      <w:r w:rsidR="0089173B">
        <w:rPr>
          <w:rFonts w:ascii="Book Antiqua" w:hAnsi="Book Antiqua"/>
        </w:rPr>
        <w:t xml:space="preserve"> and has remained here since then, without establishing any right to remain since that visa expired.</w:t>
      </w:r>
    </w:p>
    <w:p w:rsidR="00786F0C" w:rsidRDefault="00B13898" w:rsidP="00A67A78">
      <w:pPr>
        <w:numPr>
          <w:ilvl w:val="1"/>
          <w:numId w:val="2"/>
        </w:numPr>
        <w:spacing w:before="120"/>
        <w:jc w:val="both"/>
        <w:rPr>
          <w:rFonts w:ascii="Book Antiqua" w:hAnsi="Book Antiqua"/>
        </w:rPr>
      </w:pPr>
      <w:r>
        <w:rPr>
          <w:rFonts w:ascii="Book Antiqua" w:hAnsi="Book Antiqua"/>
        </w:rPr>
        <w:t>The appellant was</w:t>
      </w:r>
      <w:r w:rsidR="005123C8">
        <w:rPr>
          <w:rFonts w:ascii="Book Antiqua" w:hAnsi="Book Antiqua"/>
        </w:rPr>
        <w:t xml:space="preserve"> </w:t>
      </w:r>
      <w:r w:rsidR="0019193F">
        <w:rPr>
          <w:rFonts w:ascii="Book Antiqua" w:hAnsi="Book Antiqua"/>
        </w:rPr>
        <w:t xml:space="preserve">in a relationship with </w:t>
      </w:r>
      <w:r w:rsidR="00A67A78">
        <w:rPr>
          <w:rFonts w:ascii="Book Antiqua" w:hAnsi="Book Antiqua"/>
        </w:rPr>
        <w:t>[MS]</w:t>
      </w:r>
      <w:r w:rsidR="00F11303">
        <w:rPr>
          <w:rFonts w:ascii="Book Antiqua" w:hAnsi="Book Antiqua"/>
        </w:rPr>
        <w:t>, a citizen of Norway,</w:t>
      </w:r>
      <w:r w:rsidR="004501AE">
        <w:rPr>
          <w:rFonts w:ascii="Book Antiqua" w:hAnsi="Book Antiqua"/>
        </w:rPr>
        <w:t xml:space="preserve"> </w:t>
      </w:r>
      <w:r w:rsidR="006729B8">
        <w:rPr>
          <w:rFonts w:ascii="Book Antiqua" w:hAnsi="Book Antiqua"/>
        </w:rPr>
        <w:t>from 2003</w:t>
      </w:r>
      <w:r w:rsidR="00956751">
        <w:rPr>
          <w:rFonts w:ascii="Book Antiqua" w:hAnsi="Book Antiqua"/>
        </w:rPr>
        <w:t>.  He met</w:t>
      </w:r>
      <w:r w:rsidR="006729B8">
        <w:rPr>
          <w:rFonts w:ascii="Book Antiqua" w:hAnsi="Book Antiqua"/>
        </w:rPr>
        <w:t xml:space="preserve"> her firstly in Pakistan, and </w:t>
      </w:r>
      <w:r w:rsidR="00956751">
        <w:rPr>
          <w:rFonts w:ascii="Book Antiqua" w:hAnsi="Book Antiqua"/>
        </w:rPr>
        <w:t>later</w:t>
      </w:r>
      <w:r w:rsidR="00D57632">
        <w:rPr>
          <w:rFonts w:ascii="Book Antiqua" w:hAnsi="Book Antiqua"/>
        </w:rPr>
        <w:t xml:space="preserve"> </w:t>
      </w:r>
      <w:r w:rsidR="000204B9">
        <w:rPr>
          <w:rFonts w:ascii="Book Antiqua" w:hAnsi="Book Antiqua"/>
        </w:rPr>
        <w:t xml:space="preserve">in the UK.  They </w:t>
      </w:r>
      <w:r w:rsidR="00A712A9">
        <w:rPr>
          <w:rFonts w:ascii="Book Antiqua" w:hAnsi="Book Antiqua"/>
        </w:rPr>
        <w:t>had</w:t>
      </w:r>
      <w:r w:rsidR="000204B9">
        <w:rPr>
          <w:rFonts w:ascii="Book Antiqua" w:hAnsi="Book Antiqua"/>
        </w:rPr>
        <w:t xml:space="preserve"> an Islamic marriage ceremony in </w:t>
      </w:r>
      <w:r w:rsidR="00767DA6">
        <w:rPr>
          <w:rFonts w:ascii="Book Antiqua" w:hAnsi="Book Antiqua"/>
        </w:rPr>
        <w:t>2005.</w:t>
      </w:r>
    </w:p>
    <w:p w:rsidR="00101F12" w:rsidRDefault="00786F0C" w:rsidP="00A67A78">
      <w:pPr>
        <w:numPr>
          <w:ilvl w:val="1"/>
          <w:numId w:val="2"/>
        </w:numPr>
        <w:spacing w:before="12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</w:t>
      </w:r>
      <w:r w:rsidR="00AB400F">
        <w:rPr>
          <w:rFonts w:ascii="Book Antiqua" w:hAnsi="Book Antiqua"/>
        </w:rPr>
        <w:t xml:space="preserve">appellant and </w:t>
      </w:r>
      <w:r w:rsidR="00A67A78">
        <w:rPr>
          <w:rFonts w:ascii="Book Antiqua" w:hAnsi="Book Antiqua"/>
        </w:rPr>
        <w:t xml:space="preserve">[MS] </w:t>
      </w:r>
      <w:r w:rsidR="00E22DC8">
        <w:rPr>
          <w:rFonts w:ascii="Book Antiqua" w:hAnsi="Book Antiqua"/>
        </w:rPr>
        <w:t xml:space="preserve">had a son, </w:t>
      </w:r>
      <w:r w:rsidR="00A67A78">
        <w:rPr>
          <w:rFonts w:ascii="Book Antiqua" w:hAnsi="Book Antiqua"/>
        </w:rPr>
        <w:t>[AI]</w:t>
      </w:r>
      <w:r w:rsidR="00565B8D">
        <w:rPr>
          <w:rFonts w:ascii="Book Antiqua" w:hAnsi="Book Antiqua"/>
        </w:rPr>
        <w:t>,</w:t>
      </w:r>
      <w:r w:rsidR="00AB400F">
        <w:rPr>
          <w:rFonts w:ascii="Book Antiqua" w:hAnsi="Book Antiqua"/>
        </w:rPr>
        <w:t xml:space="preserve"> born</w:t>
      </w:r>
      <w:r w:rsidR="00565B8D">
        <w:rPr>
          <w:rFonts w:ascii="Book Antiqua" w:hAnsi="Book Antiqua"/>
        </w:rPr>
        <w:t xml:space="preserve"> in the </w:t>
      </w:r>
      <w:r w:rsidR="004501AE">
        <w:rPr>
          <w:rFonts w:ascii="Book Antiqua" w:hAnsi="Book Antiqua"/>
        </w:rPr>
        <w:t>UK on 5 October 200</w:t>
      </w:r>
      <w:r w:rsidR="00A67A78">
        <w:rPr>
          <w:rFonts w:ascii="Book Antiqua" w:hAnsi="Book Antiqua"/>
        </w:rPr>
        <w:t>6.  He is a citizen of Norway.</w:t>
      </w:r>
    </w:p>
    <w:p w:rsidR="00101F12" w:rsidRDefault="00A67A78" w:rsidP="00A67A78">
      <w:pPr>
        <w:numPr>
          <w:ilvl w:val="1"/>
          <w:numId w:val="2"/>
        </w:numPr>
        <w:spacing w:before="120"/>
        <w:jc w:val="both"/>
        <w:rPr>
          <w:rFonts w:ascii="Book Antiqua" w:hAnsi="Book Antiqua"/>
        </w:rPr>
      </w:pPr>
      <w:r>
        <w:rPr>
          <w:rFonts w:ascii="Book Antiqua" w:hAnsi="Book Antiqua"/>
        </w:rPr>
        <w:t>[MS]</w:t>
      </w:r>
      <w:r w:rsidR="00101F12">
        <w:rPr>
          <w:rFonts w:ascii="Book Antiqua" w:hAnsi="Book Antiqua"/>
        </w:rPr>
        <w:t xml:space="preserve"> die</w:t>
      </w:r>
      <w:r w:rsidR="00F1184A">
        <w:rPr>
          <w:rFonts w:ascii="Book Antiqua" w:hAnsi="Book Antiqua"/>
        </w:rPr>
        <w:t>d</w:t>
      </w:r>
      <w:r w:rsidR="00101F12">
        <w:rPr>
          <w:rFonts w:ascii="Book Antiqua" w:hAnsi="Book Antiqua"/>
        </w:rPr>
        <w:t xml:space="preserve"> on 25 February 2010.</w:t>
      </w:r>
    </w:p>
    <w:p w:rsidR="005123C8" w:rsidRDefault="00C93074" w:rsidP="00A67A78">
      <w:pPr>
        <w:numPr>
          <w:ilvl w:val="1"/>
          <w:numId w:val="2"/>
        </w:numPr>
        <w:spacing w:before="12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 dispute thereafter between the appellant and the parents of the late </w:t>
      </w:r>
      <w:r w:rsidR="00A67A78">
        <w:rPr>
          <w:rFonts w:ascii="Book Antiqua" w:hAnsi="Book Antiqua"/>
        </w:rPr>
        <w:t>[MS]</w:t>
      </w:r>
      <w:r>
        <w:rPr>
          <w:rFonts w:ascii="Book Antiqua" w:hAnsi="Book Antiqua"/>
        </w:rPr>
        <w:t xml:space="preserve"> over custody led to an outcome in favour</w:t>
      </w:r>
      <w:r w:rsidR="00506355">
        <w:rPr>
          <w:rFonts w:ascii="Book Antiqua" w:hAnsi="Book Antiqua"/>
        </w:rPr>
        <w:t xml:space="preserve"> </w:t>
      </w:r>
      <w:r w:rsidR="00EE0431">
        <w:rPr>
          <w:rFonts w:ascii="Book Antiqua" w:hAnsi="Book Antiqua"/>
        </w:rPr>
        <w:t xml:space="preserve">of the appellant </w:t>
      </w:r>
      <w:r w:rsidR="00506355">
        <w:rPr>
          <w:rFonts w:ascii="Book Antiqua" w:hAnsi="Book Antiqua"/>
        </w:rPr>
        <w:t>by around July 2010.</w:t>
      </w:r>
      <w:r w:rsidR="00AE60DC">
        <w:rPr>
          <w:rFonts w:ascii="Book Antiqua" w:hAnsi="Book Antiqua"/>
        </w:rPr>
        <w:t xml:space="preserve"> </w:t>
      </w:r>
    </w:p>
    <w:p w:rsidR="00197FE7" w:rsidRDefault="00AE60DC" w:rsidP="00A67A78">
      <w:pPr>
        <w:numPr>
          <w:ilvl w:val="1"/>
          <w:numId w:val="2"/>
        </w:numPr>
        <w:spacing w:before="12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appellant </w:t>
      </w:r>
      <w:r w:rsidR="00881B55">
        <w:rPr>
          <w:rFonts w:ascii="Book Antiqua" w:hAnsi="Book Antiqua"/>
        </w:rPr>
        <w:t>has</w:t>
      </w:r>
      <w:r>
        <w:rPr>
          <w:rFonts w:ascii="Book Antiqua" w:hAnsi="Book Antiqua"/>
        </w:rPr>
        <w:t xml:space="preserve"> been the </w:t>
      </w:r>
      <w:r w:rsidR="00B57408">
        <w:rPr>
          <w:rFonts w:ascii="Book Antiqua" w:hAnsi="Book Antiqua"/>
        </w:rPr>
        <w:t>only</w:t>
      </w:r>
      <w:r>
        <w:rPr>
          <w:rFonts w:ascii="Book Antiqua" w:hAnsi="Book Antiqua"/>
        </w:rPr>
        <w:t xml:space="preserve"> primary carer of </w:t>
      </w:r>
      <w:r w:rsidR="00A67A78">
        <w:rPr>
          <w:rFonts w:ascii="Book Antiqua" w:hAnsi="Book Antiqua"/>
        </w:rPr>
        <w:t>[AI]</w:t>
      </w:r>
      <w:r>
        <w:rPr>
          <w:rFonts w:ascii="Book Antiqua" w:hAnsi="Book Antiqua"/>
        </w:rPr>
        <w:t xml:space="preserve"> </w:t>
      </w:r>
      <w:r w:rsidR="00B57408">
        <w:rPr>
          <w:rFonts w:ascii="Book Antiqua" w:hAnsi="Book Antiqua"/>
        </w:rPr>
        <w:t xml:space="preserve">since </w:t>
      </w:r>
      <w:r w:rsidR="00881B55">
        <w:rPr>
          <w:rFonts w:ascii="Book Antiqua" w:hAnsi="Book Antiqua"/>
        </w:rPr>
        <w:t>at least July 2010.</w:t>
      </w:r>
    </w:p>
    <w:p w:rsidR="00CE37A8" w:rsidRDefault="00C97D21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>One</w:t>
      </w:r>
      <w:r w:rsidR="00197FE7">
        <w:rPr>
          <w:rFonts w:ascii="Book Antiqua" w:hAnsi="Book Antiqua"/>
        </w:rPr>
        <w:t xml:space="preserve"> reason given in the </w:t>
      </w:r>
      <w:r w:rsidR="005B2977">
        <w:rPr>
          <w:rFonts w:ascii="Book Antiqua" w:hAnsi="Book Antiqua"/>
        </w:rPr>
        <w:t>respondent’s</w:t>
      </w:r>
      <w:r w:rsidR="00197FE7">
        <w:rPr>
          <w:rFonts w:ascii="Book Antiqua" w:hAnsi="Book Antiqua"/>
        </w:rPr>
        <w:t xml:space="preserve"> decision is that </w:t>
      </w:r>
      <w:r w:rsidR="005B2977">
        <w:rPr>
          <w:rFonts w:ascii="Book Antiqua" w:hAnsi="Book Antiqua"/>
        </w:rPr>
        <w:t xml:space="preserve">the appellant had not shown in terms of </w:t>
      </w:r>
      <w:r w:rsidR="00BD4EBE">
        <w:rPr>
          <w:rFonts w:ascii="Book Antiqua" w:hAnsi="Book Antiqua"/>
        </w:rPr>
        <w:t>the Immigration (</w:t>
      </w:r>
      <w:r w:rsidR="00411FC6">
        <w:rPr>
          <w:rFonts w:ascii="Book Antiqua" w:hAnsi="Book Antiqua"/>
        </w:rPr>
        <w:t xml:space="preserve">EEA) Regulations </w:t>
      </w:r>
      <w:r w:rsidR="003C0974">
        <w:rPr>
          <w:rFonts w:ascii="Book Antiqua" w:hAnsi="Book Antiqua"/>
        </w:rPr>
        <w:t xml:space="preserve">2006 </w:t>
      </w:r>
      <w:r w:rsidR="00411FC6">
        <w:rPr>
          <w:rFonts w:ascii="Book Antiqua" w:hAnsi="Book Antiqua"/>
        </w:rPr>
        <w:t xml:space="preserve">that </w:t>
      </w:r>
      <w:r w:rsidR="00A67A78">
        <w:rPr>
          <w:rFonts w:ascii="Book Antiqua" w:hAnsi="Book Antiqua"/>
        </w:rPr>
        <w:t>[MS]</w:t>
      </w:r>
      <w:r w:rsidR="00411FC6">
        <w:rPr>
          <w:rFonts w:ascii="Book Antiqua" w:hAnsi="Book Antiqua"/>
        </w:rPr>
        <w:t xml:space="preserve"> was a “qualified person”</w:t>
      </w:r>
      <w:r w:rsidR="004D08B6">
        <w:rPr>
          <w:rFonts w:ascii="Book Antiqua" w:hAnsi="Book Antiqua"/>
        </w:rPr>
        <w:t xml:space="preserve"> in the UK prior to her death.</w:t>
      </w:r>
      <w:r w:rsidR="003C0974">
        <w:rPr>
          <w:rFonts w:ascii="Book Antiqua" w:hAnsi="Book Antiqua"/>
        </w:rPr>
        <w:t xml:space="preserve">  Judge Handley</w:t>
      </w:r>
      <w:r w:rsidR="00CE37A8">
        <w:rPr>
          <w:rFonts w:ascii="Book Antiqua" w:hAnsi="Book Antiqua"/>
        </w:rPr>
        <w:t xml:space="preserve"> found at paragraph 15 that she was, which the respondent has not sought to dispute, so that issue is settled.</w:t>
      </w:r>
    </w:p>
    <w:p w:rsidR="00C97D21" w:rsidRDefault="00C97D21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Another reason in the decision is that the </w:t>
      </w:r>
      <w:r w:rsidR="00B15472">
        <w:rPr>
          <w:rFonts w:ascii="Book Antiqua" w:hAnsi="Book Antiqua"/>
        </w:rPr>
        <w:t xml:space="preserve">appellant had not shown legal custody of </w:t>
      </w:r>
      <w:r w:rsidR="00A67A78">
        <w:rPr>
          <w:rFonts w:ascii="Book Antiqua" w:hAnsi="Book Antiqua"/>
        </w:rPr>
        <w:t>[AI]</w:t>
      </w:r>
      <w:r w:rsidR="006A432D">
        <w:rPr>
          <w:rFonts w:ascii="Book Antiqua" w:hAnsi="Book Antiqua"/>
        </w:rPr>
        <w:t>.  That was a poorly taken point</w:t>
      </w:r>
      <w:r w:rsidR="00186B53">
        <w:rPr>
          <w:rFonts w:ascii="Book Antiqua" w:hAnsi="Book Antiqua"/>
        </w:rPr>
        <w:t>, as custody was indisputable</w:t>
      </w:r>
      <w:r w:rsidR="00D17E48">
        <w:rPr>
          <w:rFonts w:ascii="Book Antiqua" w:hAnsi="Book Antiqua"/>
        </w:rPr>
        <w:t xml:space="preserve"> for purposes of the application</w:t>
      </w:r>
      <w:r w:rsidR="006A432D">
        <w:rPr>
          <w:rFonts w:ascii="Book Antiqua" w:hAnsi="Book Antiqua"/>
        </w:rPr>
        <w:t>.  Judge H</w:t>
      </w:r>
      <w:r w:rsidR="00E86447">
        <w:rPr>
          <w:rFonts w:ascii="Book Antiqua" w:hAnsi="Book Antiqua"/>
        </w:rPr>
        <w:t>an</w:t>
      </w:r>
      <w:r w:rsidR="006A432D">
        <w:rPr>
          <w:rFonts w:ascii="Book Antiqua" w:hAnsi="Book Antiqua"/>
        </w:rPr>
        <w:t xml:space="preserve">dley at paragraph </w:t>
      </w:r>
      <w:r w:rsidR="00E86447">
        <w:rPr>
          <w:rFonts w:ascii="Book Antiqua" w:hAnsi="Book Antiqua"/>
        </w:rPr>
        <w:t xml:space="preserve">16 decided it in the appellant’s favour, and the respondent </w:t>
      </w:r>
      <w:r w:rsidR="00D17E48">
        <w:rPr>
          <w:rFonts w:ascii="Book Antiqua" w:hAnsi="Book Antiqua"/>
        </w:rPr>
        <w:t>no longer</w:t>
      </w:r>
      <w:r w:rsidR="00E86447">
        <w:rPr>
          <w:rFonts w:ascii="Book Antiqua" w:hAnsi="Book Antiqua"/>
        </w:rPr>
        <w:t xml:space="preserve"> dispute</w:t>
      </w:r>
      <w:r w:rsidR="00D17E48">
        <w:rPr>
          <w:rFonts w:ascii="Book Antiqua" w:hAnsi="Book Antiqua"/>
        </w:rPr>
        <w:t>s this</w:t>
      </w:r>
      <w:r w:rsidR="009338B6">
        <w:rPr>
          <w:rFonts w:ascii="Book Antiqua" w:hAnsi="Book Antiqua"/>
        </w:rPr>
        <w:t xml:space="preserve"> issue either</w:t>
      </w:r>
      <w:r w:rsidR="00E86447">
        <w:rPr>
          <w:rFonts w:ascii="Book Antiqua" w:hAnsi="Book Antiqua"/>
        </w:rPr>
        <w:t>.</w:t>
      </w:r>
      <w:r w:rsidR="006A432D">
        <w:rPr>
          <w:rFonts w:ascii="Book Antiqua" w:hAnsi="Book Antiqua"/>
        </w:rPr>
        <w:t xml:space="preserve">  </w:t>
      </w:r>
      <w:r w:rsidR="00B15472">
        <w:rPr>
          <w:rFonts w:ascii="Book Antiqua" w:hAnsi="Book Antiqua"/>
        </w:rPr>
        <w:t xml:space="preserve"> </w:t>
      </w:r>
    </w:p>
    <w:p w:rsidR="000B479E" w:rsidRDefault="002B4C1D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</w:t>
      </w:r>
      <w:r w:rsidR="00374511">
        <w:rPr>
          <w:rFonts w:ascii="Book Antiqua" w:hAnsi="Book Antiqua"/>
        </w:rPr>
        <w:t>respo</w:t>
      </w:r>
      <w:r w:rsidR="002609E7">
        <w:rPr>
          <w:rFonts w:ascii="Book Antiqua" w:hAnsi="Book Antiqua"/>
        </w:rPr>
        <w:t>n</w:t>
      </w:r>
      <w:r w:rsidR="00374511">
        <w:rPr>
          <w:rFonts w:ascii="Book Antiqua" w:hAnsi="Book Antiqua"/>
        </w:rPr>
        <w:t>dent’s</w:t>
      </w:r>
      <w:r w:rsidR="002609E7">
        <w:rPr>
          <w:rFonts w:ascii="Book Antiqua" w:hAnsi="Book Antiqua"/>
        </w:rPr>
        <w:t xml:space="preserve"> </w:t>
      </w:r>
      <w:r w:rsidR="0096391D">
        <w:rPr>
          <w:rFonts w:ascii="Book Antiqua" w:hAnsi="Book Antiqua"/>
        </w:rPr>
        <w:t>third</w:t>
      </w:r>
      <w:r w:rsidR="002609E7">
        <w:rPr>
          <w:rFonts w:ascii="Book Antiqua" w:hAnsi="Book Antiqua"/>
        </w:rPr>
        <w:t xml:space="preserve"> reason under the regulations was</w:t>
      </w:r>
      <w:r w:rsidR="00374511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that </w:t>
      </w:r>
      <w:r w:rsidR="00A67A78">
        <w:rPr>
          <w:rFonts w:ascii="Book Antiqua" w:hAnsi="Book Antiqua"/>
        </w:rPr>
        <w:t>[AI]</w:t>
      </w:r>
      <w:r>
        <w:rPr>
          <w:rFonts w:ascii="Book Antiqua" w:hAnsi="Book Antiqua"/>
        </w:rPr>
        <w:t xml:space="preserve"> </w:t>
      </w:r>
      <w:r w:rsidR="0070737F">
        <w:rPr>
          <w:rFonts w:ascii="Book Antiqua" w:hAnsi="Book Antiqua"/>
        </w:rPr>
        <w:t xml:space="preserve">(then </w:t>
      </w:r>
      <w:r w:rsidR="005769E7">
        <w:rPr>
          <w:rFonts w:ascii="Book Antiqua" w:hAnsi="Book Antiqua"/>
        </w:rPr>
        <w:t>n</w:t>
      </w:r>
      <w:r w:rsidR="0070737F">
        <w:rPr>
          <w:rFonts w:ascii="Book Antiqua" w:hAnsi="Book Antiqua"/>
        </w:rPr>
        <w:t xml:space="preserve">ot 4 years old) </w:t>
      </w:r>
      <w:r>
        <w:rPr>
          <w:rFonts w:ascii="Book Antiqua" w:hAnsi="Book Antiqua"/>
        </w:rPr>
        <w:t xml:space="preserve">was not </w:t>
      </w:r>
      <w:r w:rsidR="00F553C7">
        <w:rPr>
          <w:rFonts w:ascii="Book Antiqua" w:hAnsi="Book Antiqua"/>
        </w:rPr>
        <w:t xml:space="preserve">in an educational course in the UK immediately before </w:t>
      </w:r>
      <w:r w:rsidR="00A67A78">
        <w:rPr>
          <w:rFonts w:ascii="Book Antiqua" w:hAnsi="Book Antiqua"/>
        </w:rPr>
        <w:t>[MS]</w:t>
      </w:r>
      <w:r w:rsidR="00F553C7">
        <w:rPr>
          <w:rFonts w:ascii="Book Antiqua" w:hAnsi="Book Antiqua"/>
        </w:rPr>
        <w:t xml:space="preserve"> die</w:t>
      </w:r>
      <w:r w:rsidR="00E46355">
        <w:rPr>
          <w:rFonts w:ascii="Book Antiqua" w:hAnsi="Book Antiqua"/>
        </w:rPr>
        <w:t>d</w:t>
      </w:r>
      <w:r w:rsidR="00995626">
        <w:rPr>
          <w:rFonts w:ascii="Book Antiqua" w:hAnsi="Book Antiqua"/>
        </w:rPr>
        <w:t>, as required by regulation 10 (3) (a)</w:t>
      </w:r>
      <w:r w:rsidR="002F1265">
        <w:rPr>
          <w:rFonts w:ascii="Book Antiqua" w:hAnsi="Book Antiqua"/>
        </w:rPr>
        <w:t>.  There is no disp</w:t>
      </w:r>
      <w:r w:rsidR="0070737F">
        <w:rPr>
          <w:rFonts w:ascii="Book Antiqua" w:hAnsi="Book Antiqua"/>
        </w:rPr>
        <w:t>u</w:t>
      </w:r>
      <w:r w:rsidR="002F1265">
        <w:rPr>
          <w:rFonts w:ascii="Book Antiqua" w:hAnsi="Book Antiqua"/>
        </w:rPr>
        <w:t xml:space="preserve">te that such </w:t>
      </w:r>
      <w:r w:rsidR="009338B6">
        <w:rPr>
          <w:rFonts w:ascii="Book Antiqua" w:hAnsi="Book Antiqua"/>
        </w:rPr>
        <w:t>was the fact</w:t>
      </w:r>
      <w:r w:rsidR="000B479E">
        <w:rPr>
          <w:rFonts w:ascii="Book Antiqua" w:hAnsi="Book Antiqua"/>
        </w:rPr>
        <w:t>.</w:t>
      </w:r>
    </w:p>
    <w:p w:rsidR="0031719B" w:rsidRDefault="003332F2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theme of the submissions by </w:t>
      </w:r>
      <w:r w:rsidR="00166BC2">
        <w:rPr>
          <w:rFonts w:ascii="Book Antiqua" w:hAnsi="Book Antiqua"/>
        </w:rPr>
        <w:t xml:space="preserve">Mr Forrest </w:t>
      </w:r>
      <w:r>
        <w:rPr>
          <w:rFonts w:ascii="Book Antiqua" w:hAnsi="Book Antiqua"/>
        </w:rPr>
        <w:t>wa</w:t>
      </w:r>
      <w:r w:rsidR="00166BC2">
        <w:rPr>
          <w:rFonts w:ascii="Book Antiqua" w:hAnsi="Book Antiqua"/>
        </w:rPr>
        <w:t xml:space="preserve">s that the decision should be reversed, not on the terms of the regulations, but on “broad </w:t>
      </w:r>
      <w:r w:rsidR="00166BC2" w:rsidRPr="00E80736">
        <w:rPr>
          <w:rFonts w:ascii="Book Antiqua" w:hAnsi="Book Antiqua"/>
          <w:i/>
        </w:rPr>
        <w:t>Zambrano</w:t>
      </w:r>
      <w:r w:rsidR="00166BC2">
        <w:rPr>
          <w:rFonts w:ascii="Book Antiqua" w:hAnsi="Book Antiqua"/>
        </w:rPr>
        <w:t xml:space="preserve"> principles”</w:t>
      </w:r>
      <w:r w:rsidR="00C468A8">
        <w:rPr>
          <w:rFonts w:ascii="Book Antiqua" w:hAnsi="Book Antiqua"/>
        </w:rPr>
        <w:t xml:space="preserve">, </w:t>
      </w:r>
      <w:r w:rsidR="00077E85">
        <w:rPr>
          <w:rFonts w:ascii="Book Antiqua" w:hAnsi="Book Antiqua"/>
        </w:rPr>
        <w:t xml:space="preserve">its </w:t>
      </w:r>
      <w:r w:rsidR="00CC026A">
        <w:rPr>
          <w:rFonts w:ascii="Book Antiqua" w:hAnsi="Book Antiqua"/>
        </w:rPr>
        <w:t>circumstances being</w:t>
      </w:r>
      <w:r w:rsidR="00077E85">
        <w:rPr>
          <w:rFonts w:ascii="Book Antiqua" w:hAnsi="Book Antiqua"/>
        </w:rPr>
        <w:t xml:space="preserve"> </w:t>
      </w:r>
      <w:r w:rsidR="00272E2E">
        <w:rPr>
          <w:rFonts w:ascii="Book Antiqua" w:hAnsi="Book Antiqua"/>
        </w:rPr>
        <w:t>the clearest possible example of such a case</w:t>
      </w:r>
      <w:r w:rsidR="00166BC2">
        <w:rPr>
          <w:rFonts w:ascii="Book Antiqua" w:hAnsi="Book Antiqua"/>
        </w:rPr>
        <w:t>.</w:t>
      </w:r>
    </w:p>
    <w:p w:rsidR="00455BAD" w:rsidRDefault="00E93C7A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 w:rsidRPr="00642970">
        <w:rPr>
          <w:rFonts w:ascii="Book Antiqua" w:hAnsi="Book Antiqua"/>
        </w:rPr>
        <w:lastRenderedPageBreak/>
        <w:t>Mr Govan</w:t>
      </w:r>
      <w:r w:rsidR="00F31A7F">
        <w:rPr>
          <w:rFonts w:ascii="Book Antiqua" w:hAnsi="Book Antiqua"/>
        </w:rPr>
        <w:t>’s</w:t>
      </w:r>
      <w:r w:rsidRPr="00642970">
        <w:rPr>
          <w:rFonts w:ascii="Book Antiqua" w:hAnsi="Book Antiqua"/>
        </w:rPr>
        <w:t xml:space="preserve"> </w:t>
      </w:r>
      <w:r w:rsidR="00726F13" w:rsidRPr="00642970">
        <w:rPr>
          <w:rFonts w:ascii="Book Antiqua" w:hAnsi="Book Antiqua"/>
        </w:rPr>
        <w:t xml:space="preserve">submissions </w:t>
      </w:r>
      <w:r w:rsidR="00F31A7F">
        <w:rPr>
          <w:rFonts w:ascii="Book Antiqua" w:hAnsi="Book Antiqua"/>
        </w:rPr>
        <w:t xml:space="preserve">were </w:t>
      </w:r>
      <w:r w:rsidR="00077E85">
        <w:rPr>
          <w:rFonts w:ascii="Book Antiqua" w:hAnsi="Book Antiqua"/>
        </w:rPr>
        <w:t>these</w:t>
      </w:r>
      <w:r w:rsidR="00726F13" w:rsidRPr="00642970">
        <w:rPr>
          <w:rFonts w:ascii="Book Antiqua" w:hAnsi="Book Antiqua"/>
        </w:rPr>
        <w:t xml:space="preserve">.  </w:t>
      </w:r>
      <w:r w:rsidR="00642970" w:rsidRPr="00642970">
        <w:rPr>
          <w:rFonts w:ascii="Book Antiqua" w:hAnsi="Book Antiqua"/>
        </w:rPr>
        <w:t xml:space="preserve">(i) </w:t>
      </w:r>
      <w:r w:rsidR="003332F2" w:rsidRPr="00642970">
        <w:rPr>
          <w:rFonts w:ascii="Book Antiqua" w:hAnsi="Book Antiqua"/>
        </w:rPr>
        <w:t>The</w:t>
      </w:r>
      <w:r w:rsidR="00B042CE" w:rsidRPr="00642970">
        <w:rPr>
          <w:rFonts w:ascii="Book Antiqua" w:hAnsi="Book Antiqua"/>
        </w:rPr>
        <w:t xml:space="preserve"> </w:t>
      </w:r>
      <w:r w:rsidR="00642970" w:rsidRPr="00642970">
        <w:rPr>
          <w:rFonts w:ascii="Book Antiqua" w:hAnsi="Book Antiqua"/>
        </w:rPr>
        <w:t xml:space="preserve">appellant </w:t>
      </w:r>
      <w:r w:rsidR="00B042CE" w:rsidRPr="00642970">
        <w:rPr>
          <w:rFonts w:ascii="Book Antiqua" w:hAnsi="Book Antiqua"/>
        </w:rPr>
        <w:t xml:space="preserve">had not argued </w:t>
      </w:r>
      <w:r w:rsidR="003332F2" w:rsidRPr="00642970">
        <w:rPr>
          <w:rFonts w:ascii="Book Antiqua" w:hAnsi="Book Antiqua"/>
        </w:rPr>
        <w:t>in the FtT a</w:t>
      </w:r>
      <w:r w:rsidR="00B042CE" w:rsidRPr="00642970">
        <w:rPr>
          <w:rFonts w:ascii="Book Antiqua" w:hAnsi="Book Antiqua"/>
        </w:rPr>
        <w:t xml:space="preserve"> case based on </w:t>
      </w:r>
      <w:r w:rsidR="00B042CE" w:rsidRPr="00642970">
        <w:rPr>
          <w:rFonts w:ascii="Book Antiqua" w:hAnsi="Book Antiqua"/>
          <w:i/>
        </w:rPr>
        <w:t>Zambrano</w:t>
      </w:r>
      <w:r w:rsidR="00EE6B3A" w:rsidRPr="00642970">
        <w:rPr>
          <w:rFonts w:ascii="Book Antiqua" w:hAnsi="Book Antiqua"/>
        </w:rPr>
        <w:t>, going beyond the strict terms of the regulations.</w:t>
      </w:r>
      <w:r w:rsidR="00642970" w:rsidRPr="00642970">
        <w:rPr>
          <w:rFonts w:ascii="Book Antiqua" w:hAnsi="Book Antiqua"/>
        </w:rPr>
        <w:t xml:space="preserve"> (ii)  The</w:t>
      </w:r>
      <w:r w:rsidR="001D227F" w:rsidRPr="00642970">
        <w:rPr>
          <w:rFonts w:ascii="Book Antiqua" w:hAnsi="Book Antiqua"/>
        </w:rPr>
        <w:t xml:space="preserve"> regulations </w:t>
      </w:r>
      <w:r w:rsidR="00386CD0" w:rsidRPr="00642970">
        <w:rPr>
          <w:rFonts w:ascii="Book Antiqua" w:hAnsi="Book Antiqua"/>
        </w:rPr>
        <w:t>applied as</w:t>
      </w:r>
      <w:r w:rsidR="001D227F" w:rsidRPr="00642970">
        <w:rPr>
          <w:rFonts w:ascii="Book Antiqua" w:hAnsi="Book Antiqua"/>
        </w:rPr>
        <w:t xml:space="preserve"> amended following </w:t>
      </w:r>
      <w:r w:rsidR="001D227F" w:rsidRPr="00642970">
        <w:rPr>
          <w:rFonts w:ascii="Book Antiqua" w:hAnsi="Book Antiqua"/>
          <w:i/>
        </w:rPr>
        <w:t>Zambrano</w:t>
      </w:r>
      <w:r w:rsidR="00386CD0" w:rsidRPr="00642970">
        <w:rPr>
          <w:rFonts w:ascii="Book Antiqua" w:hAnsi="Book Antiqua"/>
          <w:i/>
        </w:rPr>
        <w:t>,</w:t>
      </w:r>
      <w:r w:rsidR="00386CD0" w:rsidRPr="00642970">
        <w:rPr>
          <w:rFonts w:ascii="Book Antiqua" w:hAnsi="Book Antiqua"/>
        </w:rPr>
        <w:t xml:space="preserve"> </w:t>
      </w:r>
      <w:r w:rsidR="00A635EE" w:rsidRPr="00642970">
        <w:rPr>
          <w:rFonts w:ascii="Book Antiqua" w:hAnsi="Book Antiqua"/>
        </w:rPr>
        <w:t>to comply with that case</w:t>
      </w:r>
      <w:r w:rsidR="00B042CE" w:rsidRPr="00642970">
        <w:rPr>
          <w:rFonts w:ascii="Book Antiqua" w:hAnsi="Book Antiqua"/>
        </w:rPr>
        <w:t>, and so correctly governed the outcome.</w:t>
      </w:r>
      <w:r w:rsidR="001F0CA2">
        <w:rPr>
          <w:rFonts w:ascii="Book Antiqua" w:hAnsi="Book Antiqua"/>
        </w:rPr>
        <w:t xml:space="preserve">  (iii)  Even if the FtT had erred</w:t>
      </w:r>
      <w:r w:rsidR="003B1C58">
        <w:rPr>
          <w:rFonts w:ascii="Book Antiqua" w:hAnsi="Book Antiqua"/>
        </w:rPr>
        <w:t xml:space="preserve">, so as to require the decision to be set aside, the appellant </w:t>
      </w:r>
      <w:r w:rsidR="00D034F9">
        <w:rPr>
          <w:rFonts w:ascii="Book Antiqua" w:hAnsi="Book Antiqua"/>
        </w:rPr>
        <w:t>had</w:t>
      </w:r>
      <w:r w:rsidR="003B1C58">
        <w:rPr>
          <w:rFonts w:ascii="Book Antiqua" w:hAnsi="Book Antiqua"/>
        </w:rPr>
        <w:t xml:space="preserve"> not shown that </w:t>
      </w:r>
      <w:r w:rsidR="00794D84">
        <w:rPr>
          <w:rFonts w:ascii="Book Antiqua" w:hAnsi="Book Antiqua"/>
        </w:rPr>
        <w:t>he and his son could not reside in Norway, the country of his son’s nationality</w:t>
      </w:r>
      <w:r w:rsidR="00533123">
        <w:rPr>
          <w:rFonts w:ascii="Book Antiqua" w:hAnsi="Book Antiqua"/>
        </w:rPr>
        <w:t xml:space="preserve">.  Without excluding that possibility, </w:t>
      </w:r>
      <w:r w:rsidR="00A67A78">
        <w:rPr>
          <w:rFonts w:ascii="Book Antiqua" w:hAnsi="Book Antiqua"/>
        </w:rPr>
        <w:t>[AI]</w:t>
      </w:r>
      <w:r w:rsidR="003F68E1">
        <w:rPr>
          <w:rFonts w:ascii="Book Antiqua" w:hAnsi="Book Antiqua"/>
        </w:rPr>
        <w:t xml:space="preserve"> might have to leave the UK, but he did not have to leave the EEA, which was crucial.</w:t>
      </w:r>
      <w:r w:rsidR="00533123">
        <w:rPr>
          <w:rFonts w:ascii="Book Antiqua" w:hAnsi="Book Antiqua"/>
        </w:rPr>
        <w:t xml:space="preserve"> </w:t>
      </w:r>
      <w:r w:rsidR="00B1507E">
        <w:rPr>
          <w:rFonts w:ascii="Book Antiqua" w:hAnsi="Book Antiqua"/>
        </w:rPr>
        <w:t xml:space="preserve"> The decision should not be reversed, but should be remitted to the FtT, where </w:t>
      </w:r>
      <w:r w:rsidR="009C0845">
        <w:rPr>
          <w:rFonts w:ascii="Book Antiqua" w:hAnsi="Book Antiqua"/>
        </w:rPr>
        <w:t>that matter</w:t>
      </w:r>
      <w:r w:rsidR="00A06DA3">
        <w:rPr>
          <w:rFonts w:ascii="Book Antiqua" w:hAnsi="Book Antiqua"/>
        </w:rPr>
        <w:t xml:space="preserve"> could be tested by evidence</w:t>
      </w:r>
      <w:r w:rsidR="000D6DA7">
        <w:rPr>
          <w:rFonts w:ascii="Book Antiqua" w:hAnsi="Book Antiqua"/>
        </w:rPr>
        <w:t>.</w:t>
      </w:r>
    </w:p>
    <w:p w:rsidR="00A149D0" w:rsidRPr="00642970" w:rsidRDefault="00455BAD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>I reserved my decision.</w:t>
      </w:r>
      <w:r w:rsidR="003B1C58">
        <w:rPr>
          <w:rFonts w:ascii="Book Antiqua" w:hAnsi="Book Antiqua"/>
        </w:rPr>
        <w:t xml:space="preserve"> </w:t>
      </w:r>
    </w:p>
    <w:p w:rsidR="00BC1EF7" w:rsidRDefault="000606EC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>Three points are incidental</w:t>
      </w:r>
      <w:r w:rsidR="00BC1EF7">
        <w:rPr>
          <w:rFonts w:ascii="Book Antiqua" w:hAnsi="Book Antiqua"/>
        </w:rPr>
        <w:t>,</w:t>
      </w:r>
      <w:r>
        <w:rPr>
          <w:rFonts w:ascii="Book Antiqua" w:hAnsi="Book Antiqua"/>
        </w:rPr>
        <w:t xml:space="preserve"> but</w:t>
      </w:r>
      <w:r w:rsidR="00BC1EF7">
        <w:rPr>
          <w:rFonts w:ascii="Book Antiqua" w:hAnsi="Book Antiqua"/>
        </w:rPr>
        <w:t xml:space="preserve"> I think </w:t>
      </w:r>
      <w:r w:rsidR="00472CE7">
        <w:rPr>
          <w:rFonts w:ascii="Book Antiqua" w:hAnsi="Book Antiqua"/>
        </w:rPr>
        <w:t>worth</w:t>
      </w:r>
      <w:r w:rsidR="00BC1EF7">
        <w:rPr>
          <w:rFonts w:ascii="Book Antiqua" w:hAnsi="Book Antiqua"/>
        </w:rPr>
        <w:t xml:space="preserve"> recording.</w:t>
      </w:r>
    </w:p>
    <w:p w:rsidR="00B43B99" w:rsidRDefault="00015792" w:rsidP="00A67A78">
      <w:pPr>
        <w:numPr>
          <w:ilvl w:val="1"/>
          <w:numId w:val="2"/>
        </w:numPr>
        <w:spacing w:before="120"/>
        <w:jc w:val="both"/>
        <w:rPr>
          <w:rFonts w:ascii="Book Antiqua" w:hAnsi="Book Antiqua"/>
        </w:rPr>
      </w:pPr>
      <w:r>
        <w:rPr>
          <w:rFonts w:ascii="Book Antiqua" w:hAnsi="Book Antiqua"/>
        </w:rPr>
        <w:t>T</w:t>
      </w:r>
      <w:r w:rsidR="00B43B99">
        <w:rPr>
          <w:rFonts w:ascii="Book Antiqua" w:hAnsi="Book Antiqua"/>
        </w:rPr>
        <w:t xml:space="preserve">he appellant </w:t>
      </w:r>
      <w:r>
        <w:rPr>
          <w:rFonts w:ascii="Book Antiqua" w:hAnsi="Book Antiqua"/>
        </w:rPr>
        <w:t xml:space="preserve">says </w:t>
      </w:r>
      <w:r w:rsidR="00B43B99">
        <w:rPr>
          <w:rFonts w:ascii="Book Antiqua" w:hAnsi="Book Antiqua"/>
        </w:rPr>
        <w:t xml:space="preserve">that his son </w:t>
      </w:r>
      <w:r w:rsidR="009C0845">
        <w:rPr>
          <w:rFonts w:ascii="Book Antiqua" w:hAnsi="Book Antiqua"/>
        </w:rPr>
        <w:t>cannot enter Pakistan, not being</w:t>
      </w:r>
      <w:r w:rsidR="00B43B99">
        <w:rPr>
          <w:rFonts w:ascii="Book Antiqua" w:hAnsi="Book Antiqua"/>
        </w:rPr>
        <w:t xml:space="preserve"> </w:t>
      </w:r>
      <w:r w:rsidR="009C0845">
        <w:rPr>
          <w:rFonts w:ascii="Book Antiqua" w:hAnsi="Book Antiqua"/>
        </w:rPr>
        <w:t xml:space="preserve">a </w:t>
      </w:r>
      <w:r w:rsidR="007D5CA8">
        <w:rPr>
          <w:rFonts w:ascii="Book Antiqua" w:hAnsi="Book Antiqua"/>
        </w:rPr>
        <w:t>citizen</w:t>
      </w:r>
      <w:r w:rsidR="00B43B99">
        <w:rPr>
          <w:rFonts w:ascii="Book Antiqua" w:hAnsi="Book Antiqua"/>
        </w:rPr>
        <w:t xml:space="preserve">.  That seems doubtful, as he might have that entitlement through the appellant.  It was mentioned </w:t>
      </w:r>
      <w:r w:rsidR="00151B49">
        <w:rPr>
          <w:rFonts w:ascii="Book Antiqua" w:hAnsi="Book Antiqua"/>
        </w:rPr>
        <w:t>earlier in</w:t>
      </w:r>
      <w:r w:rsidR="00B43B99">
        <w:rPr>
          <w:rFonts w:ascii="Book Antiqua" w:hAnsi="Book Antiqua"/>
        </w:rPr>
        <w:t xml:space="preserve"> the proceedings that </w:t>
      </w:r>
      <w:r w:rsidR="00A67A78">
        <w:rPr>
          <w:rFonts w:ascii="Book Antiqua" w:hAnsi="Book Antiqua"/>
        </w:rPr>
        <w:t>[AI]</w:t>
      </w:r>
      <w:r w:rsidR="00B43B99">
        <w:rPr>
          <w:rFonts w:ascii="Book Antiqua" w:hAnsi="Book Antiqua"/>
        </w:rPr>
        <w:t xml:space="preserve"> was about to obtain UK citizenship</w:t>
      </w:r>
      <w:r w:rsidR="00406C54">
        <w:rPr>
          <w:rFonts w:ascii="Book Antiqua" w:hAnsi="Book Antiqua"/>
        </w:rPr>
        <w:t>.</w:t>
      </w:r>
      <w:r w:rsidR="00151B49">
        <w:rPr>
          <w:rFonts w:ascii="Book Antiqua" w:hAnsi="Book Antiqua"/>
        </w:rPr>
        <w:t xml:space="preserve">  </w:t>
      </w:r>
      <w:r w:rsidR="00406C54">
        <w:rPr>
          <w:rFonts w:ascii="Book Antiqua" w:hAnsi="Book Antiqua"/>
        </w:rPr>
        <w:t>W</w:t>
      </w:r>
      <w:r w:rsidR="00B43B99">
        <w:rPr>
          <w:rFonts w:ascii="Book Antiqua" w:hAnsi="Book Antiqua"/>
        </w:rPr>
        <w:t>hether he has yet done so is unknown.  However, for present purposes only his undoubted Norwegian citizenship is significant.</w:t>
      </w:r>
    </w:p>
    <w:p w:rsidR="000A205D" w:rsidRDefault="000A205D" w:rsidP="00A67A78">
      <w:pPr>
        <w:numPr>
          <w:ilvl w:val="1"/>
          <w:numId w:val="2"/>
        </w:numPr>
        <w:spacing w:before="120"/>
        <w:jc w:val="both"/>
        <w:rPr>
          <w:rFonts w:ascii="Book Antiqua" w:hAnsi="Book Antiqua"/>
        </w:rPr>
      </w:pPr>
      <w:r>
        <w:rPr>
          <w:rFonts w:ascii="Book Antiqua" w:hAnsi="Book Antiqua"/>
        </w:rPr>
        <w:t>There was some d</w:t>
      </w:r>
      <w:r w:rsidR="00A86BD5">
        <w:rPr>
          <w:rFonts w:ascii="Book Antiqua" w:hAnsi="Book Antiqua"/>
        </w:rPr>
        <w:t>ebate on</w:t>
      </w:r>
      <w:r>
        <w:rPr>
          <w:rFonts w:ascii="Book Antiqua" w:hAnsi="Book Antiqua"/>
        </w:rPr>
        <w:t xml:space="preserve"> </w:t>
      </w:r>
      <w:r w:rsidR="00564C9C">
        <w:rPr>
          <w:rFonts w:ascii="Book Antiqua" w:hAnsi="Book Antiqua"/>
        </w:rPr>
        <w:t xml:space="preserve">whether it would be </w:t>
      </w:r>
      <w:r w:rsidR="00220F7F">
        <w:rPr>
          <w:rFonts w:ascii="Book Antiqua" w:hAnsi="Book Antiqua"/>
        </w:rPr>
        <w:t xml:space="preserve">appropriate to require </w:t>
      </w:r>
      <w:r>
        <w:rPr>
          <w:rFonts w:ascii="Book Antiqua" w:hAnsi="Book Antiqua"/>
        </w:rPr>
        <w:t xml:space="preserve">an application </w:t>
      </w:r>
      <w:r w:rsidR="00A86BD5">
        <w:rPr>
          <w:rFonts w:ascii="Book Antiqua" w:hAnsi="Book Antiqua"/>
        </w:rPr>
        <w:t xml:space="preserve">to the respondent </w:t>
      </w:r>
      <w:r>
        <w:rPr>
          <w:rFonts w:ascii="Book Antiqua" w:hAnsi="Book Antiqua"/>
        </w:rPr>
        <w:t xml:space="preserve">under article 8 of the ECHR, as </w:t>
      </w:r>
      <w:r w:rsidR="00CA722B">
        <w:rPr>
          <w:rFonts w:ascii="Book Antiqua" w:hAnsi="Book Antiqua"/>
        </w:rPr>
        <w:t>held</w:t>
      </w:r>
      <w:r>
        <w:rPr>
          <w:rFonts w:ascii="Book Antiqua" w:hAnsi="Book Antiqua"/>
        </w:rPr>
        <w:t xml:space="preserve"> in the respondent’s decision and by the judge.  Mr Forrest submitted the </w:t>
      </w:r>
      <w:r w:rsidR="00D1486A">
        <w:rPr>
          <w:rFonts w:ascii="Book Antiqua" w:hAnsi="Book Antiqua"/>
        </w:rPr>
        <w:t>case</w:t>
      </w:r>
      <w:r>
        <w:rPr>
          <w:rFonts w:ascii="Book Antiqua" w:hAnsi="Book Antiqua"/>
        </w:rPr>
        <w:t xml:space="preserve"> had gone on so long that it should have a final resolution </w:t>
      </w:r>
      <w:r w:rsidR="00A86BD5">
        <w:rPr>
          <w:rFonts w:ascii="Book Antiqua" w:hAnsi="Book Antiqua"/>
        </w:rPr>
        <w:t xml:space="preserve">in the tribunal </w:t>
      </w:r>
      <w:r>
        <w:rPr>
          <w:rFonts w:ascii="Book Antiqua" w:hAnsi="Book Antiqua"/>
        </w:rPr>
        <w:t xml:space="preserve">without that requirement.  </w:t>
      </w:r>
      <w:r w:rsidR="00220F7F">
        <w:rPr>
          <w:rFonts w:ascii="Book Antiqua" w:hAnsi="Book Antiqua"/>
        </w:rPr>
        <w:t>However, if</w:t>
      </w:r>
      <w:r w:rsidR="00CA722B">
        <w:rPr>
          <w:rFonts w:ascii="Book Antiqua" w:hAnsi="Book Antiqua"/>
        </w:rPr>
        <w:t xml:space="preserve"> the matter came to article 8 issues</w:t>
      </w:r>
      <w:r>
        <w:rPr>
          <w:rFonts w:ascii="Book Antiqua" w:hAnsi="Book Antiqua"/>
        </w:rPr>
        <w:t>, the authorities are clear.  Article 8 would be for separate application, not for these proceedings.</w:t>
      </w:r>
    </w:p>
    <w:p w:rsidR="00D90BC4" w:rsidRDefault="00D90BC4" w:rsidP="00A67A78">
      <w:pPr>
        <w:numPr>
          <w:ilvl w:val="1"/>
          <w:numId w:val="2"/>
        </w:numPr>
        <w:spacing w:before="120"/>
        <w:jc w:val="both"/>
        <w:rPr>
          <w:rFonts w:ascii="Book Antiqua" w:hAnsi="Book Antiqua"/>
        </w:rPr>
      </w:pPr>
      <w:r>
        <w:rPr>
          <w:rFonts w:ascii="Book Antiqua" w:hAnsi="Book Antiqua"/>
        </w:rPr>
        <w:t>Norway is in the EEA (and in EFTA), but not in the EU.  Neither party gave this any significance, and the regulations refer to the EEA, so I take it that the same principles apply as if the appellant were a citizen of an EU member state.</w:t>
      </w:r>
    </w:p>
    <w:p w:rsidR="00415432" w:rsidRDefault="000E5C56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>O</w:t>
      </w:r>
      <w:r w:rsidR="00D944B5">
        <w:rPr>
          <w:rFonts w:ascii="Book Antiqua" w:hAnsi="Book Antiqua"/>
        </w:rPr>
        <w:t>n</w:t>
      </w:r>
      <w:r>
        <w:rPr>
          <w:rFonts w:ascii="Book Antiqua" w:hAnsi="Book Antiqua"/>
        </w:rPr>
        <w:t xml:space="preserve"> the first submission by Mr Govan, </w:t>
      </w:r>
      <w:r w:rsidR="005145F2">
        <w:rPr>
          <w:rFonts w:ascii="Book Antiqua" w:hAnsi="Book Antiqua"/>
        </w:rPr>
        <w:t xml:space="preserve">the covering letter makes it clear that the </w:t>
      </w:r>
      <w:r w:rsidR="00C10797">
        <w:rPr>
          <w:rFonts w:ascii="Book Antiqua" w:hAnsi="Book Antiqua"/>
        </w:rPr>
        <w:t>a</w:t>
      </w:r>
      <w:r w:rsidR="003332F2">
        <w:rPr>
          <w:rFonts w:ascii="Book Antiqua" w:hAnsi="Book Antiqua"/>
        </w:rPr>
        <w:t>pplication w</w:t>
      </w:r>
      <w:r w:rsidR="005145F2">
        <w:rPr>
          <w:rFonts w:ascii="Book Antiqua" w:hAnsi="Book Antiqua"/>
        </w:rPr>
        <w:t>as</w:t>
      </w:r>
      <w:r w:rsidR="003332F2">
        <w:rPr>
          <w:rFonts w:ascii="Book Antiqua" w:hAnsi="Book Antiqua"/>
        </w:rPr>
        <w:t xml:space="preserve"> </w:t>
      </w:r>
      <w:r w:rsidR="00BF5437">
        <w:rPr>
          <w:rFonts w:ascii="Book Antiqua" w:hAnsi="Book Antiqua"/>
        </w:rPr>
        <w:t>ba</w:t>
      </w:r>
      <w:r w:rsidR="00FE3609">
        <w:rPr>
          <w:rFonts w:ascii="Book Antiqua" w:hAnsi="Book Antiqua"/>
        </w:rPr>
        <w:t xml:space="preserve">sed </w:t>
      </w:r>
      <w:r w:rsidR="00CE2542">
        <w:rPr>
          <w:rFonts w:ascii="Book Antiqua" w:hAnsi="Book Antiqua"/>
        </w:rPr>
        <w:t>not</w:t>
      </w:r>
      <w:r w:rsidR="00FE3609">
        <w:rPr>
          <w:rFonts w:ascii="Book Antiqua" w:hAnsi="Book Antiqua"/>
        </w:rPr>
        <w:t xml:space="preserve"> on the </w:t>
      </w:r>
      <w:r w:rsidR="00CE2542">
        <w:rPr>
          <w:rFonts w:ascii="Book Antiqua" w:hAnsi="Book Antiqua"/>
        </w:rPr>
        <w:t xml:space="preserve">strict </w:t>
      </w:r>
      <w:r w:rsidR="00FE3609">
        <w:rPr>
          <w:rFonts w:ascii="Book Antiqua" w:hAnsi="Book Antiqua"/>
        </w:rPr>
        <w:t xml:space="preserve">terms of the regulations, but on applying </w:t>
      </w:r>
      <w:r w:rsidR="00FE3609" w:rsidRPr="00CE2542">
        <w:rPr>
          <w:rFonts w:ascii="Book Antiqua" w:hAnsi="Book Antiqua"/>
          <w:i/>
        </w:rPr>
        <w:t>Zambrano</w:t>
      </w:r>
      <w:r w:rsidR="00FE3609">
        <w:rPr>
          <w:rFonts w:ascii="Book Antiqua" w:hAnsi="Book Antiqua"/>
        </w:rPr>
        <w:t xml:space="preserve"> principles to </w:t>
      </w:r>
      <w:r w:rsidR="00BF5437">
        <w:rPr>
          <w:rFonts w:ascii="Book Antiqua" w:hAnsi="Book Antiqua"/>
        </w:rPr>
        <w:t>the facts</w:t>
      </w:r>
      <w:r w:rsidR="00664545">
        <w:rPr>
          <w:rFonts w:ascii="Book Antiqua" w:hAnsi="Book Antiqua"/>
        </w:rPr>
        <w:t xml:space="preserve"> of the case, which were rather unusual</w:t>
      </w:r>
      <w:r w:rsidR="003332F2">
        <w:rPr>
          <w:rFonts w:ascii="Book Antiqua" w:hAnsi="Book Antiqua"/>
        </w:rPr>
        <w:t>.</w:t>
      </w:r>
    </w:p>
    <w:p w:rsidR="00310383" w:rsidRDefault="00D944B5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On the second submission, the regulations were amended following </w:t>
      </w:r>
      <w:r w:rsidRPr="000270B6">
        <w:rPr>
          <w:rFonts w:ascii="Book Antiqua" w:hAnsi="Book Antiqua"/>
          <w:i/>
        </w:rPr>
        <w:t>Zambrano</w:t>
      </w:r>
      <w:r>
        <w:rPr>
          <w:rFonts w:ascii="Book Antiqua" w:hAnsi="Book Antiqua"/>
        </w:rPr>
        <w:t xml:space="preserve">, but I am not persuaded that the </w:t>
      </w:r>
      <w:r w:rsidR="000270B6">
        <w:rPr>
          <w:rFonts w:ascii="Book Antiqua" w:hAnsi="Book Antiqua"/>
        </w:rPr>
        <w:t>amendments</w:t>
      </w:r>
      <w:r>
        <w:rPr>
          <w:rFonts w:ascii="Book Antiqua" w:hAnsi="Book Antiqua"/>
        </w:rPr>
        <w:t xml:space="preserve"> were such that no case</w:t>
      </w:r>
      <w:r w:rsidR="000270B6">
        <w:rPr>
          <w:rFonts w:ascii="Book Antiqua" w:hAnsi="Book Antiqua"/>
        </w:rPr>
        <w:t xml:space="preserve"> might thereafter </w:t>
      </w:r>
      <w:r w:rsidR="006178E4">
        <w:rPr>
          <w:rFonts w:ascii="Book Antiqua" w:hAnsi="Book Antiqua"/>
        </w:rPr>
        <w:t>ever be</w:t>
      </w:r>
      <w:r w:rsidR="000270B6">
        <w:rPr>
          <w:rFonts w:ascii="Book Antiqua" w:hAnsi="Book Antiqua"/>
        </w:rPr>
        <w:t xml:space="preserve"> outside the regulations </w:t>
      </w:r>
      <w:r w:rsidR="00D215D2">
        <w:rPr>
          <w:rFonts w:ascii="Book Antiqua" w:hAnsi="Book Antiqua"/>
        </w:rPr>
        <w:t xml:space="preserve">and </w:t>
      </w:r>
      <w:r w:rsidR="000270B6">
        <w:rPr>
          <w:rFonts w:ascii="Book Antiqua" w:hAnsi="Book Antiqua"/>
        </w:rPr>
        <w:t xml:space="preserve">yet within </w:t>
      </w:r>
      <w:r w:rsidR="00310383" w:rsidRPr="00310383">
        <w:rPr>
          <w:rFonts w:ascii="Book Antiqua" w:hAnsi="Book Antiqua"/>
          <w:i/>
        </w:rPr>
        <w:t>Zambrano</w:t>
      </w:r>
      <w:r w:rsidR="00310383">
        <w:rPr>
          <w:rFonts w:ascii="Book Antiqua" w:hAnsi="Book Antiqua"/>
        </w:rPr>
        <w:t xml:space="preserve"> principles.</w:t>
      </w:r>
    </w:p>
    <w:p w:rsidR="009A23B1" w:rsidRDefault="00310383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>Those principles and their application are complex</w:t>
      </w:r>
      <w:r w:rsidR="00D255A9">
        <w:rPr>
          <w:rFonts w:ascii="Book Antiqua" w:hAnsi="Book Antiqua"/>
        </w:rPr>
        <w:t xml:space="preserve">: see the discussion in </w:t>
      </w:r>
      <w:r w:rsidR="00D255A9" w:rsidRPr="00D162CC">
        <w:rPr>
          <w:rFonts w:ascii="Book Antiqua" w:hAnsi="Book Antiqua"/>
          <w:i/>
        </w:rPr>
        <w:t xml:space="preserve">Macdonald’s Immigration Law and </w:t>
      </w:r>
      <w:r w:rsidR="006F3F6D" w:rsidRPr="00D162CC">
        <w:rPr>
          <w:rFonts w:ascii="Book Antiqua" w:hAnsi="Book Antiqua"/>
          <w:i/>
        </w:rPr>
        <w:t>Practice</w:t>
      </w:r>
      <w:r w:rsidR="006F3F6D">
        <w:rPr>
          <w:rFonts w:ascii="Book Antiqua" w:hAnsi="Book Antiqua"/>
        </w:rPr>
        <w:t>, 9</w:t>
      </w:r>
      <w:r w:rsidR="00E67E3C" w:rsidRPr="00E67E3C">
        <w:rPr>
          <w:rFonts w:ascii="Book Antiqua" w:hAnsi="Book Antiqua"/>
          <w:vertAlign w:val="superscript"/>
        </w:rPr>
        <w:t>th</w:t>
      </w:r>
      <w:r w:rsidR="00E67E3C">
        <w:rPr>
          <w:rFonts w:ascii="Book Antiqua" w:hAnsi="Book Antiqua"/>
        </w:rPr>
        <w:t xml:space="preserve"> ed, vol 1, 6.77 onwards</w:t>
      </w:r>
      <w:r w:rsidR="00E4207F">
        <w:rPr>
          <w:rFonts w:ascii="Book Antiqua" w:hAnsi="Book Antiqua"/>
        </w:rPr>
        <w:t>; 1</w:t>
      </w:r>
      <w:r w:rsidR="00E4207F" w:rsidRPr="00E4207F">
        <w:rPr>
          <w:rFonts w:ascii="Book Antiqua" w:hAnsi="Book Antiqua"/>
          <w:vertAlign w:val="superscript"/>
        </w:rPr>
        <w:t>st</w:t>
      </w:r>
      <w:r w:rsidR="00E4207F">
        <w:rPr>
          <w:rFonts w:ascii="Book Antiqua" w:hAnsi="Book Antiqua"/>
        </w:rPr>
        <w:t xml:space="preserve"> supplement thereto; and the case cited in the grant of permission.</w:t>
      </w:r>
      <w:r w:rsidR="0008212D">
        <w:rPr>
          <w:rFonts w:ascii="Book Antiqua" w:hAnsi="Book Antiqua"/>
        </w:rPr>
        <w:t xml:space="preserve"> </w:t>
      </w:r>
      <w:r w:rsidR="00166BC2">
        <w:rPr>
          <w:rFonts w:ascii="Book Antiqua" w:hAnsi="Book Antiqua"/>
        </w:rPr>
        <w:t xml:space="preserve"> </w:t>
      </w:r>
      <w:r w:rsidR="00E23121">
        <w:rPr>
          <w:rFonts w:ascii="Book Antiqua" w:hAnsi="Book Antiqua"/>
        </w:rPr>
        <w:t xml:space="preserve">However, </w:t>
      </w:r>
      <w:r w:rsidR="0041521E">
        <w:rPr>
          <w:rFonts w:ascii="Book Antiqua" w:hAnsi="Book Antiqua"/>
        </w:rPr>
        <w:t xml:space="preserve">I think it is unnecessary to go beyond </w:t>
      </w:r>
      <w:r w:rsidR="0041521E" w:rsidRPr="00782A7E">
        <w:rPr>
          <w:rFonts w:ascii="Book Antiqua" w:hAnsi="Book Antiqua"/>
          <w:i/>
        </w:rPr>
        <w:t>Zambrano</w:t>
      </w:r>
      <w:r w:rsidR="0041521E">
        <w:rPr>
          <w:rFonts w:ascii="Book Antiqua" w:hAnsi="Book Antiqua"/>
        </w:rPr>
        <w:t xml:space="preserve"> at paragraph 45, as </w:t>
      </w:r>
      <w:r w:rsidR="009A23B1">
        <w:rPr>
          <w:rFonts w:ascii="Book Antiqua" w:hAnsi="Book Antiqua"/>
        </w:rPr>
        <w:t>cited by Mr Forrest:</w:t>
      </w:r>
    </w:p>
    <w:p w:rsidR="00AE60DC" w:rsidRPr="00A67A78" w:rsidRDefault="00A67A78" w:rsidP="00A67A78">
      <w:pPr>
        <w:spacing w:before="120"/>
        <w:ind w:left="1134" w:right="567"/>
        <w:jc w:val="both"/>
        <w:rPr>
          <w:rFonts w:ascii="Book Antiqua" w:hAnsi="Book Antiqua"/>
          <w:sz w:val="22"/>
          <w:szCs w:val="20"/>
        </w:rPr>
      </w:pPr>
      <w:r w:rsidRPr="00A67A78">
        <w:rPr>
          <w:rFonts w:ascii="Book Antiqua" w:hAnsi="Book Antiqua" w:cs="Arial"/>
          <w:color w:val="444444"/>
          <w:sz w:val="22"/>
          <w:szCs w:val="20"/>
          <w:shd w:val="clear" w:color="auto" w:fill="FFFFFF"/>
        </w:rPr>
        <w:t>“</w:t>
      </w:r>
      <w:r w:rsidR="00A952FB" w:rsidRPr="00A67A78">
        <w:rPr>
          <w:rFonts w:ascii="Book Antiqua" w:hAnsi="Book Antiqua" w:cs="Arial"/>
          <w:color w:val="444444"/>
          <w:sz w:val="22"/>
          <w:szCs w:val="20"/>
          <w:shd w:val="clear" w:color="auto" w:fill="FFFFFF"/>
        </w:rPr>
        <w:t xml:space="preserve">Article 20 TFEU is to be interpreted as meaning that it precludes a Member State from refusing a third country national upon whom his minor children, who are European Union citizens, are dependent, a right of residence in the Member State of residence and nationality of those children, and from refusing to grant a work permit to that third country national, in so far as such decisions deprive those </w:t>
      </w:r>
      <w:r w:rsidR="00A952FB" w:rsidRPr="00A67A78">
        <w:rPr>
          <w:rFonts w:ascii="Book Antiqua" w:hAnsi="Book Antiqua" w:cs="Arial"/>
          <w:color w:val="444444"/>
          <w:sz w:val="22"/>
          <w:szCs w:val="20"/>
          <w:shd w:val="clear" w:color="auto" w:fill="FFFFFF"/>
        </w:rPr>
        <w:lastRenderedPageBreak/>
        <w:t>children of the genuine enjoyment of the substance of the rights attaching to the status of European Union citizen.</w:t>
      </w:r>
      <w:r w:rsidRPr="00A67A78">
        <w:rPr>
          <w:rFonts w:ascii="Book Antiqua" w:hAnsi="Book Antiqua" w:cs="Arial"/>
          <w:color w:val="444444"/>
          <w:sz w:val="22"/>
          <w:szCs w:val="20"/>
          <w:shd w:val="clear" w:color="auto" w:fill="FFFFFF"/>
        </w:rPr>
        <w:t>”</w:t>
      </w:r>
    </w:p>
    <w:p w:rsidR="005915DF" w:rsidRPr="005915DF" w:rsidRDefault="00524F15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 w:cs="Arial"/>
        </w:rPr>
        <w:t>No doubt</w:t>
      </w:r>
      <w:r w:rsidR="005D297A">
        <w:rPr>
          <w:rFonts w:ascii="Book Antiqua" w:hAnsi="Book Antiqua" w:cs="Arial"/>
        </w:rPr>
        <w:t xml:space="preserve"> the </w:t>
      </w:r>
      <w:r w:rsidR="003C323F">
        <w:rPr>
          <w:rFonts w:ascii="Book Antiqua" w:hAnsi="Book Antiqua" w:cs="Arial"/>
        </w:rPr>
        <w:t>requirement of having been in education</w:t>
      </w:r>
      <w:r>
        <w:rPr>
          <w:rFonts w:ascii="Book Antiqua" w:hAnsi="Book Antiqua" w:cs="Arial"/>
        </w:rPr>
        <w:t xml:space="preserve"> </w:t>
      </w:r>
      <w:r w:rsidR="008B66C8">
        <w:rPr>
          <w:rFonts w:ascii="Book Antiqua" w:hAnsi="Book Antiqua" w:cs="Arial"/>
        </w:rPr>
        <w:t xml:space="preserve">is designed to comply with </w:t>
      </w:r>
      <w:r w:rsidR="008B66C8" w:rsidRPr="00360412">
        <w:rPr>
          <w:rFonts w:ascii="Book Antiqua" w:hAnsi="Book Antiqua" w:cs="Arial"/>
          <w:i/>
        </w:rPr>
        <w:t>Zambrano</w:t>
      </w:r>
      <w:r w:rsidR="00360412">
        <w:rPr>
          <w:rFonts w:ascii="Book Antiqua" w:hAnsi="Book Antiqua" w:cs="Arial"/>
        </w:rPr>
        <w:t xml:space="preserve">, and </w:t>
      </w:r>
      <w:r>
        <w:rPr>
          <w:rFonts w:ascii="Book Antiqua" w:hAnsi="Book Antiqua" w:cs="Arial"/>
        </w:rPr>
        <w:t>will</w:t>
      </w:r>
      <w:r w:rsidR="0063276A">
        <w:rPr>
          <w:rFonts w:ascii="Book Antiqua" w:hAnsi="Book Antiqua" w:cs="Arial"/>
        </w:rPr>
        <w:t xml:space="preserve"> often </w:t>
      </w:r>
      <w:r w:rsidR="00B909A4">
        <w:rPr>
          <w:rFonts w:ascii="Book Antiqua" w:hAnsi="Book Antiqua" w:cs="Arial"/>
        </w:rPr>
        <w:t>be</w:t>
      </w:r>
      <w:r w:rsidR="0063276A">
        <w:rPr>
          <w:rFonts w:ascii="Book Antiqua" w:hAnsi="Book Antiqua" w:cs="Arial"/>
        </w:rPr>
        <w:t xml:space="preserve"> decisive.  I do not find </w:t>
      </w:r>
      <w:r w:rsidR="00360412">
        <w:rPr>
          <w:rFonts w:ascii="Book Antiqua" w:hAnsi="Book Antiqua" w:cs="Arial"/>
        </w:rPr>
        <w:t>it</w:t>
      </w:r>
      <w:r w:rsidR="0063276A">
        <w:rPr>
          <w:rFonts w:ascii="Book Antiqua" w:hAnsi="Book Antiqua" w:cs="Arial"/>
        </w:rPr>
        <w:t xml:space="preserve"> </w:t>
      </w:r>
      <w:r w:rsidR="001427E6">
        <w:rPr>
          <w:rFonts w:ascii="Book Antiqua" w:hAnsi="Book Antiqua" w:cs="Arial"/>
        </w:rPr>
        <w:t>decisive</w:t>
      </w:r>
      <w:r w:rsidR="0063276A">
        <w:rPr>
          <w:rFonts w:ascii="Book Antiqua" w:hAnsi="Book Antiqua" w:cs="Arial"/>
        </w:rPr>
        <w:t xml:space="preserve"> where the qualifying parent is </w:t>
      </w:r>
      <w:r w:rsidR="00E72B36">
        <w:rPr>
          <w:rFonts w:ascii="Book Antiqua" w:hAnsi="Book Antiqua" w:cs="Arial"/>
        </w:rPr>
        <w:t>deceased,</w:t>
      </w:r>
      <w:r w:rsidR="0063276A">
        <w:rPr>
          <w:rFonts w:ascii="Book Antiqua" w:hAnsi="Book Antiqua" w:cs="Arial"/>
        </w:rPr>
        <w:t xml:space="preserve"> and the </w:t>
      </w:r>
      <w:r w:rsidR="00B909A4">
        <w:rPr>
          <w:rFonts w:ascii="Book Antiqua" w:hAnsi="Book Antiqua" w:cs="Arial"/>
        </w:rPr>
        <w:t xml:space="preserve">application comes to be decided </w:t>
      </w:r>
      <w:r w:rsidR="008F361C">
        <w:rPr>
          <w:rFonts w:ascii="Book Antiqua" w:hAnsi="Book Antiqua" w:cs="Arial"/>
        </w:rPr>
        <w:t>some</w:t>
      </w:r>
      <w:r w:rsidR="00B909A4">
        <w:rPr>
          <w:rFonts w:ascii="Book Antiqua" w:hAnsi="Book Antiqua" w:cs="Arial"/>
        </w:rPr>
        <w:t xml:space="preserve"> years later</w:t>
      </w:r>
      <w:r w:rsidR="003F5335">
        <w:rPr>
          <w:rFonts w:ascii="Book Antiqua" w:hAnsi="Book Antiqua" w:cs="Arial"/>
        </w:rPr>
        <w:t xml:space="preserve">, </w:t>
      </w:r>
      <w:r w:rsidR="005A0A45">
        <w:rPr>
          <w:rFonts w:ascii="Book Antiqua" w:hAnsi="Book Antiqua" w:cs="Arial"/>
        </w:rPr>
        <w:t>after resolution of a custody dispute,</w:t>
      </w:r>
      <w:r w:rsidR="00340EE6">
        <w:rPr>
          <w:rFonts w:ascii="Book Antiqua" w:hAnsi="Book Antiqua" w:cs="Arial"/>
        </w:rPr>
        <w:t xml:space="preserve"> when </w:t>
      </w:r>
      <w:r w:rsidR="00E72B36">
        <w:rPr>
          <w:rFonts w:ascii="Book Antiqua" w:hAnsi="Book Antiqua" w:cs="Arial"/>
        </w:rPr>
        <w:t xml:space="preserve">the child </w:t>
      </w:r>
      <w:r w:rsidR="00340EE6">
        <w:rPr>
          <w:rFonts w:ascii="Book Antiqua" w:hAnsi="Book Antiqua" w:cs="Arial"/>
        </w:rPr>
        <w:t>is</w:t>
      </w:r>
      <w:r w:rsidR="00E72B36">
        <w:rPr>
          <w:rFonts w:ascii="Book Antiqua" w:hAnsi="Book Antiqua" w:cs="Arial"/>
        </w:rPr>
        <w:t xml:space="preserve"> </w:t>
      </w:r>
      <w:r w:rsidR="008F361C">
        <w:rPr>
          <w:rFonts w:ascii="Book Antiqua" w:hAnsi="Book Antiqua" w:cs="Arial"/>
        </w:rPr>
        <w:t>in</w:t>
      </w:r>
      <w:r w:rsidR="003F5335">
        <w:rPr>
          <w:rFonts w:ascii="Book Antiqua" w:hAnsi="Book Antiqua" w:cs="Arial"/>
        </w:rPr>
        <w:t xml:space="preserve"> education</w:t>
      </w:r>
      <w:r w:rsidR="00453831">
        <w:rPr>
          <w:rFonts w:ascii="Book Antiqua" w:hAnsi="Book Antiqua" w:cs="Arial"/>
        </w:rPr>
        <w:t xml:space="preserve">, </w:t>
      </w:r>
      <w:r w:rsidR="00390300">
        <w:rPr>
          <w:rFonts w:ascii="Book Antiqua" w:hAnsi="Book Antiqua" w:cs="Arial"/>
        </w:rPr>
        <w:t>and</w:t>
      </w:r>
      <w:r w:rsidR="00453831">
        <w:rPr>
          <w:rFonts w:ascii="Book Antiqua" w:hAnsi="Book Antiqua" w:cs="Arial"/>
        </w:rPr>
        <w:t xml:space="preserve"> in the care of the surviving parent.</w:t>
      </w:r>
      <w:r w:rsidR="0063276A">
        <w:rPr>
          <w:rFonts w:ascii="Book Antiqua" w:hAnsi="Book Antiqua" w:cs="Arial"/>
        </w:rPr>
        <w:t xml:space="preserve"> </w:t>
      </w:r>
    </w:p>
    <w:p w:rsidR="00877D23" w:rsidRPr="00877D23" w:rsidRDefault="00B11D4D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 w:cs="Arial"/>
        </w:rPr>
        <w:t xml:space="preserve">Applying </w:t>
      </w:r>
      <w:r w:rsidR="000760C5" w:rsidRPr="000760C5">
        <w:rPr>
          <w:rFonts w:ascii="Book Antiqua" w:hAnsi="Book Antiqua" w:cs="Arial"/>
          <w:i/>
        </w:rPr>
        <w:t>Zambrano</w:t>
      </w:r>
      <w:r>
        <w:rPr>
          <w:rFonts w:ascii="Book Antiqua" w:hAnsi="Book Antiqua" w:cs="Arial"/>
        </w:rPr>
        <w:t>, there is only one parent</w:t>
      </w:r>
      <w:r w:rsidR="006C0415">
        <w:rPr>
          <w:rFonts w:ascii="Book Antiqua" w:hAnsi="Book Antiqua" w:cs="Arial"/>
        </w:rPr>
        <w:t xml:space="preserve">; </w:t>
      </w:r>
      <w:r w:rsidR="006656EE">
        <w:rPr>
          <w:rFonts w:ascii="Book Antiqua" w:hAnsi="Book Antiqua" w:cs="Arial"/>
        </w:rPr>
        <w:t xml:space="preserve">if the appellant left the </w:t>
      </w:r>
      <w:r w:rsidR="00960C94">
        <w:rPr>
          <w:rFonts w:ascii="Book Antiqua" w:hAnsi="Book Antiqua" w:cs="Arial"/>
        </w:rPr>
        <w:t xml:space="preserve">EEA, </w:t>
      </w:r>
      <w:r w:rsidR="00A67A78">
        <w:rPr>
          <w:rFonts w:ascii="Book Antiqua" w:hAnsi="Book Antiqua"/>
        </w:rPr>
        <w:t>[AI]</w:t>
      </w:r>
      <w:r w:rsidR="006C0415">
        <w:rPr>
          <w:rFonts w:ascii="Book Antiqua" w:hAnsi="Book Antiqua" w:cs="Arial"/>
        </w:rPr>
        <w:t xml:space="preserve"> </w:t>
      </w:r>
      <w:r w:rsidR="00960C94">
        <w:rPr>
          <w:rFonts w:ascii="Book Antiqua" w:hAnsi="Book Antiqua" w:cs="Arial"/>
        </w:rPr>
        <w:t xml:space="preserve">would have to go with him; </w:t>
      </w:r>
      <w:r w:rsidR="00A67A78">
        <w:rPr>
          <w:rFonts w:ascii="Book Antiqua" w:hAnsi="Book Antiqua"/>
        </w:rPr>
        <w:t>[AI]</w:t>
      </w:r>
      <w:r w:rsidR="00960C94">
        <w:rPr>
          <w:rFonts w:ascii="Book Antiqua" w:hAnsi="Book Antiqua" w:cs="Arial"/>
        </w:rPr>
        <w:t xml:space="preserve"> </w:t>
      </w:r>
      <w:r w:rsidR="006C0415">
        <w:rPr>
          <w:rFonts w:ascii="Book Antiqua" w:hAnsi="Book Antiqua" w:cs="Arial"/>
        </w:rPr>
        <w:t xml:space="preserve">cannot in principle be expected to </w:t>
      </w:r>
      <w:r w:rsidR="00960C94">
        <w:rPr>
          <w:rFonts w:ascii="Book Antiqua" w:hAnsi="Book Antiqua" w:cs="Arial"/>
        </w:rPr>
        <w:t>do so</w:t>
      </w:r>
      <w:r w:rsidR="007D4028">
        <w:rPr>
          <w:rFonts w:ascii="Book Antiqua" w:hAnsi="Book Antiqua" w:cs="Arial"/>
        </w:rPr>
        <w:t xml:space="preserve">; </w:t>
      </w:r>
      <w:r w:rsidR="00570DF4">
        <w:rPr>
          <w:rFonts w:ascii="Book Antiqua" w:hAnsi="Book Antiqua" w:cs="Arial"/>
        </w:rPr>
        <w:t xml:space="preserve">and </w:t>
      </w:r>
      <w:r w:rsidR="007D4028">
        <w:rPr>
          <w:rFonts w:ascii="Book Antiqua" w:hAnsi="Book Antiqua" w:cs="Arial"/>
        </w:rPr>
        <w:t xml:space="preserve">to refuse </w:t>
      </w:r>
      <w:r w:rsidR="0063276A">
        <w:rPr>
          <w:rFonts w:ascii="Book Antiqua" w:hAnsi="Book Antiqua" w:cs="Arial"/>
        </w:rPr>
        <w:t>residence</w:t>
      </w:r>
      <w:r w:rsidR="007D4028">
        <w:rPr>
          <w:rFonts w:ascii="Book Antiqua" w:hAnsi="Book Antiqua" w:cs="Arial"/>
        </w:rPr>
        <w:t xml:space="preserve"> to the appellant would</w:t>
      </w:r>
      <w:r w:rsidR="00570DF4">
        <w:rPr>
          <w:rFonts w:ascii="Book Antiqua" w:hAnsi="Book Antiqua" w:cs="Arial"/>
        </w:rPr>
        <w:t xml:space="preserve"> deprive </w:t>
      </w:r>
      <w:r w:rsidR="00A67A78">
        <w:rPr>
          <w:rFonts w:ascii="Book Antiqua" w:hAnsi="Book Antiqua"/>
        </w:rPr>
        <w:t>[AI]</w:t>
      </w:r>
      <w:r w:rsidR="005A5EEE">
        <w:rPr>
          <w:rFonts w:ascii="Book Antiqua" w:hAnsi="Book Antiqua" w:cs="Arial"/>
        </w:rPr>
        <w:t xml:space="preserve"> of the substance of the rights attaching to his status as an EEA citizen</w:t>
      </w:r>
      <w:r w:rsidR="00B90B2C">
        <w:rPr>
          <w:rFonts w:ascii="Book Antiqua" w:hAnsi="Book Antiqua" w:cs="Arial"/>
        </w:rPr>
        <w:t xml:space="preserve">.  The outcome is then </w:t>
      </w:r>
      <w:r w:rsidR="009B3B22">
        <w:rPr>
          <w:rFonts w:ascii="Book Antiqua" w:hAnsi="Book Antiqua" w:cs="Arial"/>
        </w:rPr>
        <w:t>subject only to</w:t>
      </w:r>
      <w:r w:rsidR="00CB6C92">
        <w:rPr>
          <w:rFonts w:ascii="Book Antiqua" w:hAnsi="Book Antiqua" w:cs="Arial"/>
        </w:rPr>
        <w:t xml:space="preserve"> the alternative of Mr Govan’s third submission, that the appellant </w:t>
      </w:r>
      <w:r w:rsidR="00972DFB">
        <w:rPr>
          <w:rFonts w:ascii="Book Antiqua" w:hAnsi="Book Antiqua" w:cs="Arial"/>
        </w:rPr>
        <w:t>has to show why those rights could not be exercised in</w:t>
      </w:r>
      <w:r w:rsidR="00877D23">
        <w:rPr>
          <w:rFonts w:ascii="Book Antiqua" w:hAnsi="Book Antiqua" w:cs="Arial"/>
        </w:rPr>
        <w:t xml:space="preserve"> Norway.</w:t>
      </w:r>
    </w:p>
    <w:p w:rsidR="00491B5A" w:rsidRPr="00491B5A" w:rsidRDefault="00C30814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 w:cs="Arial"/>
        </w:rPr>
        <w:t>I accept that</w:t>
      </w:r>
      <w:r w:rsidR="002950F8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</w:t>
      </w:r>
      <w:r w:rsidR="00891F4F">
        <w:rPr>
          <w:rFonts w:ascii="Book Antiqua" w:hAnsi="Book Antiqua" w:cs="Arial"/>
        </w:rPr>
        <w:t>as Mr Govan said</w:t>
      </w:r>
      <w:r w:rsidR="003837BC">
        <w:rPr>
          <w:rFonts w:ascii="Book Antiqua" w:hAnsi="Book Antiqua" w:cs="Arial"/>
        </w:rPr>
        <w:t>,</w:t>
      </w:r>
      <w:r w:rsidR="00891F4F"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>it was for the appellant throughout to establish his case</w:t>
      </w:r>
      <w:r w:rsidR="00891F4F">
        <w:rPr>
          <w:rFonts w:ascii="Book Antiqua" w:hAnsi="Book Antiqua" w:cs="Arial"/>
        </w:rPr>
        <w:t>.  However, t</w:t>
      </w:r>
      <w:r w:rsidR="00FB2F6F">
        <w:rPr>
          <w:rFonts w:ascii="Book Antiqua" w:hAnsi="Book Antiqua" w:cs="Arial"/>
        </w:rPr>
        <w:t xml:space="preserve">he appellant advanced his position </w:t>
      </w:r>
      <w:r w:rsidR="00191DD6">
        <w:rPr>
          <w:rFonts w:ascii="Book Antiqua" w:hAnsi="Book Antiqua" w:cs="Arial"/>
        </w:rPr>
        <w:t>in the letter of application as based in part</w:t>
      </w:r>
      <w:r w:rsidR="0046226C">
        <w:rPr>
          <w:rFonts w:ascii="Book Antiqua" w:hAnsi="Book Antiqua" w:cs="Arial"/>
        </w:rPr>
        <w:t xml:space="preserve"> on having no right to reside in Norway.</w:t>
      </w:r>
      <w:r w:rsidR="00AC1132">
        <w:rPr>
          <w:rFonts w:ascii="Book Antiqua" w:hAnsi="Book Antiqua" w:cs="Arial"/>
        </w:rPr>
        <w:t xml:space="preserve">  If the respondent thought the Norway alternative </w:t>
      </w:r>
      <w:r w:rsidR="00F43EB4">
        <w:rPr>
          <w:rFonts w:ascii="Book Antiqua" w:hAnsi="Book Antiqua" w:cs="Arial"/>
        </w:rPr>
        <w:t>was another</w:t>
      </w:r>
      <w:r w:rsidR="00AC1132">
        <w:rPr>
          <w:rFonts w:ascii="Book Antiqua" w:hAnsi="Book Antiqua" w:cs="Arial"/>
        </w:rPr>
        <w:t xml:space="preserve"> good reason for refusal</w:t>
      </w:r>
      <w:r w:rsidR="001355E6">
        <w:rPr>
          <w:rFonts w:ascii="Book Antiqua" w:hAnsi="Book Antiqua" w:cs="Arial"/>
        </w:rPr>
        <w:t xml:space="preserve">, that should have been in the decision.  </w:t>
      </w:r>
      <w:r w:rsidR="00626E35">
        <w:rPr>
          <w:rFonts w:ascii="Book Antiqua" w:hAnsi="Book Antiqua" w:cs="Arial"/>
        </w:rPr>
        <w:t xml:space="preserve">The respondent </w:t>
      </w:r>
      <w:r w:rsidR="00773032">
        <w:rPr>
          <w:rFonts w:ascii="Book Antiqua" w:hAnsi="Book Antiqua" w:cs="Arial"/>
        </w:rPr>
        <w:t>did not make the point to</w:t>
      </w:r>
      <w:r w:rsidR="00626E35">
        <w:rPr>
          <w:rFonts w:ascii="Book Antiqua" w:hAnsi="Book Antiqua" w:cs="Arial"/>
        </w:rPr>
        <w:t xml:space="preserve"> the FtT, </w:t>
      </w:r>
      <w:r w:rsidR="00773032">
        <w:rPr>
          <w:rFonts w:ascii="Book Antiqua" w:hAnsi="Book Antiqua" w:cs="Arial"/>
        </w:rPr>
        <w:t>not being represented</w:t>
      </w:r>
      <w:r w:rsidR="00E84250">
        <w:rPr>
          <w:rFonts w:ascii="Book Antiqua" w:hAnsi="Book Antiqua" w:cs="Arial"/>
        </w:rPr>
        <w:t xml:space="preserve">. </w:t>
      </w:r>
    </w:p>
    <w:p w:rsidR="006C0415" w:rsidRPr="006C0415" w:rsidRDefault="00E84250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 w:cs="Arial"/>
        </w:rPr>
        <w:t xml:space="preserve">Whether the Norway option is available and reasonable might have been </w:t>
      </w:r>
      <w:r w:rsidR="00773032">
        <w:rPr>
          <w:rFonts w:ascii="Book Antiqua" w:hAnsi="Book Antiqua" w:cs="Arial"/>
        </w:rPr>
        <w:t>a legitimate</w:t>
      </w:r>
      <w:r>
        <w:rPr>
          <w:rFonts w:ascii="Book Antiqua" w:hAnsi="Book Antiqua" w:cs="Arial"/>
        </w:rPr>
        <w:t xml:space="preserve"> </w:t>
      </w:r>
      <w:r w:rsidR="005B47C3">
        <w:rPr>
          <w:rFonts w:ascii="Book Antiqua" w:hAnsi="Book Antiqua" w:cs="Arial"/>
        </w:rPr>
        <w:t>subject of debate</w:t>
      </w:r>
      <w:r w:rsidR="00EA5EE8">
        <w:rPr>
          <w:rFonts w:ascii="Book Antiqua" w:hAnsi="Book Antiqua" w:cs="Arial"/>
        </w:rPr>
        <w:t>.</w:t>
      </w:r>
      <w:r w:rsidR="007D6C77">
        <w:rPr>
          <w:rFonts w:ascii="Book Antiqua" w:hAnsi="Book Antiqua" w:cs="Arial"/>
        </w:rPr>
        <w:t xml:space="preserve">  </w:t>
      </w:r>
      <w:r w:rsidR="00EA5EE8">
        <w:rPr>
          <w:rFonts w:ascii="Book Antiqua" w:hAnsi="Book Antiqua" w:cs="Arial"/>
        </w:rPr>
        <w:t xml:space="preserve">Norway will admit </w:t>
      </w:r>
      <w:r w:rsidR="00A67A78">
        <w:rPr>
          <w:rFonts w:ascii="Book Antiqua" w:hAnsi="Book Antiqua"/>
        </w:rPr>
        <w:t>[AI]</w:t>
      </w:r>
      <w:r w:rsidR="00EA5EE8">
        <w:rPr>
          <w:rFonts w:ascii="Book Antiqua" w:hAnsi="Book Antiqua" w:cs="Arial"/>
        </w:rPr>
        <w:t xml:space="preserve">, and in consequence </w:t>
      </w:r>
      <w:r w:rsidR="00573548">
        <w:rPr>
          <w:rFonts w:ascii="Book Antiqua" w:hAnsi="Book Antiqua" w:cs="Arial"/>
        </w:rPr>
        <w:t>might admit his sole surviving parent.</w:t>
      </w:r>
      <w:r w:rsidR="007D6C77">
        <w:rPr>
          <w:rFonts w:ascii="Book Antiqua" w:hAnsi="Book Antiqua" w:cs="Arial"/>
        </w:rPr>
        <w:t xml:space="preserve">  </w:t>
      </w:r>
      <w:r w:rsidR="00573548">
        <w:rPr>
          <w:rFonts w:ascii="Book Antiqua" w:hAnsi="Book Antiqua" w:cs="Arial"/>
        </w:rPr>
        <w:t>However, a</w:t>
      </w:r>
      <w:r w:rsidR="005B47C3">
        <w:rPr>
          <w:rFonts w:ascii="Book Antiqua" w:hAnsi="Book Antiqua" w:cs="Arial"/>
        </w:rPr>
        <w:t>s matters have developed until t</w:t>
      </w:r>
      <w:r w:rsidR="00573548">
        <w:rPr>
          <w:rFonts w:ascii="Book Antiqua" w:hAnsi="Book Antiqua" w:cs="Arial"/>
        </w:rPr>
        <w:t xml:space="preserve">he hearing in the </w:t>
      </w:r>
      <w:r w:rsidR="007D6C77">
        <w:rPr>
          <w:rFonts w:ascii="Book Antiqua" w:hAnsi="Book Antiqua" w:cs="Arial"/>
        </w:rPr>
        <w:t xml:space="preserve">UT, </w:t>
      </w:r>
      <w:r w:rsidR="0062635F">
        <w:rPr>
          <w:rFonts w:ascii="Book Antiqua" w:hAnsi="Book Antiqua" w:cs="Arial"/>
        </w:rPr>
        <w:t>the appellant was entitled to t</w:t>
      </w:r>
      <w:r w:rsidR="007D6C77">
        <w:rPr>
          <w:rFonts w:ascii="Book Antiqua" w:hAnsi="Book Antiqua" w:cs="Arial"/>
        </w:rPr>
        <w:t>ake it that was not in issue</w:t>
      </w:r>
      <w:r w:rsidR="008B0A95">
        <w:rPr>
          <w:rFonts w:ascii="Book Antiqua" w:hAnsi="Book Antiqua" w:cs="Arial"/>
        </w:rPr>
        <w:t>.  Th</w:t>
      </w:r>
      <w:r w:rsidR="00B02EFB">
        <w:rPr>
          <w:rFonts w:ascii="Book Antiqua" w:hAnsi="Book Antiqua" w:cs="Arial"/>
        </w:rPr>
        <w:t>e submission that the case should be remitted</w:t>
      </w:r>
      <w:r w:rsidR="008B0A95">
        <w:rPr>
          <w:rFonts w:ascii="Book Antiqua" w:hAnsi="Book Antiqua" w:cs="Arial"/>
        </w:rPr>
        <w:t xml:space="preserve"> </w:t>
      </w:r>
      <w:r w:rsidR="00F50E29">
        <w:rPr>
          <w:rFonts w:ascii="Book Antiqua" w:hAnsi="Book Antiqua" w:cs="Arial"/>
        </w:rPr>
        <w:t>implicitly recognise</w:t>
      </w:r>
      <w:r w:rsidR="00B02EFB">
        <w:rPr>
          <w:rFonts w:ascii="Book Antiqua" w:hAnsi="Book Antiqua" w:cs="Arial"/>
        </w:rPr>
        <w:t xml:space="preserve">s </w:t>
      </w:r>
      <w:r w:rsidR="00217E05">
        <w:rPr>
          <w:rFonts w:ascii="Book Antiqua" w:hAnsi="Book Antiqua" w:cs="Arial"/>
        </w:rPr>
        <w:t>that the appellant could not have been expected to eliminate th</w:t>
      </w:r>
      <w:r w:rsidR="00E24154">
        <w:rPr>
          <w:rFonts w:ascii="Book Antiqua" w:hAnsi="Book Antiqua" w:cs="Arial"/>
        </w:rPr>
        <w:t>at</w:t>
      </w:r>
      <w:r w:rsidR="00217E05">
        <w:rPr>
          <w:rFonts w:ascii="Book Antiqua" w:hAnsi="Book Antiqua" w:cs="Arial"/>
        </w:rPr>
        <w:t xml:space="preserve"> possibility by evidence </w:t>
      </w:r>
      <w:r w:rsidR="00B02EFB">
        <w:rPr>
          <w:rFonts w:ascii="Book Antiqua" w:hAnsi="Book Antiqua" w:cs="Arial"/>
        </w:rPr>
        <w:t>in</w:t>
      </w:r>
      <w:r w:rsidR="002950F8">
        <w:rPr>
          <w:rFonts w:ascii="Book Antiqua" w:hAnsi="Book Antiqua" w:cs="Arial"/>
        </w:rPr>
        <w:t xml:space="preserve"> the FtT.</w:t>
      </w:r>
      <w:r w:rsidR="00CC68E0">
        <w:rPr>
          <w:rFonts w:ascii="Book Antiqua" w:hAnsi="Book Antiqua" w:cs="Arial"/>
        </w:rPr>
        <w:t xml:space="preserve"> </w:t>
      </w:r>
      <w:r w:rsidR="003D20A0">
        <w:rPr>
          <w:rFonts w:ascii="Book Antiqua" w:hAnsi="Book Antiqua" w:cs="Arial"/>
        </w:rPr>
        <w:t xml:space="preserve"> In short, this comes far too late.</w:t>
      </w:r>
      <w:r w:rsidR="00785998">
        <w:rPr>
          <w:rFonts w:ascii="Book Antiqua" w:hAnsi="Book Antiqua" w:cs="Arial"/>
        </w:rPr>
        <w:t xml:space="preserve"> </w:t>
      </w:r>
      <w:r w:rsidR="0062635F">
        <w:rPr>
          <w:rFonts w:ascii="Book Antiqua" w:hAnsi="Book Antiqua" w:cs="Arial"/>
        </w:rPr>
        <w:t xml:space="preserve">  </w:t>
      </w:r>
      <w:r>
        <w:rPr>
          <w:rFonts w:ascii="Book Antiqua" w:hAnsi="Book Antiqua" w:cs="Arial"/>
        </w:rPr>
        <w:t xml:space="preserve"> </w:t>
      </w:r>
      <w:r w:rsidR="00972DFB">
        <w:rPr>
          <w:rFonts w:ascii="Book Antiqua" w:hAnsi="Book Antiqua" w:cs="Arial"/>
        </w:rPr>
        <w:t xml:space="preserve"> </w:t>
      </w:r>
      <w:r w:rsidR="00CB6C92">
        <w:rPr>
          <w:rFonts w:ascii="Book Antiqua" w:hAnsi="Book Antiqua" w:cs="Arial"/>
        </w:rPr>
        <w:t xml:space="preserve"> </w:t>
      </w:r>
      <w:r w:rsidR="00570DF4">
        <w:rPr>
          <w:rFonts w:ascii="Book Antiqua" w:hAnsi="Book Antiqua" w:cs="Arial"/>
        </w:rPr>
        <w:t xml:space="preserve"> </w:t>
      </w:r>
      <w:r w:rsidR="007D4028">
        <w:rPr>
          <w:rFonts w:ascii="Book Antiqua" w:hAnsi="Book Antiqua" w:cs="Arial"/>
        </w:rPr>
        <w:t xml:space="preserve"> </w:t>
      </w:r>
    </w:p>
    <w:p w:rsidR="00E82FF1" w:rsidRPr="00672BB0" w:rsidRDefault="00EF4389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 w:rsidRPr="00672BB0">
        <w:rPr>
          <w:rFonts w:ascii="Book Antiqua" w:hAnsi="Book Antiqua" w:cs="Arial"/>
        </w:rPr>
        <w:t>T</w:t>
      </w:r>
      <w:r w:rsidR="00C172B0" w:rsidRPr="00672BB0">
        <w:rPr>
          <w:rFonts w:ascii="Book Antiqua" w:hAnsi="Book Antiqua" w:cs="Arial"/>
        </w:rPr>
        <w:t xml:space="preserve">he principle </w:t>
      </w:r>
      <w:r w:rsidR="00E82FF1" w:rsidRPr="00672BB0">
        <w:rPr>
          <w:rFonts w:ascii="Book Antiqua" w:hAnsi="Book Antiqua" w:cs="Arial"/>
        </w:rPr>
        <w:t xml:space="preserve">laid down in </w:t>
      </w:r>
      <w:r w:rsidR="00E82FF1" w:rsidRPr="00672BB0">
        <w:rPr>
          <w:rFonts w:ascii="Book Antiqua" w:hAnsi="Book Antiqua" w:cs="Arial"/>
          <w:i/>
        </w:rPr>
        <w:t>Zambrano</w:t>
      </w:r>
      <w:r w:rsidR="00DF7586" w:rsidRPr="00672BB0">
        <w:rPr>
          <w:rFonts w:ascii="Book Antiqua" w:hAnsi="Book Antiqua" w:cs="Arial"/>
          <w:i/>
        </w:rPr>
        <w:t xml:space="preserve">, </w:t>
      </w:r>
      <w:r w:rsidR="00DF7586" w:rsidRPr="00672BB0">
        <w:rPr>
          <w:rFonts w:ascii="Book Antiqua" w:hAnsi="Book Antiqua" w:cs="Arial"/>
        </w:rPr>
        <w:t>applied to the facts of this case,</w:t>
      </w:r>
      <w:r w:rsidR="00DF7586" w:rsidRPr="00672BB0">
        <w:rPr>
          <w:rFonts w:ascii="Book Antiqua" w:hAnsi="Book Antiqua" w:cs="Arial"/>
          <w:i/>
        </w:rPr>
        <w:t xml:space="preserve"> </w:t>
      </w:r>
      <w:r w:rsidR="00E82FF1" w:rsidRPr="00672BB0">
        <w:rPr>
          <w:rFonts w:ascii="Book Antiqua" w:hAnsi="Book Antiqua" w:cs="Arial"/>
        </w:rPr>
        <w:t xml:space="preserve">requires </w:t>
      </w:r>
      <w:r w:rsidR="00672BB0" w:rsidRPr="00672BB0">
        <w:rPr>
          <w:rFonts w:ascii="Book Antiqua" w:hAnsi="Book Antiqua" w:cs="Arial"/>
        </w:rPr>
        <w:t>the</w:t>
      </w:r>
      <w:r w:rsidR="00672BB0">
        <w:rPr>
          <w:rFonts w:ascii="Book Antiqua" w:hAnsi="Book Antiqua" w:cs="Arial"/>
        </w:rPr>
        <w:t xml:space="preserve"> </w:t>
      </w:r>
      <w:r w:rsidR="00E82FF1" w:rsidRPr="00672BB0">
        <w:rPr>
          <w:rFonts w:ascii="Book Antiqua" w:hAnsi="Book Antiqua"/>
        </w:rPr>
        <w:t xml:space="preserve">decision of the FtT </w:t>
      </w:r>
      <w:r w:rsidR="00672BB0">
        <w:rPr>
          <w:rFonts w:ascii="Book Antiqua" w:hAnsi="Book Antiqua"/>
        </w:rPr>
        <w:t xml:space="preserve">to be </w:t>
      </w:r>
      <w:r w:rsidR="00E82FF1" w:rsidRPr="003E3347">
        <w:rPr>
          <w:rFonts w:ascii="Book Antiqua" w:hAnsi="Book Antiqua"/>
          <w:b/>
        </w:rPr>
        <w:t>set aside</w:t>
      </w:r>
      <w:r w:rsidR="003E3347">
        <w:rPr>
          <w:rFonts w:ascii="Book Antiqua" w:hAnsi="Book Antiqua"/>
        </w:rPr>
        <w:t xml:space="preserve">, and the </w:t>
      </w:r>
      <w:r w:rsidR="00E82FF1" w:rsidRPr="00672BB0">
        <w:rPr>
          <w:rFonts w:ascii="Book Antiqua" w:hAnsi="Book Antiqua"/>
        </w:rPr>
        <w:t xml:space="preserve">appeal, as brought to the FtT, </w:t>
      </w:r>
      <w:r w:rsidR="003E3347">
        <w:rPr>
          <w:rFonts w:ascii="Book Antiqua" w:hAnsi="Book Antiqua"/>
        </w:rPr>
        <w:t>to be</w:t>
      </w:r>
      <w:r w:rsidR="00E82FF1" w:rsidRPr="00672BB0">
        <w:rPr>
          <w:rFonts w:ascii="Book Antiqua" w:hAnsi="Book Antiqua"/>
        </w:rPr>
        <w:t xml:space="preserve"> </w:t>
      </w:r>
      <w:r w:rsidR="00E82FF1" w:rsidRPr="003E3347">
        <w:rPr>
          <w:rFonts w:ascii="Book Antiqua" w:hAnsi="Book Antiqua"/>
          <w:b/>
        </w:rPr>
        <w:t>allowed</w:t>
      </w:r>
      <w:r w:rsidR="00E82FF1" w:rsidRPr="00672BB0">
        <w:rPr>
          <w:rFonts w:ascii="Book Antiqua" w:hAnsi="Book Antiqua"/>
        </w:rPr>
        <w:t>.</w:t>
      </w:r>
    </w:p>
    <w:p w:rsidR="00321C6F" w:rsidRPr="001A0282" w:rsidRDefault="00321C6F" w:rsidP="00321C6F">
      <w:pPr>
        <w:numPr>
          <w:ilvl w:val="0"/>
          <w:numId w:val="2"/>
        </w:numPr>
        <w:spacing w:before="240"/>
        <w:jc w:val="both"/>
        <w:rPr>
          <w:rFonts w:ascii="Book Antiqua" w:hAnsi="Book Antiqua" w:cs="Arial"/>
        </w:rPr>
      </w:pPr>
      <w:r w:rsidRPr="001A0282">
        <w:rPr>
          <w:rFonts w:ascii="Book Antiqua" w:hAnsi="Book Antiqua" w:cs="Arial"/>
        </w:rPr>
        <w:t>No</w:t>
      </w:r>
      <w:r w:rsidRPr="001A0282">
        <w:rPr>
          <w:rFonts w:ascii="Book Antiqua" w:hAnsi="Book Antiqua"/>
        </w:rPr>
        <w:t xml:space="preserve"> anonymity direction has been requested or made.  </w:t>
      </w:r>
    </w:p>
    <w:p w:rsidR="00321C6F" w:rsidRPr="00A56832" w:rsidRDefault="00321C6F" w:rsidP="00321C6F">
      <w:pPr>
        <w:jc w:val="both"/>
        <w:rPr>
          <w:rFonts w:ascii="Book Antiqua" w:hAnsi="Book Antiqua" w:cs="Arial"/>
        </w:rPr>
      </w:pPr>
    </w:p>
    <w:p w:rsidR="00321C6F" w:rsidRPr="00A56832" w:rsidRDefault="00321C6F" w:rsidP="00321C6F">
      <w:pPr>
        <w:jc w:val="both"/>
        <w:rPr>
          <w:rFonts w:ascii="Book Antiqua" w:hAnsi="Book Antiqua" w:cs="Arial"/>
        </w:rPr>
      </w:pPr>
    </w:p>
    <w:p w:rsidR="00321C6F" w:rsidRPr="00A56832" w:rsidRDefault="00321C6F" w:rsidP="00321C6F">
      <w:pPr>
        <w:jc w:val="both"/>
        <w:rPr>
          <w:rFonts w:ascii="Book Antiqua" w:hAnsi="Book Antiqua" w:cs="Arial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E0046" w:rsidRPr="009445D2">
        <w:rPr>
          <w:noProof/>
          <w:sz w:val="22"/>
          <w:szCs w:val="22"/>
        </w:rPr>
        <w:drawing>
          <wp:inline distT="0" distB="0" distL="0" distR="0" wp14:anchorId="334D9F4B" wp14:editId="334D9F4C">
            <wp:extent cx="1533525" cy="57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C6F" w:rsidRPr="00A56832" w:rsidRDefault="00321C6F" w:rsidP="00321C6F">
      <w:pPr>
        <w:jc w:val="both"/>
        <w:rPr>
          <w:rFonts w:ascii="Book Antiqua" w:hAnsi="Book Antiqua" w:cs="Arial"/>
        </w:rPr>
      </w:pPr>
    </w:p>
    <w:p w:rsidR="00321C6F" w:rsidRPr="00A56832" w:rsidRDefault="00321C6F" w:rsidP="00321C6F">
      <w:pPr>
        <w:jc w:val="both"/>
        <w:rPr>
          <w:rFonts w:ascii="Book Antiqua" w:hAnsi="Book Antiqua" w:cs="Arial"/>
        </w:rPr>
      </w:pPr>
    </w:p>
    <w:p w:rsidR="00321C6F" w:rsidRPr="00A56832" w:rsidRDefault="00321C6F" w:rsidP="00321C6F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 w:rsidR="005D4A99">
        <w:rPr>
          <w:rFonts w:ascii="Book Antiqua" w:hAnsi="Book Antiqua" w:cs="Arial"/>
        </w:rPr>
        <w:t xml:space="preserve">23 August </w:t>
      </w:r>
      <w:r w:rsidR="000B442A">
        <w:rPr>
          <w:rFonts w:ascii="Book Antiqua" w:hAnsi="Book Antiqua" w:cs="Arial"/>
        </w:rPr>
        <w:t>20</w:t>
      </w:r>
      <w:r w:rsidR="00A810D2">
        <w:rPr>
          <w:rFonts w:ascii="Book Antiqua" w:hAnsi="Book Antiqua" w:cs="Arial"/>
        </w:rPr>
        <w:t>1</w:t>
      </w:r>
      <w:r w:rsidR="00B170ED">
        <w:rPr>
          <w:rFonts w:ascii="Book Antiqua" w:hAnsi="Book Antiqua" w:cs="Arial"/>
        </w:rPr>
        <w:t>8</w:t>
      </w:r>
      <w:r>
        <w:rPr>
          <w:rFonts w:ascii="Book Antiqua" w:hAnsi="Book Antiqua" w:cs="Arial"/>
        </w:rPr>
        <w:t xml:space="preserve"> </w:t>
      </w:r>
    </w:p>
    <w:p w:rsidR="00321C6F" w:rsidRDefault="00321C6F" w:rsidP="00321C6F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  <w:t>Upper Tribunal Judge Macleman</w:t>
      </w:r>
    </w:p>
    <w:p w:rsidR="00933B65" w:rsidRPr="00F97703" w:rsidRDefault="00933B65" w:rsidP="00933B65">
      <w:pPr>
        <w:tabs>
          <w:tab w:val="left" w:pos="2520"/>
        </w:tabs>
        <w:ind w:left="4508" w:hanging="539"/>
        <w:rPr>
          <w:rFonts w:ascii="Book Antiqua" w:hAnsi="Book Antiqua" w:cs="Arial"/>
          <w:color w:val="000000"/>
        </w:rPr>
      </w:pPr>
    </w:p>
    <w:p w:rsidR="006D2D9A" w:rsidRDefault="006D2D9A"/>
    <w:sectPr w:rsidR="006D2D9A" w:rsidSect="00614E94">
      <w:headerReference w:type="default" r:id="rId10"/>
      <w:footerReference w:type="default" r:id="rId11"/>
      <w:footerReference w:type="first" r:id="rId12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3DDB" w:rsidRDefault="00B43DDB">
      <w:r>
        <w:separator/>
      </w:r>
    </w:p>
  </w:endnote>
  <w:endnote w:type="continuationSeparator" w:id="0">
    <w:p w:rsidR="00B43DDB" w:rsidRDefault="00B43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4782" w:rsidRPr="00593795" w:rsidRDefault="008D4782" w:rsidP="00614E94">
    <w:pPr>
      <w:pStyle w:val="Footer"/>
      <w:jc w:val="center"/>
      <w:rPr>
        <w:rFonts w:ascii="Arial" w:hAnsi="Arial" w:cs="Arial"/>
        <w:sz w:val="16"/>
        <w:szCs w:val="16"/>
      </w:rPr>
    </w:pPr>
    <w:r w:rsidRPr="00593795">
      <w:rPr>
        <w:rStyle w:val="PageNumber"/>
        <w:rFonts w:ascii="Arial" w:hAnsi="Arial" w:cs="Arial"/>
        <w:sz w:val="16"/>
        <w:szCs w:val="16"/>
      </w:rPr>
      <w:fldChar w:fldCharType="begin"/>
    </w:r>
    <w:r w:rsidRPr="00593795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593795">
      <w:rPr>
        <w:rStyle w:val="PageNumber"/>
        <w:rFonts w:ascii="Arial" w:hAnsi="Arial" w:cs="Arial"/>
        <w:sz w:val="16"/>
        <w:szCs w:val="16"/>
      </w:rPr>
      <w:fldChar w:fldCharType="separate"/>
    </w:r>
    <w:r w:rsidR="00672F46">
      <w:rPr>
        <w:rStyle w:val="PageNumber"/>
        <w:rFonts w:ascii="Arial" w:hAnsi="Arial" w:cs="Arial"/>
        <w:noProof/>
        <w:sz w:val="16"/>
        <w:szCs w:val="16"/>
      </w:rPr>
      <w:t>4</w:t>
    </w:r>
    <w:r w:rsidRPr="00593795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4782" w:rsidRPr="00090CF9" w:rsidRDefault="008D4782" w:rsidP="00614E94">
    <w:pPr>
      <w:jc w:val="center"/>
      <w:rPr>
        <w:rFonts w:ascii="Arial" w:hAnsi="Arial" w:cs="Arial"/>
        <w:b/>
      </w:rPr>
    </w:pPr>
    <w:r w:rsidRPr="00090CF9">
      <w:rPr>
        <w:rFonts w:ascii="Arial" w:hAnsi="Arial" w:cs="Arial"/>
        <w:b/>
        <w:spacing w:val="-6"/>
      </w:rPr>
      <w:t>©</w:t>
    </w:r>
    <w:r>
      <w:rPr>
        <w:rFonts w:ascii="Arial" w:hAnsi="Arial" w:cs="Arial"/>
        <w:b/>
      </w:rPr>
      <w:t xml:space="preserve"> CROWN COPYRIGHT</w:t>
    </w:r>
    <w:r w:rsidR="00BB3C2C">
      <w:rPr>
        <w:rFonts w:ascii="Arial" w:hAnsi="Arial" w:cs="Arial"/>
        <w:b/>
      </w:rPr>
      <w:t xml:space="preserve">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3DDB" w:rsidRDefault="00B43DDB">
      <w:r>
        <w:separator/>
      </w:r>
    </w:p>
  </w:footnote>
  <w:footnote w:type="continuationSeparator" w:id="0">
    <w:p w:rsidR="00B43DDB" w:rsidRDefault="00B43D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4782" w:rsidRPr="003C5CE5" w:rsidRDefault="008D4782" w:rsidP="00614E94">
    <w:pPr>
      <w:pStyle w:val="Header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Appeal Number: </w:t>
    </w:r>
    <w:r w:rsidR="006C59FB" w:rsidRPr="006C59FB">
      <w:rPr>
        <w:rFonts w:ascii="Arial" w:hAnsi="Arial" w:cs="Arial"/>
        <w:sz w:val="16"/>
        <w:szCs w:val="16"/>
      </w:rPr>
      <w:t>EA/02693/2016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60EB8"/>
    <w:multiLevelType w:val="multilevel"/>
    <w:tmpl w:val="1B54D8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4F4250BF"/>
    <w:multiLevelType w:val="hybridMultilevel"/>
    <w:tmpl w:val="83FE4D62"/>
    <w:lvl w:ilvl="0" w:tplc="08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A985C8F6-38DA-486A-9703-6967F40952DA}"/>
    <w:docVar w:name="dgnword-eventsink" w:val="674729240"/>
  </w:docVars>
  <w:rsids>
    <w:rsidRoot w:val="00933B65"/>
    <w:rsid w:val="00003CE9"/>
    <w:rsid w:val="00005159"/>
    <w:rsid w:val="00007BAC"/>
    <w:rsid w:val="00015792"/>
    <w:rsid w:val="000204B9"/>
    <w:rsid w:val="000270B6"/>
    <w:rsid w:val="00050F40"/>
    <w:rsid w:val="000606EC"/>
    <w:rsid w:val="000760C5"/>
    <w:rsid w:val="000777B7"/>
    <w:rsid w:val="00077E85"/>
    <w:rsid w:val="0008212D"/>
    <w:rsid w:val="00087C41"/>
    <w:rsid w:val="000A205D"/>
    <w:rsid w:val="000B442A"/>
    <w:rsid w:val="000B479E"/>
    <w:rsid w:val="000D6DA7"/>
    <w:rsid w:val="000E5C56"/>
    <w:rsid w:val="000E6C60"/>
    <w:rsid w:val="000F43C5"/>
    <w:rsid w:val="00101F12"/>
    <w:rsid w:val="001103E2"/>
    <w:rsid w:val="00117089"/>
    <w:rsid w:val="00125BB4"/>
    <w:rsid w:val="001355E6"/>
    <w:rsid w:val="001427E6"/>
    <w:rsid w:val="00151B49"/>
    <w:rsid w:val="001657D1"/>
    <w:rsid w:val="00166BC2"/>
    <w:rsid w:val="00172233"/>
    <w:rsid w:val="00184269"/>
    <w:rsid w:val="00186B53"/>
    <w:rsid w:val="0019193F"/>
    <w:rsid w:val="00191DD6"/>
    <w:rsid w:val="00197FE7"/>
    <w:rsid w:val="001A0282"/>
    <w:rsid w:val="001C0D59"/>
    <w:rsid w:val="001D227F"/>
    <w:rsid w:val="001D6343"/>
    <w:rsid w:val="001E0145"/>
    <w:rsid w:val="001E23CA"/>
    <w:rsid w:val="001F0543"/>
    <w:rsid w:val="001F0CA2"/>
    <w:rsid w:val="001F3A81"/>
    <w:rsid w:val="002065B8"/>
    <w:rsid w:val="002135A6"/>
    <w:rsid w:val="002154EF"/>
    <w:rsid w:val="00217E05"/>
    <w:rsid w:val="00220F7F"/>
    <w:rsid w:val="00224440"/>
    <w:rsid w:val="00224B0C"/>
    <w:rsid w:val="00257C12"/>
    <w:rsid w:val="002609E7"/>
    <w:rsid w:val="00265CE0"/>
    <w:rsid w:val="00266FFE"/>
    <w:rsid w:val="00267AEC"/>
    <w:rsid w:val="00272E2E"/>
    <w:rsid w:val="00274F92"/>
    <w:rsid w:val="00290932"/>
    <w:rsid w:val="002950F8"/>
    <w:rsid w:val="002B4C1D"/>
    <w:rsid w:val="002C3EC8"/>
    <w:rsid w:val="002C683E"/>
    <w:rsid w:val="002E433C"/>
    <w:rsid w:val="002F1265"/>
    <w:rsid w:val="002F48B0"/>
    <w:rsid w:val="00310383"/>
    <w:rsid w:val="0031719B"/>
    <w:rsid w:val="00321C6F"/>
    <w:rsid w:val="00327CC3"/>
    <w:rsid w:val="00331581"/>
    <w:rsid w:val="003332F2"/>
    <w:rsid w:val="00340EE6"/>
    <w:rsid w:val="00360412"/>
    <w:rsid w:val="00374511"/>
    <w:rsid w:val="00377438"/>
    <w:rsid w:val="0037796A"/>
    <w:rsid w:val="003812EE"/>
    <w:rsid w:val="003837BC"/>
    <w:rsid w:val="00385A41"/>
    <w:rsid w:val="00386CD0"/>
    <w:rsid w:val="00390300"/>
    <w:rsid w:val="003B1C58"/>
    <w:rsid w:val="003C0974"/>
    <w:rsid w:val="003C1934"/>
    <w:rsid w:val="003C323F"/>
    <w:rsid w:val="003D20A0"/>
    <w:rsid w:val="003D7D3D"/>
    <w:rsid w:val="003D7F34"/>
    <w:rsid w:val="003E3347"/>
    <w:rsid w:val="003E6445"/>
    <w:rsid w:val="003F5335"/>
    <w:rsid w:val="003F68E1"/>
    <w:rsid w:val="00406C54"/>
    <w:rsid w:val="00411FC6"/>
    <w:rsid w:val="00414A72"/>
    <w:rsid w:val="0041521E"/>
    <w:rsid w:val="00415432"/>
    <w:rsid w:val="004171D0"/>
    <w:rsid w:val="00433068"/>
    <w:rsid w:val="00441640"/>
    <w:rsid w:val="004501AE"/>
    <w:rsid w:val="00453831"/>
    <w:rsid w:val="004541E5"/>
    <w:rsid w:val="00455BAD"/>
    <w:rsid w:val="0046122D"/>
    <w:rsid w:val="0046226C"/>
    <w:rsid w:val="00470675"/>
    <w:rsid w:val="00472CE7"/>
    <w:rsid w:val="00491B5A"/>
    <w:rsid w:val="004922CD"/>
    <w:rsid w:val="004A012D"/>
    <w:rsid w:val="004B266D"/>
    <w:rsid w:val="004D08B6"/>
    <w:rsid w:val="004D6A3F"/>
    <w:rsid w:val="00506355"/>
    <w:rsid w:val="005123C8"/>
    <w:rsid w:val="00513527"/>
    <w:rsid w:val="005145F2"/>
    <w:rsid w:val="00524F15"/>
    <w:rsid w:val="00533123"/>
    <w:rsid w:val="0055401B"/>
    <w:rsid w:val="00556503"/>
    <w:rsid w:val="00556E32"/>
    <w:rsid w:val="00564C9C"/>
    <w:rsid w:val="00565B8D"/>
    <w:rsid w:val="0057020B"/>
    <w:rsid w:val="00570DF4"/>
    <w:rsid w:val="00573548"/>
    <w:rsid w:val="005769E7"/>
    <w:rsid w:val="0058798D"/>
    <w:rsid w:val="00590CEE"/>
    <w:rsid w:val="005915DF"/>
    <w:rsid w:val="00594CA2"/>
    <w:rsid w:val="00595C55"/>
    <w:rsid w:val="005A0A45"/>
    <w:rsid w:val="005A1712"/>
    <w:rsid w:val="005A1D38"/>
    <w:rsid w:val="005A5EEE"/>
    <w:rsid w:val="005B2977"/>
    <w:rsid w:val="005B47C3"/>
    <w:rsid w:val="005C3A05"/>
    <w:rsid w:val="005D297A"/>
    <w:rsid w:val="005D4A99"/>
    <w:rsid w:val="005E5E5D"/>
    <w:rsid w:val="005F6D40"/>
    <w:rsid w:val="00614020"/>
    <w:rsid w:val="00614E94"/>
    <w:rsid w:val="006178E4"/>
    <w:rsid w:val="0062635F"/>
    <w:rsid w:val="00626E35"/>
    <w:rsid w:val="0063091E"/>
    <w:rsid w:val="0063276A"/>
    <w:rsid w:val="00642970"/>
    <w:rsid w:val="0065091A"/>
    <w:rsid w:val="00650DE7"/>
    <w:rsid w:val="00657E4A"/>
    <w:rsid w:val="00664545"/>
    <w:rsid w:val="006656EE"/>
    <w:rsid w:val="006729B8"/>
    <w:rsid w:val="00672BB0"/>
    <w:rsid w:val="00672F46"/>
    <w:rsid w:val="00684A98"/>
    <w:rsid w:val="006A432D"/>
    <w:rsid w:val="006B541F"/>
    <w:rsid w:val="006C0415"/>
    <w:rsid w:val="006C59FB"/>
    <w:rsid w:val="006D2D9A"/>
    <w:rsid w:val="006D40C6"/>
    <w:rsid w:val="006D7C16"/>
    <w:rsid w:val="006E1FAB"/>
    <w:rsid w:val="006E3DE1"/>
    <w:rsid w:val="006F3F6D"/>
    <w:rsid w:val="006F5D00"/>
    <w:rsid w:val="0070737F"/>
    <w:rsid w:val="00726F13"/>
    <w:rsid w:val="00734D2D"/>
    <w:rsid w:val="007412E0"/>
    <w:rsid w:val="00767DA6"/>
    <w:rsid w:val="00773032"/>
    <w:rsid w:val="00774C7C"/>
    <w:rsid w:val="00782A7E"/>
    <w:rsid w:val="00785998"/>
    <w:rsid w:val="00786F0C"/>
    <w:rsid w:val="00794D84"/>
    <w:rsid w:val="007A2CE8"/>
    <w:rsid w:val="007C3AA7"/>
    <w:rsid w:val="007D4028"/>
    <w:rsid w:val="007D5CA8"/>
    <w:rsid w:val="007D6C77"/>
    <w:rsid w:val="007E1ABD"/>
    <w:rsid w:val="007F7538"/>
    <w:rsid w:val="0080239D"/>
    <w:rsid w:val="00810338"/>
    <w:rsid w:val="00842D40"/>
    <w:rsid w:val="0084433E"/>
    <w:rsid w:val="0085277E"/>
    <w:rsid w:val="00860A25"/>
    <w:rsid w:val="00861DE2"/>
    <w:rsid w:val="0087458D"/>
    <w:rsid w:val="00877D23"/>
    <w:rsid w:val="00881B55"/>
    <w:rsid w:val="00881CC1"/>
    <w:rsid w:val="008832E8"/>
    <w:rsid w:val="0089173B"/>
    <w:rsid w:val="00891F4F"/>
    <w:rsid w:val="008A64A7"/>
    <w:rsid w:val="008B0A95"/>
    <w:rsid w:val="008B5B9B"/>
    <w:rsid w:val="008B66C8"/>
    <w:rsid w:val="008C2761"/>
    <w:rsid w:val="008D4782"/>
    <w:rsid w:val="008E485B"/>
    <w:rsid w:val="008F2CE1"/>
    <w:rsid w:val="008F361C"/>
    <w:rsid w:val="00907E21"/>
    <w:rsid w:val="00913A49"/>
    <w:rsid w:val="00923BA9"/>
    <w:rsid w:val="009253FF"/>
    <w:rsid w:val="00926DE2"/>
    <w:rsid w:val="0093148C"/>
    <w:rsid w:val="00931E87"/>
    <w:rsid w:val="009338B6"/>
    <w:rsid w:val="00933B65"/>
    <w:rsid w:val="00940075"/>
    <w:rsid w:val="009513D3"/>
    <w:rsid w:val="00956751"/>
    <w:rsid w:val="00960C94"/>
    <w:rsid w:val="0096391D"/>
    <w:rsid w:val="009701EB"/>
    <w:rsid w:val="00972DFB"/>
    <w:rsid w:val="00981C2F"/>
    <w:rsid w:val="00991A43"/>
    <w:rsid w:val="00995626"/>
    <w:rsid w:val="009A23B1"/>
    <w:rsid w:val="009B3B22"/>
    <w:rsid w:val="009C0845"/>
    <w:rsid w:val="009E3D21"/>
    <w:rsid w:val="009F361B"/>
    <w:rsid w:val="00A06DA3"/>
    <w:rsid w:val="00A149D0"/>
    <w:rsid w:val="00A3042F"/>
    <w:rsid w:val="00A30929"/>
    <w:rsid w:val="00A45D31"/>
    <w:rsid w:val="00A635EE"/>
    <w:rsid w:val="00A67A78"/>
    <w:rsid w:val="00A712A9"/>
    <w:rsid w:val="00A810D2"/>
    <w:rsid w:val="00A84F92"/>
    <w:rsid w:val="00A86A8D"/>
    <w:rsid w:val="00A86BD5"/>
    <w:rsid w:val="00A952FB"/>
    <w:rsid w:val="00AA156F"/>
    <w:rsid w:val="00AA199C"/>
    <w:rsid w:val="00AA25A1"/>
    <w:rsid w:val="00AA5502"/>
    <w:rsid w:val="00AB400F"/>
    <w:rsid w:val="00AB79EC"/>
    <w:rsid w:val="00AC1132"/>
    <w:rsid w:val="00AE195C"/>
    <w:rsid w:val="00AE60DC"/>
    <w:rsid w:val="00B02EFB"/>
    <w:rsid w:val="00B042CE"/>
    <w:rsid w:val="00B11D4D"/>
    <w:rsid w:val="00B13898"/>
    <w:rsid w:val="00B1507E"/>
    <w:rsid w:val="00B15472"/>
    <w:rsid w:val="00B170ED"/>
    <w:rsid w:val="00B31C83"/>
    <w:rsid w:val="00B41D44"/>
    <w:rsid w:val="00B43B99"/>
    <w:rsid w:val="00B43DDB"/>
    <w:rsid w:val="00B51002"/>
    <w:rsid w:val="00B52844"/>
    <w:rsid w:val="00B57408"/>
    <w:rsid w:val="00B909A4"/>
    <w:rsid w:val="00B90B2C"/>
    <w:rsid w:val="00BB2B34"/>
    <w:rsid w:val="00BB3C2C"/>
    <w:rsid w:val="00BB470C"/>
    <w:rsid w:val="00BB69F4"/>
    <w:rsid w:val="00BB773A"/>
    <w:rsid w:val="00BC0611"/>
    <w:rsid w:val="00BC1EF7"/>
    <w:rsid w:val="00BC220A"/>
    <w:rsid w:val="00BD1757"/>
    <w:rsid w:val="00BD4EBE"/>
    <w:rsid w:val="00BE34CF"/>
    <w:rsid w:val="00BF01BD"/>
    <w:rsid w:val="00BF5437"/>
    <w:rsid w:val="00C01F6A"/>
    <w:rsid w:val="00C10797"/>
    <w:rsid w:val="00C15A7E"/>
    <w:rsid w:val="00C172B0"/>
    <w:rsid w:val="00C30814"/>
    <w:rsid w:val="00C468A8"/>
    <w:rsid w:val="00C51B29"/>
    <w:rsid w:val="00C5387A"/>
    <w:rsid w:val="00C6098F"/>
    <w:rsid w:val="00C628F1"/>
    <w:rsid w:val="00C7328A"/>
    <w:rsid w:val="00C93074"/>
    <w:rsid w:val="00C94414"/>
    <w:rsid w:val="00C97D21"/>
    <w:rsid w:val="00CA722B"/>
    <w:rsid w:val="00CB2738"/>
    <w:rsid w:val="00CB6C92"/>
    <w:rsid w:val="00CC026A"/>
    <w:rsid w:val="00CC68E0"/>
    <w:rsid w:val="00CD5AEE"/>
    <w:rsid w:val="00CE2542"/>
    <w:rsid w:val="00CE37A8"/>
    <w:rsid w:val="00CF0FE6"/>
    <w:rsid w:val="00D034F9"/>
    <w:rsid w:val="00D1486A"/>
    <w:rsid w:val="00D162CC"/>
    <w:rsid w:val="00D17E48"/>
    <w:rsid w:val="00D215D2"/>
    <w:rsid w:val="00D222D3"/>
    <w:rsid w:val="00D255A9"/>
    <w:rsid w:val="00D31818"/>
    <w:rsid w:val="00D31D54"/>
    <w:rsid w:val="00D37AC4"/>
    <w:rsid w:val="00D40254"/>
    <w:rsid w:val="00D42F26"/>
    <w:rsid w:val="00D44C2B"/>
    <w:rsid w:val="00D570C6"/>
    <w:rsid w:val="00D57632"/>
    <w:rsid w:val="00D90BC4"/>
    <w:rsid w:val="00D944B5"/>
    <w:rsid w:val="00DA3D04"/>
    <w:rsid w:val="00DB2D19"/>
    <w:rsid w:val="00DC3B0A"/>
    <w:rsid w:val="00DC699D"/>
    <w:rsid w:val="00DF7586"/>
    <w:rsid w:val="00E00AF0"/>
    <w:rsid w:val="00E22DC8"/>
    <w:rsid w:val="00E23121"/>
    <w:rsid w:val="00E24154"/>
    <w:rsid w:val="00E26925"/>
    <w:rsid w:val="00E2795E"/>
    <w:rsid w:val="00E3471E"/>
    <w:rsid w:val="00E4207F"/>
    <w:rsid w:val="00E45193"/>
    <w:rsid w:val="00E46355"/>
    <w:rsid w:val="00E67E3C"/>
    <w:rsid w:val="00E72B36"/>
    <w:rsid w:val="00E80736"/>
    <w:rsid w:val="00E82FF1"/>
    <w:rsid w:val="00E84250"/>
    <w:rsid w:val="00E86447"/>
    <w:rsid w:val="00E93C7A"/>
    <w:rsid w:val="00EA0A76"/>
    <w:rsid w:val="00EA3D98"/>
    <w:rsid w:val="00EA5EE8"/>
    <w:rsid w:val="00EB202F"/>
    <w:rsid w:val="00ED6BEE"/>
    <w:rsid w:val="00EE0431"/>
    <w:rsid w:val="00EE6B3A"/>
    <w:rsid w:val="00EE6CE7"/>
    <w:rsid w:val="00EF077D"/>
    <w:rsid w:val="00EF4389"/>
    <w:rsid w:val="00F003FC"/>
    <w:rsid w:val="00F07807"/>
    <w:rsid w:val="00F11303"/>
    <w:rsid w:val="00F1184A"/>
    <w:rsid w:val="00F125AD"/>
    <w:rsid w:val="00F31A7F"/>
    <w:rsid w:val="00F40619"/>
    <w:rsid w:val="00F43EB4"/>
    <w:rsid w:val="00F47052"/>
    <w:rsid w:val="00F50E29"/>
    <w:rsid w:val="00F54833"/>
    <w:rsid w:val="00F553C7"/>
    <w:rsid w:val="00F62896"/>
    <w:rsid w:val="00F648C0"/>
    <w:rsid w:val="00F6599B"/>
    <w:rsid w:val="00F75865"/>
    <w:rsid w:val="00F81420"/>
    <w:rsid w:val="00F85C8A"/>
    <w:rsid w:val="00FA0A2E"/>
    <w:rsid w:val="00FA2A43"/>
    <w:rsid w:val="00FA7FC0"/>
    <w:rsid w:val="00FB0516"/>
    <w:rsid w:val="00FB0F39"/>
    <w:rsid w:val="00FB2F6F"/>
    <w:rsid w:val="00FE0046"/>
    <w:rsid w:val="00FE3609"/>
    <w:rsid w:val="00FF48BE"/>
    <w:rsid w:val="00FF5F2D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90161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33B65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33B6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33B6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33B65"/>
  </w:style>
  <w:style w:type="table" w:styleId="TableGrid">
    <w:name w:val="Table Grid"/>
    <w:basedOn w:val="TableNormal"/>
    <w:rsid w:val="00933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D570C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570C6"/>
    <w:rPr>
      <w:rFonts w:ascii="Segoe UI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B0B2F-0DAB-43B9-BB0A-575FC1872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1524</Words>
  <Characters>7266</Characters>
  <Application>Microsoft Office Word</Application>
  <DocSecurity>0</DocSecurity>
  <Lines>60</Lines>
  <Paragraphs>17</Paragraphs>
  <ScaleCrop>false</ScaleCrop>
  <Company/>
  <LinksUpToDate>false</LinksUpToDate>
  <CharactersWithSpaces>8773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2018-09-18T13:40:00Z</dcterms:created>
  <dcterms:modified xsi:type="dcterms:W3CDTF">2018-09-18T13:40:00Z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