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261717" w:rsidRDefault="00266514" w:rsidP="00643BFC">
      <w:pPr>
        <w:jc w:val="center"/>
        <w:rPr>
          <w:rFonts w:ascii="Book Antiqua" w:hAnsi="Book Antiqua" w:cs="Arial"/>
          <w:caps/>
          <w:color w:val="000000"/>
          <w:sz w:val="16"/>
          <w:szCs w:val="16"/>
        </w:rPr>
      </w:pPr>
      <w:r w:rsidRPr="00261717">
        <w:rPr>
          <w:noProof/>
          <w:sz w:val="16"/>
          <w:szCs w:val="16"/>
        </w:rPr>
        <w:drawing>
          <wp:inline distT="0" distB="0" distL="0" distR="0">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B30CA9" w:rsidRPr="003C55E1" w:rsidRDefault="00643BFC" w:rsidP="003C55E1">
      <w:pPr>
        <w:tabs>
          <w:tab w:val="left" w:pos="5245"/>
          <w:tab w:val="right" w:pos="9720"/>
        </w:tabs>
        <w:ind w:right="-82"/>
        <w:rPr>
          <w:rFonts w:ascii="Book Antiqua" w:hAnsi="Book Antiqua" w:cs="Arial"/>
          <w:b/>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3C55E1">
        <w:rPr>
          <w:rFonts w:ascii="Book Antiqua" w:hAnsi="Book Antiqua" w:cs="Arial"/>
          <w:b/>
          <w:color w:val="000000"/>
        </w:rPr>
        <w:t xml:space="preserve">   </w:t>
      </w:r>
      <w:proofErr w:type="gramEnd"/>
      <w:r w:rsidR="003C55E1">
        <w:rPr>
          <w:rFonts w:ascii="Book Antiqua" w:hAnsi="Book Antiqua" w:cs="Arial"/>
          <w:b/>
          <w:color w:val="000000"/>
        </w:rPr>
        <w:t xml:space="preserve">                </w:t>
      </w:r>
      <w:r w:rsidR="00B3524D" w:rsidRPr="003C55E1">
        <w:rPr>
          <w:rFonts w:ascii="Book Antiqua" w:hAnsi="Book Antiqua" w:cs="Arial"/>
          <w:b/>
          <w:color w:val="000000"/>
        </w:rPr>
        <w:t>Appeal Number</w:t>
      </w:r>
      <w:r w:rsidR="00D53769" w:rsidRPr="003C55E1">
        <w:rPr>
          <w:rFonts w:ascii="Book Antiqua" w:hAnsi="Book Antiqua" w:cs="Arial"/>
          <w:b/>
          <w:color w:val="000000"/>
        </w:rPr>
        <w:t>:</w:t>
      </w:r>
      <w:r w:rsidR="00B3524D" w:rsidRPr="003C55E1">
        <w:rPr>
          <w:rFonts w:ascii="Book Antiqua" w:hAnsi="Book Antiqua" w:cs="Arial"/>
          <w:b/>
          <w:color w:val="000000"/>
        </w:rPr>
        <w:t xml:space="preserve"> </w:t>
      </w:r>
      <w:r w:rsidR="00B30CA9" w:rsidRPr="003C55E1">
        <w:rPr>
          <w:rFonts w:ascii="Book Antiqua" w:hAnsi="Book Antiqua" w:cs="Arial"/>
          <w:b/>
          <w:color w:val="000000"/>
        </w:rPr>
        <w:t>EA/03308/2016</w:t>
      </w:r>
    </w:p>
    <w:p w:rsidR="007B0824" w:rsidRPr="003C55E1" w:rsidRDefault="003C55E1" w:rsidP="003C55E1">
      <w:pPr>
        <w:tabs>
          <w:tab w:val="right" w:pos="9720"/>
        </w:tabs>
        <w:ind w:right="-82"/>
        <w:jc w:val="center"/>
        <w:rPr>
          <w:rFonts w:ascii="Book Antiqua" w:hAnsi="Book Antiqua" w:cs="Arial"/>
          <w:b/>
          <w:caps/>
          <w:color w:val="000000"/>
        </w:rPr>
      </w:pPr>
      <w:r>
        <w:rPr>
          <w:rFonts w:ascii="Book Antiqua" w:hAnsi="Book Antiqua" w:cs="Arial"/>
          <w:b/>
          <w:caps/>
          <w:color w:val="000000"/>
        </w:rPr>
        <w:t xml:space="preserve">                                                                                                   </w:t>
      </w:r>
      <w:r w:rsidR="00B449B4" w:rsidRPr="003C55E1">
        <w:rPr>
          <w:rFonts w:ascii="Book Antiqua" w:hAnsi="Book Antiqua" w:cs="Arial"/>
          <w:b/>
          <w:caps/>
          <w:color w:val="000000"/>
        </w:rPr>
        <w:t>EA/03313/2016</w:t>
      </w:r>
    </w:p>
    <w:p w:rsidR="00B30CA9" w:rsidRPr="003C55E1" w:rsidRDefault="003C55E1" w:rsidP="003C55E1">
      <w:pPr>
        <w:tabs>
          <w:tab w:val="right" w:pos="9720"/>
        </w:tabs>
        <w:ind w:right="-82"/>
        <w:jc w:val="center"/>
        <w:rPr>
          <w:rFonts w:ascii="Book Antiqua" w:hAnsi="Book Antiqua" w:cs="Arial"/>
          <w:b/>
          <w:caps/>
          <w:color w:val="000000"/>
        </w:rPr>
      </w:pPr>
      <w:r>
        <w:rPr>
          <w:rFonts w:ascii="Book Antiqua" w:hAnsi="Book Antiqua" w:cs="Arial"/>
          <w:b/>
          <w:caps/>
          <w:color w:val="000000"/>
        </w:rPr>
        <w:t xml:space="preserve">                                                                                                   </w:t>
      </w:r>
      <w:r w:rsidR="00B30CA9" w:rsidRPr="003C55E1">
        <w:rPr>
          <w:rFonts w:ascii="Book Antiqua" w:hAnsi="Book Antiqua" w:cs="Arial"/>
          <w:b/>
          <w:caps/>
          <w:color w:val="000000"/>
        </w:rPr>
        <w:t>ea/03314/2016</w:t>
      </w:r>
    </w:p>
    <w:p w:rsidR="00B30CA9" w:rsidRPr="003C55E1" w:rsidRDefault="003C55E1" w:rsidP="003C55E1">
      <w:pPr>
        <w:tabs>
          <w:tab w:val="right" w:pos="9720"/>
        </w:tabs>
        <w:ind w:right="-82"/>
        <w:jc w:val="center"/>
        <w:rPr>
          <w:rFonts w:ascii="Book Antiqua" w:hAnsi="Book Antiqua" w:cs="Arial"/>
          <w:b/>
          <w:caps/>
          <w:color w:val="000000"/>
        </w:rPr>
      </w:pPr>
      <w:r>
        <w:rPr>
          <w:rFonts w:ascii="Book Antiqua" w:hAnsi="Book Antiqua" w:cs="Arial"/>
          <w:b/>
          <w:caps/>
          <w:color w:val="000000"/>
        </w:rPr>
        <w:t xml:space="preserve">                                                                                                   </w:t>
      </w:r>
      <w:r w:rsidR="00B30CA9" w:rsidRPr="003C55E1">
        <w:rPr>
          <w:rFonts w:ascii="Book Antiqua" w:hAnsi="Book Antiqua" w:cs="Arial"/>
          <w:b/>
          <w:caps/>
          <w:color w:val="000000"/>
        </w:rPr>
        <w:t>EA/03315/2016</w:t>
      </w:r>
    </w:p>
    <w:p w:rsidR="00B30CA9" w:rsidRPr="003C55E1" w:rsidRDefault="003C55E1" w:rsidP="003C55E1">
      <w:pPr>
        <w:tabs>
          <w:tab w:val="right" w:pos="9720"/>
        </w:tabs>
        <w:ind w:right="-82"/>
        <w:jc w:val="center"/>
        <w:rPr>
          <w:rFonts w:ascii="Book Antiqua" w:hAnsi="Book Antiqua" w:cs="Arial"/>
          <w:b/>
          <w:caps/>
          <w:color w:val="000000"/>
        </w:rPr>
      </w:pPr>
      <w:r>
        <w:rPr>
          <w:rFonts w:ascii="Book Antiqua" w:hAnsi="Book Antiqua" w:cs="Arial"/>
          <w:b/>
          <w:caps/>
          <w:color w:val="000000"/>
        </w:rPr>
        <w:t xml:space="preserve">                                                                                                   </w:t>
      </w:r>
      <w:r w:rsidR="00B30CA9" w:rsidRPr="003C55E1">
        <w:rPr>
          <w:rFonts w:ascii="Book Antiqua" w:hAnsi="Book Antiqua" w:cs="Arial"/>
          <w:b/>
          <w:caps/>
          <w:color w:val="000000"/>
        </w:rPr>
        <w:t>EA/03321/2016</w:t>
      </w:r>
    </w:p>
    <w:p w:rsidR="00B30CA9" w:rsidRPr="003C55E1" w:rsidRDefault="003C55E1" w:rsidP="003C55E1">
      <w:pPr>
        <w:tabs>
          <w:tab w:val="right" w:pos="9720"/>
        </w:tabs>
        <w:ind w:right="-82"/>
        <w:jc w:val="center"/>
        <w:rPr>
          <w:rFonts w:ascii="Book Antiqua" w:hAnsi="Book Antiqua" w:cs="Arial"/>
          <w:b/>
          <w:caps/>
          <w:color w:val="000000"/>
        </w:rPr>
      </w:pPr>
      <w:r>
        <w:rPr>
          <w:rFonts w:ascii="Book Antiqua" w:hAnsi="Book Antiqua" w:cs="Arial"/>
          <w:b/>
          <w:caps/>
          <w:color w:val="000000"/>
        </w:rPr>
        <w:t xml:space="preserve">                                                                                                   </w:t>
      </w:r>
      <w:r w:rsidR="00B30CA9" w:rsidRPr="003C55E1">
        <w:rPr>
          <w:rFonts w:ascii="Book Antiqua" w:hAnsi="Book Antiqua" w:cs="Arial"/>
          <w:b/>
          <w:caps/>
          <w:color w:val="000000"/>
        </w:rPr>
        <w:t>EA/03322/2016</w:t>
      </w:r>
    </w:p>
    <w:p w:rsidR="00B30CA9" w:rsidRPr="003C55E1" w:rsidRDefault="003C55E1" w:rsidP="003C55E1">
      <w:pPr>
        <w:tabs>
          <w:tab w:val="right" w:pos="9720"/>
        </w:tabs>
        <w:ind w:right="-82"/>
        <w:jc w:val="center"/>
        <w:rPr>
          <w:rFonts w:ascii="Book Antiqua" w:hAnsi="Book Antiqua" w:cs="Arial"/>
          <w:b/>
          <w:color w:val="000000"/>
        </w:rPr>
      </w:pPr>
      <w:r>
        <w:rPr>
          <w:rFonts w:ascii="Book Antiqua" w:hAnsi="Book Antiqua" w:cs="Arial"/>
          <w:b/>
          <w:caps/>
          <w:color w:val="000000"/>
        </w:rPr>
        <w:t xml:space="preserve">                                                                                                   </w:t>
      </w:r>
      <w:r w:rsidR="00B30CA9" w:rsidRPr="003C55E1">
        <w:rPr>
          <w:rFonts w:ascii="Book Antiqua" w:hAnsi="Book Antiqua" w:cs="Arial"/>
          <w:b/>
          <w:caps/>
          <w:color w:val="000000"/>
        </w:rPr>
        <w:t>EA/03323/2016</w:t>
      </w: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62"/>
        <w:gridCol w:w="5046"/>
      </w:tblGrid>
      <w:tr w:rsidR="00D22636" w:rsidRPr="000704BB" w:rsidTr="003C55E1">
        <w:tc>
          <w:tcPr>
            <w:tcW w:w="4962"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B30CA9">
              <w:rPr>
                <w:rFonts w:ascii="Book Antiqua" w:hAnsi="Book Antiqua" w:cs="Arial"/>
                <w:b/>
              </w:rPr>
              <w:t>Field House</w:t>
            </w:r>
          </w:p>
        </w:tc>
        <w:tc>
          <w:tcPr>
            <w:tcW w:w="5046" w:type="dxa"/>
          </w:tcPr>
          <w:p w:rsidR="00D22636" w:rsidRPr="000704BB" w:rsidRDefault="003C55E1" w:rsidP="00093D4D">
            <w:pPr>
              <w:jc w:val="both"/>
              <w:rPr>
                <w:rFonts w:ascii="Book Antiqua" w:hAnsi="Book Antiqua" w:cs="Arial"/>
                <w:b/>
                <w:color w:val="000000"/>
              </w:rPr>
            </w:pPr>
            <w:r>
              <w:rPr>
                <w:rFonts w:ascii="Book Antiqua" w:hAnsi="Book Antiqua" w:cs="Arial"/>
                <w:b/>
                <w:color w:val="000000"/>
              </w:rPr>
              <w:t xml:space="preserve"> </w:t>
            </w:r>
            <w:r w:rsidR="00C7558F">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3C55E1">
        <w:tc>
          <w:tcPr>
            <w:tcW w:w="4962"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B30CA9">
              <w:rPr>
                <w:rFonts w:ascii="Book Antiqua" w:hAnsi="Book Antiqua" w:cs="Arial"/>
                <w:b/>
              </w:rPr>
              <w:t>20 June 2018</w:t>
            </w:r>
          </w:p>
        </w:tc>
        <w:tc>
          <w:tcPr>
            <w:tcW w:w="5046" w:type="dxa"/>
          </w:tcPr>
          <w:p w:rsidR="00D22636" w:rsidRPr="000704BB" w:rsidRDefault="003C55E1" w:rsidP="004A1848">
            <w:pPr>
              <w:jc w:val="both"/>
              <w:rPr>
                <w:rFonts w:ascii="Book Antiqua" w:hAnsi="Book Antiqua" w:cs="Arial"/>
                <w:b/>
              </w:rPr>
            </w:pPr>
            <w:r>
              <w:rPr>
                <w:rFonts w:ascii="Book Antiqua" w:hAnsi="Book Antiqua" w:cs="Arial"/>
                <w:b/>
              </w:rPr>
              <w:t xml:space="preserve"> </w:t>
            </w:r>
            <w:r w:rsidR="006B71D4">
              <w:rPr>
                <w:rFonts w:ascii="Book Antiqua" w:hAnsi="Book Antiqua" w:cs="Arial"/>
                <w:b/>
              </w:rPr>
              <w:t>On 29 June 2018</w:t>
            </w:r>
          </w:p>
        </w:tc>
      </w:tr>
      <w:tr w:rsidR="00D22636" w:rsidRPr="000704BB" w:rsidTr="003C55E1">
        <w:tc>
          <w:tcPr>
            <w:tcW w:w="4962" w:type="dxa"/>
          </w:tcPr>
          <w:p w:rsidR="00D22636" w:rsidRPr="000704BB" w:rsidRDefault="00D22636" w:rsidP="004A1848">
            <w:pPr>
              <w:jc w:val="both"/>
              <w:rPr>
                <w:rFonts w:ascii="Book Antiqua" w:hAnsi="Book Antiqua" w:cs="Arial"/>
                <w:b/>
              </w:rPr>
            </w:pPr>
          </w:p>
        </w:tc>
        <w:tc>
          <w:tcPr>
            <w:tcW w:w="5046" w:type="dxa"/>
          </w:tcPr>
          <w:p w:rsidR="00D22636" w:rsidRPr="000704BB" w:rsidRDefault="00D2263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3C55E1" w:rsidRDefault="003C55E1" w:rsidP="00A15234">
      <w:pPr>
        <w:jc w:val="center"/>
        <w:rPr>
          <w:rFonts w:ascii="Book Antiqua" w:hAnsi="Book Antiqua" w:cs="Arial"/>
          <w:b/>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6D6955" w:rsidP="00A15234">
      <w:pPr>
        <w:jc w:val="center"/>
        <w:rPr>
          <w:rFonts w:ascii="Book Antiqua" w:hAnsi="Book Antiqua" w:cs="Arial"/>
          <w:b/>
          <w:color w:val="000000"/>
        </w:rPr>
      </w:pPr>
      <w:r>
        <w:rPr>
          <w:rFonts w:ascii="Book Antiqua" w:hAnsi="Book Antiqua" w:cs="Arial"/>
          <w:b/>
          <w:color w:val="000000"/>
        </w:rPr>
        <w:t xml:space="preserve">UPPER TRIBUNAL </w:t>
      </w:r>
      <w:r w:rsidR="001B2F75" w:rsidRPr="000704BB">
        <w:rPr>
          <w:rFonts w:ascii="Book Antiqua" w:hAnsi="Book Antiqua" w:cs="Arial"/>
          <w:b/>
          <w:color w:val="000000"/>
        </w:rPr>
        <w:t xml:space="preserve">JUDGE </w:t>
      </w:r>
      <w:proofErr w:type="spellStart"/>
      <w:r w:rsidR="000B6967">
        <w:rPr>
          <w:rFonts w:ascii="Book Antiqua" w:hAnsi="Book Antiqua" w:cs="Arial"/>
          <w:b/>
          <w:color w:val="000000"/>
        </w:rPr>
        <w:t>Mc</w:t>
      </w:r>
      <w:r w:rsidR="008856CB">
        <w:rPr>
          <w:rFonts w:ascii="Book Antiqua" w:hAnsi="Book Antiqua" w:cs="Arial"/>
          <w:b/>
          <w:color w:val="000000"/>
        </w:rPr>
        <w:t>WILLIAM</w:t>
      </w:r>
      <w:proofErr w:type="spellEnd"/>
    </w:p>
    <w:p w:rsidR="001B186A" w:rsidRPr="000704BB" w:rsidRDefault="001B186A" w:rsidP="00B449B4">
      <w:pPr>
        <w:rPr>
          <w:rFonts w:ascii="Book Antiqua" w:hAnsi="Book Antiqua" w:cs="Arial"/>
          <w:b/>
          <w:color w:val="000000"/>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266514" w:rsidRPr="00266514" w:rsidRDefault="00266514" w:rsidP="00266514">
      <w:pPr>
        <w:spacing w:before="60" w:after="60"/>
        <w:jc w:val="center"/>
        <w:rPr>
          <w:rFonts w:ascii="Book Antiqua" w:hAnsi="Book Antiqua" w:cs="Arial"/>
          <w:b/>
          <w:szCs w:val="22"/>
        </w:rPr>
      </w:pPr>
      <w:r w:rsidRPr="00266514">
        <w:rPr>
          <w:rFonts w:ascii="Book Antiqua" w:hAnsi="Book Antiqua" w:cs="Arial"/>
          <w:b/>
          <w:szCs w:val="22"/>
        </w:rPr>
        <w:t>FK (FIRST APPELLANT)</w:t>
      </w:r>
    </w:p>
    <w:p w:rsidR="00266514" w:rsidRPr="00266514" w:rsidRDefault="00266514" w:rsidP="00266514">
      <w:pPr>
        <w:spacing w:before="60" w:after="60"/>
        <w:jc w:val="center"/>
        <w:rPr>
          <w:rFonts w:ascii="Book Antiqua" w:hAnsi="Book Antiqua" w:cs="Arial"/>
          <w:b/>
          <w:szCs w:val="22"/>
        </w:rPr>
      </w:pPr>
      <w:r w:rsidRPr="00266514">
        <w:rPr>
          <w:rFonts w:ascii="Book Antiqua" w:hAnsi="Book Antiqua" w:cs="Arial"/>
          <w:b/>
          <w:szCs w:val="22"/>
        </w:rPr>
        <w:t>ZK (SECOND APPELLANT)</w:t>
      </w:r>
    </w:p>
    <w:p w:rsidR="00266514" w:rsidRPr="00266514" w:rsidRDefault="00266514" w:rsidP="00266514">
      <w:pPr>
        <w:spacing w:before="60" w:after="60"/>
        <w:jc w:val="center"/>
        <w:rPr>
          <w:rFonts w:ascii="Book Antiqua" w:hAnsi="Book Antiqua" w:cs="Arial"/>
          <w:b/>
          <w:szCs w:val="22"/>
        </w:rPr>
      </w:pPr>
      <w:r w:rsidRPr="00266514">
        <w:rPr>
          <w:rFonts w:ascii="Book Antiqua" w:hAnsi="Book Antiqua" w:cs="Arial"/>
          <w:b/>
          <w:szCs w:val="22"/>
        </w:rPr>
        <w:t>MK (THIRD APPELLANT)</w:t>
      </w:r>
    </w:p>
    <w:p w:rsidR="00266514" w:rsidRPr="00266514" w:rsidRDefault="00266514" w:rsidP="00266514">
      <w:pPr>
        <w:spacing w:before="60" w:after="60"/>
        <w:jc w:val="center"/>
        <w:rPr>
          <w:rFonts w:ascii="Book Antiqua" w:hAnsi="Book Antiqua" w:cs="Arial"/>
          <w:b/>
          <w:szCs w:val="22"/>
        </w:rPr>
      </w:pPr>
      <w:r w:rsidRPr="00266514">
        <w:rPr>
          <w:rFonts w:ascii="Book Antiqua" w:hAnsi="Book Antiqua" w:cs="Arial"/>
          <w:b/>
          <w:szCs w:val="22"/>
        </w:rPr>
        <w:t>LK (FOURTH APPELLANT)</w:t>
      </w:r>
    </w:p>
    <w:p w:rsidR="00266514" w:rsidRPr="00266514" w:rsidRDefault="00266514" w:rsidP="00266514">
      <w:pPr>
        <w:spacing w:before="60" w:after="60"/>
        <w:jc w:val="center"/>
        <w:rPr>
          <w:rFonts w:ascii="Book Antiqua" w:hAnsi="Book Antiqua" w:cs="Arial"/>
          <w:b/>
          <w:szCs w:val="22"/>
        </w:rPr>
      </w:pPr>
      <w:r w:rsidRPr="00266514">
        <w:rPr>
          <w:rFonts w:ascii="Book Antiqua" w:hAnsi="Book Antiqua" w:cs="Arial"/>
          <w:b/>
          <w:szCs w:val="22"/>
        </w:rPr>
        <w:t>AH (FIFTH APPELLANT)</w:t>
      </w:r>
    </w:p>
    <w:p w:rsidR="00266514" w:rsidRPr="00266514" w:rsidRDefault="00266514" w:rsidP="00266514">
      <w:pPr>
        <w:spacing w:before="60" w:after="60"/>
        <w:jc w:val="center"/>
        <w:rPr>
          <w:rFonts w:ascii="Book Antiqua" w:hAnsi="Book Antiqua" w:cs="Arial"/>
          <w:b/>
          <w:szCs w:val="22"/>
        </w:rPr>
      </w:pPr>
      <w:r w:rsidRPr="00266514">
        <w:rPr>
          <w:rFonts w:ascii="Book Antiqua" w:hAnsi="Book Antiqua" w:cs="Arial"/>
          <w:b/>
          <w:szCs w:val="22"/>
        </w:rPr>
        <w:t>IK (SIXTH APPELLANT)</w:t>
      </w:r>
    </w:p>
    <w:p w:rsidR="00A845DC" w:rsidRPr="00266514" w:rsidRDefault="001B1EA2" w:rsidP="00266514">
      <w:pPr>
        <w:jc w:val="center"/>
        <w:rPr>
          <w:rFonts w:ascii="Book Antiqua" w:hAnsi="Book Antiqua" w:cs="Arial"/>
          <w:b/>
          <w:caps/>
          <w:sz w:val="28"/>
        </w:rPr>
      </w:pPr>
      <w:r>
        <w:rPr>
          <w:rFonts w:ascii="Book Antiqua" w:hAnsi="Book Antiqua" w:cs="Arial"/>
          <w:b/>
          <w:szCs w:val="22"/>
        </w:rPr>
        <w:t>M</w:t>
      </w:r>
      <w:r w:rsidR="00D5181D">
        <w:rPr>
          <w:rFonts w:ascii="Book Antiqua" w:hAnsi="Book Antiqua" w:cs="Arial"/>
          <w:b/>
          <w:szCs w:val="22"/>
        </w:rPr>
        <w:t>A</w:t>
      </w:r>
      <w:r w:rsidR="00266514" w:rsidRPr="00266514">
        <w:rPr>
          <w:rFonts w:ascii="Book Antiqua" w:hAnsi="Book Antiqua" w:cs="Arial"/>
          <w:b/>
          <w:szCs w:val="22"/>
        </w:rPr>
        <w:t xml:space="preserve"> (SEVENTH APPELLANT)</w:t>
      </w:r>
    </w:p>
    <w:p w:rsidR="00C7558F" w:rsidRPr="000F6B39" w:rsidRDefault="00C7558F" w:rsidP="00C7558F">
      <w:pPr>
        <w:jc w:val="center"/>
        <w:rPr>
          <w:rFonts w:ascii="Book Antiqua" w:hAnsi="Book Antiqua" w:cs="Arial"/>
          <w:caps/>
        </w:rPr>
      </w:pPr>
      <w:r w:rsidRPr="000F6B39">
        <w:rPr>
          <w:rFonts w:ascii="Book Antiqua" w:hAnsi="Book Antiqua" w:cs="Arial"/>
          <w:caps/>
        </w:rPr>
        <w:t xml:space="preserve">(ANONYMITY DIRECTION </w:t>
      </w:r>
      <w:r w:rsidR="00A051E7" w:rsidRPr="000F6B39">
        <w:rPr>
          <w:rFonts w:ascii="Book Antiqua" w:hAnsi="Book Antiqua" w:cs="Arial"/>
          <w:caps/>
        </w:rPr>
        <w:t>made</w:t>
      </w:r>
      <w:r w:rsidRPr="000F6B39">
        <w:rPr>
          <w:rFonts w:ascii="Book Antiqua" w:hAnsi="Book Antiqua" w:cs="Arial"/>
          <w:caps/>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3C55E1" w:rsidRDefault="003C55E1" w:rsidP="00704B61">
      <w:pPr>
        <w:jc w:val="center"/>
        <w:rPr>
          <w:rFonts w:ascii="Book Antiqua" w:hAnsi="Book Antiqua" w:cs="Arial"/>
          <w:b/>
        </w:rPr>
      </w:pP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Default="00DD5071" w:rsidP="00704B61">
      <w:pPr>
        <w:jc w:val="center"/>
        <w:rPr>
          <w:rFonts w:ascii="Book Antiqua" w:hAnsi="Book Antiqua" w:cs="Arial"/>
          <w:b/>
        </w:rPr>
      </w:pPr>
    </w:p>
    <w:p w:rsidR="003C55E1" w:rsidRPr="000704BB" w:rsidRDefault="003C55E1" w:rsidP="00704B61">
      <w:pPr>
        <w:jc w:val="center"/>
        <w:rPr>
          <w:rFonts w:ascii="Book Antiqua" w:hAnsi="Book Antiqua" w:cs="Arial"/>
          <w:b/>
        </w:rPr>
      </w:pPr>
      <w:r>
        <w:rPr>
          <w:rFonts w:ascii="Book Antiqua" w:hAnsi="Book Antiqua" w:cs="Arial"/>
          <w:b/>
        </w:rPr>
        <w:t>THE SECRETARY OF STATE FOR THE HOME DEPARTMENT</w:t>
      </w:r>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Default="00DE7DB7" w:rsidP="00DD5071">
      <w:pPr>
        <w:rPr>
          <w:rFonts w:ascii="Book Antiqua" w:hAnsi="Book Antiqua" w:cs="Arial"/>
          <w:b/>
        </w:rPr>
      </w:pPr>
      <w:r w:rsidRPr="000704BB">
        <w:rPr>
          <w:rFonts w:ascii="Book Antiqua" w:hAnsi="Book Antiqua" w:cs="Arial"/>
          <w:b/>
          <w:u w:val="single"/>
        </w:rPr>
        <w:t>Representation</w:t>
      </w:r>
      <w:r w:rsidRPr="000704BB">
        <w:rPr>
          <w:rFonts w:ascii="Book Antiqua" w:hAnsi="Book Antiqua" w:cs="Arial"/>
          <w:b/>
        </w:rPr>
        <w:t>:</w:t>
      </w:r>
    </w:p>
    <w:p w:rsidR="000F6B39" w:rsidRPr="000704BB" w:rsidRDefault="000F6B39" w:rsidP="00DD5071">
      <w:pPr>
        <w:rPr>
          <w:rFonts w:ascii="Book Antiqua" w:hAnsi="Book Antiqua" w:cs="Arial"/>
        </w:rPr>
      </w:pPr>
      <w:bookmarkStart w:id="0" w:name="_GoBack"/>
      <w:bookmarkEnd w:id="0"/>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B449B4">
        <w:rPr>
          <w:rFonts w:ascii="Book Antiqua" w:hAnsi="Book Antiqua" w:cs="Arial"/>
        </w:rPr>
        <w:t>A Allam of Counsel instructed by S-K Solicitors</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B449B4">
        <w:rPr>
          <w:rFonts w:ascii="Book Antiqua" w:hAnsi="Book Antiqua" w:cs="Arial"/>
        </w:rPr>
        <w:t>Mr T Melvin</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Default="00C7558F"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C7558F" w:rsidRPr="000704BB" w:rsidRDefault="00C7558F" w:rsidP="00402B9E">
      <w:pPr>
        <w:tabs>
          <w:tab w:val="left" w:pos="2520"/>
        </w:tabs>
        <w:jc w:val="center"/>
        <w:rPr>
          <w:rFonts w:ascii="Book Antiqua" w:hAnsi="Book Antiqua" w:cs="Arial"/>
        </w:rPr>
      </w:pPr>
    </w:p>
    <w:p w:rsidR="009635CA" w:rsidRDefault="00402B9E" w:rsidP="00BF23BB">
      <w:pPr>
        <w:tabs>
          <w:tab w:val="left" w:pos="567"/>
        </w:tabs>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B449B4">
        <w:rPr>
          <w:rFonts w:ascii="Book Antiqua" w:hAnsi="Book Antiqua" w:cs="Arial"/>
        </w:rPr>
        <w:t xml:space="preserve">The Appellant, </w:t>
      </w:r>
      <w:r w:rsidR="009635CA">
        <w:rPr>
          <w:rFonts w:ascii="Book Antiqua" w:hAnsi="Book Antiqua" w:cs="Arial"/>
        </w:rPr>
        <w:t>FK</w:t>
      </w:r>
      <w:r w:rsidR="00B449B4">
        <w:rPr>
          <w:rFonts w:ascii="Book Antiqua" w:hAnsi="Book Antiqua" w:cs="Arial"/>
        </w:rPr>
        <w:t xml:space="preserve">, is a citizen of Pakistan.  Her date of birth is 3 April 1975.  </w:t>
      </w:r>
      <w:r w:rsidR="009635CA">
        <w:rPr>
          <w:rFonts w:ascii="Book Antiqua" w:hAnsi="Book Antiqua" w:cs="Arial"/>
        </w:rPr>
        <w:t>The remaining Appellants are her and the Sponsor’s children, namely ZK (date of birth 19 July 1988), MK (date of birth 24 September 1999), KL (date of birth 15 September 2002), AH (date of birth 20 June 2004), IK (date of birth 12 December 2008), M</w:t>
      </w:r>
      <w:r w:rsidR="007E6AE8">
        <w:rPr>
          <w:rFonts w:ascii="Book Antiqua" w:hAnsi="Book Antiqua" w:cs="Arial"/>
        </w:rPr>
        <w:t>A</w:t>
      </w:r>
      <w:r w:rsidR="009635CA">
        <w:rPr>
          <w:rFonts w:ascii="Book Antiqua" w:hAnsi="Book Antiqua" w:cs="Arial"/>
        </w:rPr>
        <w:t xml:space="preserve"> (date of birth 19 June 2010).  They are all citizens of Pakistan.  Their father, the Sponsor, </w:t>
      </w:r>
      <w:r w:rsidR="007E6AE8">
        <w:rPr>
          <w:rFonts w:ascii="Book Antiqua" w:hAnsi="Book Antiqua" w:cs="Arial"/>
        </w:rPr>
        <w:t>MKB, is a</w:t>
      </w:r>
      <w:r w:rsidR="009635CA">
        <w:rPr>
          <w:rFonts w:ascii="Book Antiqua" w:hAnsi="Book Antiqua" w:cs="Arial"/>
        </w:rPr>
        <w:t xml:space="preserve"> </w:t>
      </w:r>
      <w:r w:rsidR="005311A2">
        <w:rPr>
          <w:rFonts w:ascii="Book Antiqua" w:hAnsi="Book Antiqua" w:cs="Arial"/>
        </w:rPr>
        <w:t>Portuguese</w:t>
      </w:r>
      <w:r w:rsidR="009635CA">
        <w:rPr>
          <w:rFonts w:ascii="Book Antiqua" w:hAnsi="Book Antiqua" w:cs="Arial"/>
        </w:rPr>
        <w:t xml:space="preserve"> citizen purporting to exercise treaty rights</w:t>
      </w:r>
      <w:r w:rsidR="000C11E7">
        <w:rPr>
          <w:rFonts w:ascii="Book Antiqua" w:hAnsi="Book Antiqua" w:cs="Arial"/>
        </w:rPr>
        <w:t xml:space="preserve"> here</w:t>
      </w:r>
      <w:r w:rsidR="009635CA">
        <w:rPr>
          <w:rFonts w:ascii="Book Antiqua" w:hAnsi="Book Antiqua" w:cs="Arial"/>
        </w:rPr>
        <w:t xml:space="preserve"> in the UK.  </w:t>
      </w:r>
    </w:p>
    <w:p w:rsidR="007E6AE8" w:rsidRDefault="007E6AE8" w:rsidP="00BF23BB">
      <w:pPr>
        <w:tabs>
          <w:tab w:val="left" w:pos="567"/>
        </w:tabs>
        <w:ind w:left="567" w:hanging="567"/>
        <w:jc w:val="both"/>
        <w:rPr>
          <w:rFonts w:ascii="Book Antiqua" w:hAnsi="Book Antiqua" w:cs="Arial"/>
        </w:rPr>
      </w:pPr>
    </w:p>
    <w:p w:rsidR="007E6AE8" w:rsidRDefault="007E6AE8" w:rsidP="00BF23BB">
      <w:pPr>
        <w:tabs>
          <w:tab w:val="left" w:pos="567"/>
        </w:tabs>
        <w:ind w:left="567" w:hanging="567"/>
        <w:jc w:val="both"/>
        <w:rPr>
          <w:rFonts w:ascii="Book Antiqua" w:hAnsi="Book Antiqua" w:cs="Arial"/>
        </w:rPr>
      </w:pPr>
    </w:p>
    <w:p w:rsidR="00BF23BB" w:rsidRDefault="009635CA"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r>
      <w:r w:rsidR="000B2AEA">
        <w:rPr>
          <w:rFonts w:ascii="Book Antiqua" w:hAnsi="Book Antiqua" w:cs="Arial"/>
        </w:rPr>
        <w:t>Th</w:t>
      </w:r>
      <w:r w:rsidR="00F92AF6">
        <w:rPr>
          <w:rFonts w:ascii="Book Antiqua" w:hAnsi="Book Antiqua" w:cs="Arial"/>
        </w:rPr>
        <w:t>e Appellant</w:t>
      </w:r>
      <w:r w:rsidR="00B449B4">
        <w:rPr>
          <w:rFonts w:ascii="Book Antiqua" w:hAnsi="Book Antiqua" w:cs="Arial"/>
        </w:rPr>
        <w:t xml:space="preserve"> along with her six children made an application for entry clearance under the EEA 2006 Regulations to join </w:t>
      </w:r>
      <w:r w:rsidR="007E6AE8">
        <w:rPr>
          <w:rFonts w:ascii="Book Antiqua" w:hAnsi="Book Antiqua" w:cs="Arial"/>
        </w:rPr>
        <w:t xml:space="preserve">the Sponsor. </w:t>
      </w:r>
      <w:r w:rsidR="00B449B4">
        <w:rPr>
          <w:rFonts w:ascii="Book Antiqua" w:hAnsi="Book Antiqua" w:cs="Arial"/>
        </w:rPr>
        <w:t xml:space="preserve"> The application was refused by the ECO on 22 February 2016.  The ECO was not satisfied that the evidence relied on by the Appellants was sufficient to establish their relationship with the Sponsor.  The Appellants appealed against the decision of the ECO.  Their appeals were allowed by Judge of the First-tier Tribunal N M K Lawrence in a decision dated 9 July 2017</w:t>
      </w:r>
      <w:r w:rsidR="007E6AE8">
        <w:rPr>
          <w:rFonts w:ascii="Book Antiqua" w:hAnsi="Book Antiqua" w:cs="Arial"/>
        </w:rPr>
        <w:t>,</w:t>
      </w:r>
      <w:r w:rsidR="00B449B4">
        <w:rPr>
          <w:rFonts w:ascii="Book Antiqua" w:hAnsi="Book Antiqua" w:cs="Arial"/>
        </w:rPr>
        <w:t xml:space="preserve"> following a hearing on 22 June 2017.  I set aside the decision of Judge Lawrence having concluded that he materially erred for the following reasons:</w:t>
      </w:r>
    </w:p>
    <w:p w:rsidR="000B2AEA" w:rsidRDefault="000B2AEA" w:rsidP="00BF23BB">
      <w:pPr>
        <w:tabs>
          <w:tab w:val="left" w:pos="567"/>
        </w:tabs>
        <w:ind w:left="567" w:hanging="567"/>
        <w:jc w:val="both"/>
        <w:rPr>
          <w:rFonts w:ascii="Book Antiqua" w:hAnsi="Book Antiqua" w:cs="Arial"/>
          <w:b/>
        </w:rPr>
      </w:pPr>
    </w:p>
    <w:p w:rsidR="005311A2" w:rsidRDefault="005311A2" w:rsidP="005311A2">
      <w:pPr>
        <w:tabs>
          <w:tab w:val="left" w:pos="567"/>
        </w:tabs>
        <w:ind w:left="1701" w:hanging="567"/>
        <w:jc w:val="both"/>
        <w:rPr>
          <w:rFonts w:ascii="Book Antiqua" w:hAnsi="Book Antiqua" w:cs="Arial"/>
        </w:rPr>
      </w:pPr>
      <w:r>
        <w:rPr>
          <w:rFonts w:ascii="Book Antiqua" w:hAnsi="Book Antiqua" w:cs="Arial"/>
        </w:rPr>
        <w:t>“5.</w:t>
      </w:r>
      <w:r>
        <w:rPr>
          <w:rFonts w:ascii="Book Antiqua" w:hAnsi="Book Antiqua" w:cs="Arial"/>
        </w:rPr>
        <w:tab/>
        <w:t>I conclude that the judge materially erred.  He considered documents that the sponsor took from his bag after the conclusion of the evidence to be reliable.  From what the judge stated at [8] and [9], it is clear that had it not been for this evidence he would have dismissed the appeal.  The documents, according to the sponsor, were registration documents of his children’s births and were contemporaneous.  The judge accepted this, finding the evidence “cogent” because “they [the documents] give the impression of being contemporaneous.”  It was an issue that the documents all showed the same signature and the judge did not find this to undermine the reliability of the documents finding that it appeared that civil servants “do not move jobs as they do in the UK”.  It is not clear on what evidence he based this finding.  I conclude that the finding of the judge (that the documents were cogent evidence of the relationship between the sponsor and the appellants) is at best inadequately reasoned, at worst perverse.  It is not clear from the decision why the judge accepted that the documents produced at the eleventh hour were sufficient to assuage any doubt in respect of the documents that the applicants had submitted with the application and appeal.  There was no evidence given to explain the late production of the documents.</w:t>
      </w:r>
    </w:p>
    <w:p w:rsidR="005311A2" w:rsidRDefault="005311A2" w:rsidP="005311A2">
      <w:pPr>
        <w:tabs>
          <w:tab w:val="left" w:pos="567"/>
        </w:tabs>
        <w:ind w:left="1701" w:hanging="567"/>
        <w:jc w:val="both"/>
        <w:rPr>
          <w:rFonts w:ascii="Book Antiqua" w:hAnsi="Book Antiqua" w:cs="Arial"/>
        </w:rPr>
      </w:pPr>
    </w:p>
    <w:p w:rsidR="005311A2" w:rsidRPr="000B2AEA" w:rsidRDefault="005311A2" w:rsidP="005311A2">
      <w:pPr>
        <w:tabs>
          <w:tab w:val="left" w:pos="567"/>
        </w:tabs>
        <w:ind w:left="1701" w:hanging="567"/>
        <w:jc w:val="both"/>
        <w:rPr>
          <w:rFonts w:ascii="Book Antiqua" w:hAnsi="Book Antiqua" w:cs="Arial"/>
        </w:rPr>
      </w:pPr>
      <w:r>
        <w:rPr>
          <w:rFonts w:ascii="Book Antiqua" w:hAnsi="Book Antiqua" w:cs="Arial"/>
        </w:rPr>
        <w:t>6.</w:t>
      </w:r>
      <w:r>
        <w:rPr>
          <w:rFonts w:ascii="Book Antiqua" w:hAnsi="Book Antiqua" w:cs="Arial"/>
        </w:rPr>
        <w:tab/>
        <w:t xml:space="preserve">The judge also found the sponsor to be a “truthful” witness but gave no reasons for this.  Whilst there was evidence of trips the sponsor had made to Pakistan and photographic evidence capable of supporting the </w:t>
      </w:r>
      <w:r>
        <w:rPr>
          <w:rFonts w:ascii="Book Antiqua" w:hAnsi="Book Antiqua" w:cs="Arial"/>
        </w:rPr>
        <w:lastRenderedPageBreak/>
        <w:t xml:space="preserve">appellants, the judge did not adequately reason why he found the sponsor to be credible, taking into account the late production of evidence which he found determinative of the appeal.  Whilst there was no application by the respondent to adjourn the hearing to consider the evidence that had been produced at the last minute, the judge did not factor into his findings that the respondent had not had the opportunity to seek to verify the documents.”  </w:t>
      </w:r>
    </w:p>
    <w:p w:rsidR="00B449B4" w:rsidRDefault="00B449B4" w:rsidP="00BF23BB">
      <w:pPr>
        <w:tabs>
          <w:tab w:val="left" w:pos="567"/>
        </w:tabs>
        <w:ind w:left="567" w:hanging="567"/>
        <w:jc w:val="both"/>
        <w:rPr>
          <w:rFonts w:ascii="Book Antiqua" w:hAnsi="Book Antiqua" w:cs="Arial"/>
          <w:u w:val="single"/>
        </w:rPr>
      </w:pPr>
    </w:p>
    <w:p w:rsidR="00B449B4" w:rsidRDefault="005311A2" w:rsidP="00BF23BB">
      <w:pPr>
        <w:tabs>
          <w:tab w:val="left" w:pos="567"/>
        </w:tabs>
        <w:ind w:left="567" w:hanging="567"/>
        <w:jc w:val="both"/>
        <w:rPr>
          <w:rFonts w:ascii="Book Antiqua" w:hAnsi="Book Antiqua" w:cs="Arial"/>
        </w:rPr>
      </w:pPr>
      <w:r>
        <w:rPr>
          <w:rFonts w:ascii="Book Antiqua" w:hAnsi="Book Antiqua" w:cs="Arial"/>
        </w:rPr>
        <w:t>3</w:t>
      </w:r>
      <w:r w:rsidR="00B449B4">
        <w:rPr>
          <w:rFonts w:ascii="Book Antiqua" w:hAnsi="Book Antiqua" w:cs="Arial"/>
        </w:rPr>
        <w:t>.</w:t>
      </w:r>
      <w:r w:rsidR="00B449B4">
        <w:rPr>
          <w:rFonts w:ascii="Book Antiqua" w:hAnsi="Book Antiqua" w:cs="Arial"/>
        </w:rPr>
        <w:tab/>
        <w:t>I made directions</w:t>
      </w:r>
      <w:r w:rsidR="00D526D7">
        <w:rPr>
          <w:rFonts w:ascii="Book Antiqua" w:hAnsi="Book Antiqua" w:cs="Arial"/>
        </w:rPr>
        <w:t xml:space="preserve"> in relation</w:t>
      </w:r>
      <w:r w:rsidR="00B449B4">
        <w:rPr>
          <w:rFonts w:ascii="Book Antiqua" w:hAnsi="Book Antiqua" w:cs="Arial"/>
        </w:rPr>
        <w:t xml:space="preserve"> to the filing and service </w:t>
      </w:r>
      <w:r w:rsidR="007E6AE8">
        <w:rPr>
          <w:rFonts w:ascii="Book Antiqua" w:hAnsi="Book Antiqua" w:cs="Arial"/>
        </w:rPr>
        <w:t xml:space="preserve">of evidence </w:t>
      </w:r>
      <w:r w:rsidR="00B449B4">
        <w:rPr>
          <w:rFonts w:ascii="Book Antiqua" w:hAnsi="Book Antiqua" w:cs="Arial"/>
        </w:rPr>
        <w:t>making it clear to the Appellants that whether or not the Sponsor was exercising treaty rights was now an additional issue as raised by the Respondent</w:t>
      </w:r>
      <w:r w:rsidR="007E6AE8">
        <w:rPr>
          <w:rFonts w:ascii="Book Antiqua" w:hAnsi="Book Antiqua" w:cs="Arial"/>
        </w:rPr>
        <w:t xml:space="preserve"> at the hearing before the </w:t>
      </w:r>
      <w:proofErr w:type="spellStart"/>
      <w:r w:rsidR="007E6AE8">
        <w:rPr>
          <w:rFonts w:ascii="Book Antiqua" w:hAnsi="Book Antiqua" w:cs="Arial"/>
        </w:rPr>
        <w:t>FtT</w:t>
      </w:r>
      <w:proofErr w:type="spellEnd"/>
      <w:r w:rsidR="00B449B4">
        <w:rPr>
          <w:rFonts w:ascii="Book Antiqua" w:hAnsi="Book Antiqua" w:cs="Arial"/>
        </w:rPr>
        <w:t>.</w:t>
      </w:r>
    </w:p>
    <w:p w:rsidR="00B449B4" w:rsidRDefault="00B449B4" w:rsidP="00BF23BB">
      <w:pPr>
        <w:tabs>
          <w:tab w:val="left" w:pos="567"/>
        </w:tabs>
        <w:ind w:left="567" w:hanging="567"/>
        <w:jc w:val="both"/>
        <w:rPr>
          <w:rFonts w:ascii="Book Antiqua" w:hAnsi="Book Antiqua" w:cs="Arial"/>
        </w:rPr>
      </w:pPr>
    </w:p>
    <w:p w:rsidR="00B449B4" w:rsidRDefault="005311A2" w:rsidP="00BF23BB">
      <w:pPr>
        <w:tabs>
          <w:tab w:val="left" w:pos="567"/>
        </w:tabs>
        <w:ind w:left="567" w:hanging="567"/>
        <w:jc w:val="both"/>
        <w:rPr>
          <w:rFonts w:ascii="Book Antiqua" w:hAnsi="Book Antiqua" w:cs="Arial"/>
        </w:rPr>
      </w:pPr>
      <w:r>
        <w:rPr>
          <w:rFonts w:ascii="Book Antiqua" w:hAnsi="Book Antiqua" w:cs="Arial"/>
        </w:rPr>
        <w:t>4</w:t>
      </w:r>
      <w:r w:rsidR="00B449B4">
        <w:rPr>
          <w:rFonts w:ascii="Book Antiqua" w:hAnsi="Book Antiqua" w:cs="Arial"/>
        </w:rPr>
        <w:t>.</w:t>
      </w:r>
      <w:r w:rsidR="00B449B4">
        <w:rPr>
          <w:rFonts w:ascii="Book Antiqua" w:hAnsi="Book Antiqua" w:cs="Arial"/>
        </w:rPr>
        <w:tab/>
        <w:t>At the resumed hearing the Appellants submitted a bundle prior to the hearing which include</w:t>
      </w:r>
      <w:r w:rsidR="001B1EA2">
        <w:rPr>
          <w:rFonts w:ascii="Book Antiqua" w:hAnsi="Book Antiqua" w:cs="Arial"/>
        </w:rPr>
        <w:t>d</w:t>
      </w:r>
      <w:r w:rsidR="00B449B4">
        <w:rPr>
          <w:rFonts w:ascii="Book Antiqua" w:hAnsi="Book Antiqua" w:cs="Arial"/>
        </w:rPr>
        <w:t xml:space="preserve"> DNA evidence capable of establishing paternity</w:t>
      </w:r>
      <w:r w:rsidR="007E6AE8">
        <w:rPr>
          <w:rFonts w:ascii="Book Antiqua" w:hAnsi="Book Antiqua" w:cs="Arial"/>
        </w:rPr>
        <w:t xml:space="preserve">. </w:t>
      </w:r>
      <w:r w:rsidR="00B449B4">
        <w:rPr>
          <w:rFonts w:ascii="Book Antiqua" w:hAnsi="Book Antiqua" w:cs="Arial"/>
        </w:rPr>
        <w:t xml:space="preserve"> Mr Melvin indicated that paternity was accepted and therefore the only remaining issue was whether or not the Sponsor was exercising treaty rights.</w:t>
      </w:r>
    </w:p>
    <w:p w:rsidR="00B449B4" w:rsidRDefault="00B449B4" w:rsidP="00BF23BB">
      <w:pPr>
        <w:tabs>
          <w:tab w:val="left" w:pos="567"/>
        </w:tabs>
        <w:ind w:left="567" w:hanging="567"/>
        <w:jc w:val="both"/>
        <w:rPr>
          <w:rFonts w:ascii="Book Antiqua" w:hAnsi="Book Antiqua" w:cs="Arial"/>
        </w:rPr>
      </w:pPr>
    </w:p>
    <w:p w:rsidR="00B449B4" w:rsidRDefault="005311A2" w:rsidP="00BF23BB">
      <w:pPr>
        <w:tabs>
          <w:tab w:val="left" w:pos="567"/>
        </w:tabs>
        <w:ind w:left="567" w:hanging="567"/>
        <w:jc w:val="both"/>
        <w:rPr>
          <w:rFonts w:ascii="Book Antiqua" w:hAnsi="Book Antiqua" w:cs="Arial"/>
        </w:rPr>
      </w:pPr>
      <w:r>
        <w:rPr>
          <w:rFonts w:ascii="Book Antiqua" w:hAnsi="Book Antiqua" w:cs="Arial"/>
        </w:rPr>
        <w:t>5</w:t>
      </w:r>
      <w:r w:rsidR="00B449B4">
        <w:rPr>
          <w:rFonts w:ascii="Book Antiqua" w:hAnsi="Book Antiqua" w:cs="Arial"/>
        </w:rPr>
        <w:t>.</w:t>
      </w:r>
      <w:r w:rsidR="00B449B4">
        <w:rPr>
          <w:rFonts w:ascii="Book Antiqua" w:hAnsi="Book Antiqua" w:cs="Arial"/>
        </w:rPr>
        <w:tab/>
        <w:t>At the start of the hearing Mr Allam sought to submit evidence that was not in the Appellants’ bundle relating to the Sponsor’s financial circumstances.  He produced original bank statements showing regular credits into his bank account up until May 2018, a letter from an accountant, Ahmed &amp; Co, of 20 June 2018 confirming that he was self-employed and trading as a security guard.  In addition</w:t>
      </w:r>
      <w:r w:rsidR="007E6AE8">
        <w:rPr>
          <w:rFonts w:ascii="Book Antiqua" w:hAnsi="Book Antiqua" w:cs="Arial"/>
        </w:rPr>
        <w:t>,</w:t>
      </w:r>
      <w:r w:rsidR="00B449B4">
        <w:rPr>
          <w:rFonts w:ascii="Book Antiqua" w:hAnsi="Book Antiqua" w:cs="Arial"/>
        </w:rPr>
        <w:t xml:space="preserve"> there was an ID card, a licence </w:t>
      </w:r>
      <w:r w:rsidR="00A051E7">
        <w:rPr>
          <w:rFonts w:ascii="Book Antiqua" w:hAnsi="Book Antiqua" w:cs="Arial"/>
        </w:rPr>
        <w:t xml:space="preserve">for the Sponsor which expires on 27 November 2012 issued from what appears to be the </w:t>
      </w:r>
      <w:r w:rsidR="007E6AE8">
        <w:rPr>
          <w:rFonts w:ascii="Book Antiqua" w:hAnsi="Book Antiqua" w:cs="Arial"/>
        </w:rPr>
        <w:t>S</w:t>
      </w:r>
      <w:r w:rsidR="00A051E7">
        <w:rPr>
          <w:rFonts w:ascii="Book Antiqua" w:hAnsi="Book Antiqua" w:cs="Arial"/>
        </w:rPr>
        <w:t xml:space="preserve">ecurity </w:t>
      </w:r>
      <w:r w:rsidR="007E6AE8">
        <w:rPr>
          <w:rFonts w:ascii="Book Antiqua" w:hAnsi="Book Antiqua" w:cs="Arial"/>
        </w:rPr>
        <w:t>I</w:t>
      </w:r>
      <w:r w:rsidR="00A051E7">
        <w:rPr>
          <w:rFonts w:ascii="Book Antiqua" w:hAnsi="Book Antiqua" w:cs="Arial"/>
        </w:rPr>
        <w:t xml:space="preserve">ndustry </w:t>
      </w:r>
      <w:r w:rsidR="007E6AE8">
        <w:rPr>
          <w:rFonts w:ascii="Book Antiqua" w:hAnsi="Book Antiqua" w:cs="Arial"/>
        </w:rPr>
        <w:t>A</w:t>
      </w:r>
      <w:r w:rsidR="00A051E7">
        <w:rPr>
          <w:rFonts w:ascii="Book Antiqua" w:hAnsi="Book Antiqua" w:cs="Arial"/>
        </w:rPr>
        <w:t>uthority.  Mr Melvin did not take issue with any of the documentation.</w:t>
      </w:r>
    </w:p>
    <w:p w:rsidR="00A051E7" w:rsidRDefault="00A051E7" w:rsidP="00BF23BB">
      <w:pPr>
        <w:tabs>
          <w:tab w:val="left" w:pos="567"/>
        </w:tabs>
        <w:ind w:left="567" w:hanging="567"/>
        <w:jc w:val="both"/>
        <w:rPr>
          <w:rFonts w:ascii="Book Antiqua" w:hAnsi="Book Antiqua" w:cs="Arial"/>
        </w:rPr>
      </w:pPr>
    </w:p>
    <w:p w:rsidR="00A051E7" w:rsidRDefault="005311A2" w:rsidP="00BF23BB">
      <w:pPr>
        <w:tabs>
          <w:tab w:val="left" w:pos="567"/>
        </w:tabs>
        <w:ind w:left="567" w:hanging="567"/>
        <w:jc w:val="both"/>
        <w:rPr>
          <w:rFonts w:ascii="Book Antiqua" w:hAnsi="Book Antiqua" w:cs="Arial"/>
        </w:rPr>
      </w:pPr>
      <w:r>
        <w:rPr>
          <w:rFonts w:ascii="Book Antiqua" w:hAnsi="Book Antiqua" w:cs="Arial"/>
        </w:rPr>
        <w:t>6</w:t>
      </w:r>
      <w:r w:rsidR="00A051E7">
        <w:rPr>
          <w:rFonts w:ascii="Book Antiqua" w:hAnsi="Book Antiqua" w:cs="Arial"/>
        </w:rPr>
        <w:t>.</w:t>
      </w:r>
      <w:r w:rsidR="00A051E7">
        <w:rPr>
          <w:rFonts w:ascii="Book Antiqua" w:hAnsi="Book Antiqua" w:cs="Arial"/>
        </w:rPr>
        <w:tab/>
        <w:t>At the hearing the Sponsor gave evidence about his employment and was cross-examined by Mr Melvin.  In submissions Mr Melvin indicated that in</w:t>
      </w:r>
      <w:r w:rsidR="007E6AE8">
        <w:rPr>
          <w:rFonts w:ascii="Book Antiqua" w:hAnsi="Book Antiqua" w:cs="Arial"/>
        </w:rPr>
        <w:t xml:space="preserve"> the </w:t>
      </w:r>
      <w:r w:rsidR="00A051E7">
        <w:rPr>
          <w:rFonts w:ascii="Book Antiqua" w:hAnsi="Book Antiqua" w:cs="Arial"/>
        </w:rPr>
        <w:t>light of the documentation and the Sponsor’s evidence he would not be surprised if the appeal was to succeed because the oral evidence was clear that the Sponsor was working as a security guard.</w:t>
      </w:r>
    </w:p>
    <w:p w:rsidR="00A051E7" w:rsidRDefault="00A051E7" w:rsidP="00BF23BB">
      <w:pPr>
        <w:tabs>
          <w:tab w:val="left" w:pos="567"/>
        </w:tabs>
        <w:ind w:left="567" w:hanging="567"/>
        <w:jc w:val="both"/>
        <w:rPr>
          <w:rFonts w:ascii="Book Antiqua" w:hAnsi="Book Antiqua" w:cs="Arial"/>
        </w:rPr>
      </w:pPr>
    </w:p>
    <w:p w:rsidR="00A051E7" w:rsidRPr="00B449B4" w:rsidRDefault="005311A2" w:rsidP="00BF23BB">
      <w:pPr>
        <w:tabs>
          <w:tab w:val="left" w:pos="567"/>
        </w:tabs>
        <w:ind w:left="567" w:hanging="567"/>
        <w:jc w:val="both"/>
        <w:rPr>
          <w:rFonts w:ascii="Book Antiqua" w:hAnsi="Book Antiqua" w:cs="Arial"/>
        </w:rPr>
      </w:pPr>
      <w:r>
        <w:rPr>
          <w:rFonts w:ascii="Book Antiqua" w:hAnsi="Book Antiqua" w:cs="Arial"/>
        </w:rPr>
        <w:t>7</w:t>
      </w:r>
      <w:r w:rsidR="00A051E7">
        <w:rPr>
          <w:rFonts w:ascii="Book Antiqua" w:hAnsi="Book Antiqua" w:cs="Arial"/>
        </w:rPr>
        <w:t>.</w:t>
      </w:r>
      <w:r w:rsidR="00A051E7">
        <w:rPr>
          <w:rFonts w:ascii="Book Antiqua" w:hAnsi="Book Antiqua" w:cs="Arial"/>
        </w:rPr>
        <w:tab/>
        <w:t>I found the Sponsor to be a credible witness.  The issue is whether he is exercising treaty rights.  His evidence was clear and consistent and supported with documentary evidence.  On this basis I allow the appeal under the Immigration (European Economic Area) Regulations 2006.</w:t>
      </w:r>
    </w:p>
    <w:p w:rsidR="00C7558F" w:rsidRDefault="00C7558F" w:rsidP="00C7558F">
      <w:pPr>
        <w:jc w:val="both"/>
        <w:rPr>
          <w:rFonts w:ascii="Book Antiqua" w:hAnsi="Book Antiqua" w:cs="Arial"/>
          <w:b/>
          <w:highlight w:val="yellow"/>
          <w:u w:val="single"/>
        </w:rPr>
      </w:pPr>
    </w:p>
    <w:p w:rsidR="003C55E1" w:rsidRDefault="003C55E1" w:rsidP="00C7558F">
      <w:pPr>
        <w:jc w:val="both"/>
        <w:rPr>
          <w:rFonts w:ascii="Book Antiqua" w:hAnsi="Book Antiqua" w:cs="Arial"/>
          <w:b/>
          <w:u w:val="single"/>
        </w:rPr>
      </w:pPr>
    </w:p>
    <w:p w:rsidR="00C7558F" w:rsidRPr="00C7558F" w:rsidRDefault="00C7558F" w:rsidP="00C7558F">
      <w:pPr>
        <w:jc w:val="both"/>
        <w:rPr>
          <w:rFonts w:ascii="Book Antiqua" w:hAnsi="Book Antiqua" w:cs="Arial"/>
          <w:b/>
          <w:u w:val="single"/>
        </w:rPr>
      </w:pPr>
      <w:r w:rsidRPr="00C7558F">
        <w:rPr>
          <w:rFonts w:ascii="Book Antiqua" w:hAnsi="Book Antiqua" w:cs="Arial"/>
          <w:b/>
          <w:u w:val="single"/>
        </w:rPr>
        <w:t>Notice of Decision</w:t>
      </w:r>
    </w:p>
    <w:p w:rsidR="00C7558F" w:rsidRPr="00C7558F" w:rsidRDefault="00C7558F" w:rsidP="00C7558F">
      <w:pPr>
        <w:jc w:val="both"/>
        <w:rPr>
          <w:rFonts w:ascii="Book Antiqua" w:hAnsi="Book Antiqua" w:cs="Arial"/>
        </w:rPr>
      </w:pPr>
    </w:p>
    <w:p w:rsidR="00C7558F" w:rsidRPr="00C7558F" w:rsidRDefault="00C7558F" w:rsidP="00C7558F">
      <w:pPr>
        <w:jc w:val="both"/>
        <w:rPr>
          <w:rFonts w:ascii="Book Antiqua" w:hAnsi="Book Antiqua" w:cs="Arial"/>
        </w:rPr>
      </w:pPr>
      <w:r w:rsidRPr="00C7558F">
        <w:rPr>
          <w:rFonts w:ascii="Book Antiqua" w:hAnsi="Book Antiqua" w:cs="Arial"/>
        </w:rPr>
        <w:t xml:space="preserve">The appeal is </w:t>
      </w:r>
      <w:r w:rsidR="009635CA">
        <w:rPr>
          <w:rFonts w:ascii="Book Antiqua" w:hAnsi="Book Antiqua" w:cs="Arial"/>
        </w:rPr>
        <w:t>allowed.</w:t>
      </w:r>
    </w:p>
    <w:p w:rsidR="00C7558F" w:rsidRPr="00C7558F" w:rsidRDefault="00C7558F" w:rsidP="00C7558F">
      <w:pPr>
        <w:jc w:val="both"/>
        <w:rPr>
          <w:rFonts w:ascii="Book Antiqua" w:hAnsi="Book Antiqua" w:cs="Arial"/>
        </w:rPr>
      </w:pPr>
    </w:p>
    <w:p w:rsidR="003C55E1" w:rsidRDefault="003C55E1" w:rsidP="00C7558F">
      <w:pPr>
        <w:jc w:val="both"/>
        <w:rPr>
          <w:rFonts w:ascii="Book Antiqua" w:hAnsi="Book Antiqua" w:cs="Arial"/>
          <w:b/>
          <w:u w:val="single"/>
        </w:rPr>
      </w:pPr>
    </w:p>
    <w:p w:rsidR="003C55E1" w:rsidRDefault="003C55E1" w:rsidP="00C7558F">
      <w:pPr>
        <w:jc w:val="both"/>
        <w:rPr>
          <w:rFonts w:ascii="Book Antiqua" w:hAnsi="Book Antiqua" w:cs="Arial"/>
          <w:b/>
          <w:u w:val="single"/>
        </w:rPr>
      </w:pPr>
    </w:p>
    <w:p w:rsidR="00C7558F" w:rsidRPr="00C7558F" w:rsidRDefault="00C7558F" w:rsidP="00C7558F">
      <w:pPr>
        <w:jc w:val="both"/>
        <w:rPr>
          <w:rFonts w:ascii="Book Antiqua" w:hAnsi="Book Antiqua" w:cs="Arial"/>
        </w:rPr>
      </w:pPr>
      <w:r w:rsidRPr="00C7558F">
        <w:rPr>
          <w:rFonts w:ascii="Book Antiqua" w:hAnsi="Book Antiqua" w:cs="Arial"/>
          <w:b/>
          <w:u w:val="single"/>
        </w:rPr>
        <w:lastRenderedPageBreak/>
        <w:t>Direction Regarding Anonymity – Rule 14 of the Tribunal Procedure (Upper Tribunal) Rules 2008</w:t>
      </w:r>
    </w:p>
    <w:p w:rsidR="00C7558F" w:rsidRPr="00C7558F" w:rsidRDefault="00C7558F" w:rsidP="00C7558F">
      <w:pPr>
        <w:jc w:val="both"/>
        <w:rPr>
          <w:rFonts w:ascii="Book Antiqua" w:hAnsi="Book Antiqua" w:cs="Arial"/>
        </w:rPr>
      </w:pPr>
    </w:p>
    <w:p w:rsidR="00C7558F" w:rsidRPr="00687601" w:rsidRDefault="00C7558F" w:rsidP="00C7558F">
      <w:pPr>
        <w:jc w:val="both"/>
        <w:rPr>
          <w:rFonts w:ascii="Book Antiqua" w:hAnsi="Book Antiqua" w:cs="Arial"/>
        </w:rPr>
      </w:pPr>
      <w:r w:rsidRPr="00C7558F">
        <w:rPr>
          <w:rFonts w:ascii="Book Antiqua" w:hAnsi="Book Antiqua" w:cs="Arial"/>
        </w:rPr>
        <w:t xml:space="preserve">Unless and </w:t>
      </w:r>
      <w:r w:rsidRPr="00C7558F">
        <w:rPr>
          <w:rFonts w:ascii="Book Antiqua" w:hAnsi="Book Antiqua"/>
        </w:rPr>
        <w:t xml:space="preserve">until a Tribunal or court directs otherwise, the </w:t>
      </w:r>
      <w:r w:rsidR="00666A8F">
        <w:rPr>
          <w:rFonts w:ascii="Book Antiqua" w:hAnsi="Book Antiqua"/>
        </w:rPr>
        <w:t>A</w:t>
      </w:r>
      <w:r w:rsidRPr="00C7558F">
        <w:rPr>
          <w:rFonts w:ascii="Book Antiqua" w:hAnsi="Book Antiqua"/>
        </w:rPr>
        <w:t xml:space="preserve">ppellant is granted anonymity.  No report of these proceedings shall directly or indirectly identify him or any member of their family.  This direction applies both to the </w:t>
      </w:r>
      <w:r w:rsidR="00666A8F">
        <w:rPr>
          <w:rFonts w:ascii="Book Antiqua" w:hAnsi="Book Antiqua"/>
        </w:rPr>
        <w:t>A</w:t>
      </w:r>
      <w:r w:rsidRPr="00C7558F">
        <w:rPr>
          <w:rFonts w:ascii="Book Antiqua" w:hAnsi="Book Antiqua"/>
        </w:rPr>
        <w:t xml:space="preserve">ppellant and to the </w:t>
      </w:r>
      <w:r w:rsidR="00666A8F">
        <w:rPr>
          <w:rFonts w:ascii="Book Antiqua" w:hAnsi="Book Antiqua"/>
        </w:rPr>
        <w:t>R</w:t>
      </w:r>
      <w:r w:rsidRPr="00C7558F">
        <w:rPr>
          <w:rFonts w:ascii="Book Antiqua" w:hAnsi="Book Antiqua"/>
        </w:rPr>
        <w:t>espondent.  Failure to comply with this direction could lead to contempt of court proceedings.</w:t>
      </w:r>
    </w:p>
    <w:p w:rsidR="00C7558F" w:rsidRPr="000704BB" w:rsidRDefault="00C7558F" w:rsidP="00BF23BB">
      <w:pPr>
        <w:tabs>
          <w:tab w:val="left" w:pos="567"/>
        </w:tabs>
        <w:ind w:left="567" w:hanging="567"/>
        <w:jc w:val="both"/>
        <w:rPr>
          <w:rFonts w:ascii="Book Antiqua" w:hAnsi="Book Antiqua" w:cs="Arial"/>
        </w:rPr>
      </w:pPr>
    </w:p>
    <w:p w:rsidR="00A509FA" w:rsidRPr="000704BB" w:rsidRDefault="00A509FA" w:rsidP="00780F86">
      <w:pPr>
        <w:ind w:left="540" w:hanging="540"/>
        <w:jc w:val="both"/>
        <w:rPr>
          <w:rFonts w:ascii="Book Antiqua" w:hAnsi="Book Antiqua" w:cs="Arial"/>
        </w:rPr>
      </w:pPr>
    </w:p>
    <w:p w:rsidR="002666E5" w:rsidRPr="000704BB" w:rsidRDefault="00780F86" w:rsidP="002666E5">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7E6AE8" w:rsidRPr="007E6AE8">
        <w:rPr>
          <w:rFonts w:ascii="Lucida Calligraphy" w:hAnsi="Lucida Calligraphy" w:cs="Arial"/>
        </w:rPr>
        <w:t>Joanna McWilliam</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2666E5" w:rsidRPr="000704BB">
        <w:rPr>
          <w:rFonts w:ascii="Book Antiqua" w:hAnsi="Book Antiqua" w:cs="Arial"/>
        </w:rPr>
        <w:t>Date</w:t>
      </w:r>
      <w:r w:rsidR="007E6AE8">
        <w:rPr>
          <w:rFonts w:ascii="Book Antiqua" w:hAnsi="Book Antiqua" w:cs="Arial"/>
        </w:rPr>
        <w:t xml:space="preserve"> 28 June 2018</w:t>
      </w:r>
    </w:p>
    <w:p w:rsidR="001F2716" w:rsidRPr="000704BB" w:rsidRDefault="001F2716" w:rsidP="00402B9E">
      <w:pPr>
        <w:tabs>
          <w:tab w:val="left" w:pos="2520"/>
        </w:tabs>
        <w:ind w:left="540" w:hanging="540"/>
        <w:jc w:val="both"/>
        <w:rPr>
          <w:rFonts w:ascii="Book Antiqua" w:hAnsi="Book Antiqua" w:cs="Arial"/>
        </w:rPr>
      </w:pPr>
    </w:p>
    <w:p w:rsidR="00B95326" w:rsidRPr="000704BB" w:rsidRDefault="00DD1A53" w:rsidP="009F4C81">
      <w:pPr>
        <w:tabs>
          <w:tab w:val="left" w:pos="2520"/>
        </w:tabs>
        <w:ind w:left="540" w:hanging="540"/>
        <w:jc w:val="both"/>
        <w:rPr>
          <w:rFonts w:ascii="Book Antiqua" w:hAnsi="Book Antiqua" w:cs="Arial"/>
        </w:rPr>
      </w:pPr>
      <w:r>
        <w:rPr>
          <w:rFonts w:ascii="Book Antiqua" w:hAnsi="Book Antiqua" w:cs="Arial"/>
        </w:rPr>
        <w:t>Upper Tribunal</w:t>
      </w:r>
      <w:r w:rsidR="002666E5">
        <w:rPr>
          <w:rFonts w:ascii="Book Antiqua" w:hAnsi="Book Antiqua" w:cs="Arial"/>
        </w:rPr>
        <w:t xml:space="preserve"> Judge McWilliam</w:t>
      </w:r>
    </w:p>
    <w:sectPr w:rsidR="00B95326" w:rsidRPr="000704BB" w:rsidSect="003C55E1">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4CD" w:rsidRDefault="008974CD">
      <w:r>
        <w:separator/>
      </w:r>
    </w:p>
  </w:endnote>
  <w:endnote w:type="continuationSeparator" w:id="0">
    <w:p w:rsidR="008974CD" w:rsidRDefault="00897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3C55E1" w:rsidRDefault="004319AE" w:rsidP="00593795">
    <w:pPr>
      <w:pStyle w:val="Footer"/>
      <w:jc w:val="center"/>
      <w:rPr>
        <w:rFonts w:ascii="Book Antiqua" w:hAnsi="Book Antiqua" w:cs="Arial"/>
      </w:rPr>
    </w:pPr>
    <w:r w:rsidRPr="003C55E1">
      <w:rPr>
        <w:rStyle w:val="PageNumber"/>
        <w:rFonts w:ascii="Book Antiqua" w:hAnsi="Book Antiqua" w:cs="Arial"/>
      </w:rPr>
      <w:fldChar w:fldCharType="begin"/>
    </w:r>
    <w:r w:rsidRPr="003C55E1">
      <w:rPr>
        <w:rStyle w:val="PageNumber"/>
        <w:rFonts w:ascii="Book Antiqua" w:hAnsi="Book Antiqua" w:cs="Arial"/>
      </w:rPr>
      <w:instrText xml:space="preserve"> PAGE </w:instrText>
    </w:r>
    <w:r w:rsidRPr="003C55E1">
      <w:rPr>
        <w:rStyle w:val="PageNumber"/>
        <w:rFonts w:ascii="Book Antiqua" w:hAnsi="Book Antiqua" w:cs="Arial"/>
      </w:rPr>
      <w:fldChar w:fldCharType="separate"/>
    </w:r>
    <w:r w:rsidR="00EF2B85">
      <w:rPr>
        <w:rStyle w:val="PageNumber"/>
        <w:rFonts w:ascii="Book Antiqua" w:hAnsi="Book Antiqua" w:cs="Arial"/>
        <w:noProof/>
      </w:rPr>
      <w:t>4</w:t>
    </w:r>
    <w:r w:rsidRPr="003C55E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DE5E10">
    <w:pPr>
      <w:jc w:val="center"/>
      <w:rPr>
        <w:rFonts w:ascii="Book Antiqua" w:hAnsi="Book Antiqua" w:cs="Arial"/>
        <w:b/>
      </w:rPr>
    </w:pPr>
    <w:r w:rsidRPr="000704BB">
      <w:rPr>
        <w:rFonts w:ascii="Book Antiqua" w:hAnsi="Book Antiqua" w:cs="Arial"/>
        <w:b/>
        <w:spacing w:val="-6"/>
      </w:rPr>
      <w:t>©</w:t>
    </w:r>
    <w:r w:rsidR="00EB0A7A">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4CD" w:rsidRDefault="008974CD">
      <w:r>
        <w:separator/>
      </w:r>
    </w:p>
  </w:footnote>
  <w:footnote w:type="continuationSeparator" w:id="0">
    <w:p w:rsidR="008974CD" w:rsidRDefault="008974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CA9" w:rsidRPr="00B30CA9" w:rsidRDefault="004319AE" w:rsidP="00B30CA9">
    <w:pPr>
      <w:tabs>
        <w:tab w:val="right" w:pos="9720"/>
      </w:tabs>
      <w:ind w:right="-82"/>
      <w:jc w:val="right"/>
      <w:rPr>
        <w:rFonts w:ascii="Book Antiqua" w:hAnsi="Book Antiqua" w:cs="Arial"/>
        <w:color w:val="000000"/>
        <w:sz w:val="16"/>
      </w:rPr>
    </w:pPr>
    <w:r w:rsidRPr="000704BB">
      <w:rPr>
        <w:rFonts w:ascii="Book Antiqua" w:hAnsi="Book Antiqua" w:cs="Arial"/>
        <w:sz w:val="16"/>
        <w:szCs w:val="16"/>
      </w:rPr>
      <w:t>Appeal Number</w:t>
    </w:r>
    <w:r w:rsidR="00B30CA9">
      <w:rPr>
        <w:rFonts w:ascii="Book Antiqua" w:hAnsi="Book Antiqua" w:cs="Arial"/>
        <w:sz w:val="16"/>
        <w:szCs w:val="16"/>
      </w:rPr>
      <w:t>s</w:t>
    </w:r>
    <w:r w:rsidRPr="000704BB">
      <w:rPr>
        <w:rFonts w:ascii="Book Antiqua" w:hAnsi="Book Antiqua" w:cs="Arial"/>
        <w:sz w:val="16"/>
        <w:szCs w:val="16"/>
      </w:rPr>
      <w:t>:</w:t>
    </w:r>
    <w:r w:rsidR="00B30CA9">
      <w:rPr>
        <w:rFonts w:ascii="Book Antiqua" w:hAnsi="Book Antiqua" w:cs="Arial"/>
        <w:sz w:val="16"/>
        <w:szCs w:val="16"/>
      </w:rPr>
      <w:t xml:space="preserve"> </w:t>
    </w:r>
    <w:r w:rsidR="00B30CA9" w:rsidRPr="00B30CA9">
      <w:rPr>
        <w:rFonts w:ascii="Book Antiqua" w:hAnsi="Book Antiqua" w:cs="Arial"/>
        <w:color w:val="000000"/>
        <w:sz w:val="16"/>
      </w:rPr>
      <w:t>EA/03308/2016</w:t>
    </w:r>
  </w:p>
  <w:p w:rsidR="00B30CA9" w:rsidRPr="00B30CA9" w:rsidRDefault="00B30CA9" w:rsidP="00B30CA9">
    <w:pPr>
      <w:tabs>
        <w:tab w:val="right" w:pos="9720"/>
      </w:tabs>
      <w:ind w:right="-82"/>
      <w:jc w:val="right"/>
      <w:rPr>
        <w:rFonts w:ascii="Book Antiqua" w:hAnsi="Book Antiqua" w:cs="Arial"/>
        <w:caps/>
        <w:color w:val="000000"/>
        <w:sz w:val="16"/>
      </w:rPr>
    </w:pPr>
    <w:r w:rsidRPr="00B30CA9">
      <w:rPr>
        <w:rFonts w:ascii="Book Antiqua" w:hAnsi="Book Antiqua" w:cs="Arial"/>
        <w:caps/>
        <w:color w:val="000000"/>
        <w:sz w:val="16"/>
      </w:rPr>
      <w:t>EA/03313/2016</w:t>
    </w:r>
  </w:p>
  <w:p w:rsidR="00B30CA9" w:rsidRPr="00B30CA9" w:rsidRDefault="00B30CA9" w:rsidP="00B30CA9">
    <w:pPr>
      <w:tabs>
        <w:tab w:val="right" w:pos="9720"/>
      </w:tabs>
      <w:ind w:right="-82"/>
      <w:jc w:val="right"/>
      <w:rPr>
        <w:rFonts w:ascii="Book Antiqua" w:hAnsi="Book Antiqua" w:cs="Arial"/>
        <w:caps/>
        <w:color w:val="000000"/>
        <w:sz w:val="16"/>
      </w:rPr>
    </w:pPr>
    <w:r w:rsidRPr="00B30CA9">
      <w:rPr>
        <w:rFonts w:ascii="Book Antiqua" w:hAnsi="Book Antiqua" w:cs="Arial"/>
        <w:caps/>
        <w:color w:val="000000"/>
        <w:sz w:val="16"/>
      </w:rPr>
      <w:t>ea/03314/2016</w:t>
    </w:r>
  </w:p>
  <w:p w:rsidR="00B30CA9" w:rsidRPr="00B30CA9" w:rsidRDefault="00B30CA9" w:rsidP="00B30CA9">
    <w:pPr>
      <w:tabs>
        <w:tab w:val="right" w:pos="9720"/>
      </w:tabs>
      <w:ind w:right="-82"/>
      <w:jc w:val="right"/>
      <w:rPr>
        <w:rFonts w:ascii="Book Antiqua" w:hAnsi="Book Antiqua" w:cs="Arial"/>
        <w:caps/>
        <w:color w:val="000000"/>
        <w:sz w:val="16"/>
      </w:rPr>
    </w:pPr>
    <w:r w:rsidRPr="00B30CA9">
      <w:rPr>
        <w:rFonts w:ascii="Book Antiqua" w:hAnsi="Book Antiqua" w:cs="Arial"/>
        <w:caps/>
        <w:color w:val="000000"/>
        <w:sz w:val="16"/>
      </w:rPr>
      <w:t>EA/03315/2016</w:t>
    </w:r>
  </w:p>
  <w:p w:rsidR="00B30CA9" w:rsidRPr="00B30CA9" w:rsidRDefault="00B30CA9" w:rsidP="00B30CA9">
    <w:pPr>
      <w:tabs>
        <w:tab w:val="right" w:pos="9720"/>
      </w:tabs>
      <w:ind w:right="-82"/>
      <w:jc w:val="right"/>
      <w:rPr>
        <w:rFonts w:ascii="Book Antiqua" w:hAnsi="Book Antiqua" w:cs="Arial"/>
        <w:caps/>
        <w:color w:val="000000"/>
        <w:sz w:val="16"/>
      </w:rPr>
    </w:pPr>
    <w:r w:rsidRPr="00B30CA9">
      <w:rPr>
        <w:rFonts w:ascii="Book Antiqua" w:hAnsi="Book Antiqua" w:cs="Arial"/>
        <w:caps/>
        <w:color w:val="000000"/>
        <w:sz w:val="16"/>
      </w:rPr>
      <w:t>EA/03321/2016</w:t>
    </w:r>
  </w:p>
  <w:p w:rsidR="00B30CA9" w:rsidRPr="00B30CA9" w:rsidRDefault="00B30CA9" w:rsidP="00B30CA9">
    <w:pPr>
      <w:tabs>
        <w:tab w:val="right" w:pos="9720"/>
      </w:tabs>
      <w:ind w:right="-82"/>
      <w:jc w:val="right"/>
      <w:rPr>
        <w:rFonts w:ascii="Book Antiqua" w:hAnsi="Book Antiqua" w:cs="Arial"/>
        <w:caps/>
        <w:color w:val="000000"/>
        <w:sz w:val="16"/>
      </w:rPr>
    </w:pPr>
    <w:r w:rsidRPr="00B30CA9">
      <w:rPr>
        <w:rFonts w:ascii="Book Antiqua" w:hAnsi="Book Antiqua" w:cs="Arial"/>
        <w:caps/>
        <w:color w:val="000000"/>
        <w:sz w:val="16"/>
      </w:rPr>
      <w:t>EA/03322/2016</w:t>
    </w:r>
  </w:p>
  <w:p w:rsidR="00B30CA9" w:rsidRPr="00B30CA9" w:rsidRDefault="00B30CA9" w:rsidP="00B30CA9">
    <w:pPr>
      <w:tabs>
        <w:tab w:val="right" w:pos="9720"/>
      </w:tabs>
      <w:ind w:right="-82"/>
      <w:jc w:val="right"/>
      <w:rPr>
        <w:rFonts w:ascii="Book Antiqua" w:hAnsi="Book Antiqua" w:cs="Arial"/>
        <w:color w:val="000000"/>
        <w:sz w:val="16"/>
      </w:rPr>
    </w:pPr>
    <w:r w:rsidRPr="00B30CA9">
      <w:rPr>
        <w:rFonts w:ascii="Book Antiqua" w:hAnsi="Book Antiqua" w:cs="Arial"/>
        <w:caps/>
        <w:color w:val="000000"/>
        <w:sz w:val="16"/>
      </w:rPr>
      <w:t>EA/03323/2016</w:t>
    </w:r>
  </w:p>
  <w:p w:rsidR="004319AE" w:rsidRPr="000704BB" w:rsidRDefault="004319AE" w:rsidP="00593795">
    <w:pPr>
      <w:pStyle w:val="Header"/>
      <w:jc w:val="right"/>
      <w:rPr>
        <w:rFonts w:ascii="Book Antiqua" w:hAnsi="Book Antiqua" w:cs="Arial"/>
        <w:sz w:val="16"/>
        <w:szCs w:val="16"/>
      </w:rPr>
    </w:pPr>
    <w:r w:rsidRPr="000704BB">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9B4"/>
    <w:rsid w:val="00000621"/>
    <w:rsid w:val="000029BB"/>
    <w:rsid w:val="000036C2"/>
    <w:rsid w:val="00015BA8"/>
    <w:rsid w:val="00033D3D"/>
    <w:rsid w:val="00062F02"/>
    <w:rsid w:val="000641CA"/>
    <w:rsid w:val="000704BB"/>
    <w:rsid w:val="00071A7E"/>
    <w:rsid w:val="000746C0"/>
    <w:rsid w:val="00074D1D"/>
    <w:rsid w:val="00092580"/>
    <w:rsid w:val="00093D4D"/>
    <w:rsid w:val="000A46ED"/>
    <w:rsid w:val="000B086E"/>
    <w:rsid w:val="000B2AEA"/>
    <w:rsid w:val="000B6967"/>
    <w:rsid w:val="000C11E7"/>
    <w:rsid w:val="000D442E"/>
    <w:rsid w:val="000D5D94"/>
    <w:rsid w:val="000E6D20"/>
    <w:rsid w:val="000F1A0E"/>
    <w:rsid w:val="000F6B39"/>
    <w:rsid w:val="001165A7"/>
    <w:rsid w:val="0014162A"/>
    <w:rsid w:val="00150C5F"/>
    <w:rsid w:val="00167D3A"/>
    <w:rsid w:val="00190911"/>
    <w:rsid w:val="00196530"/>
    <w:rsid w:val="001A08CA"/>
    <w:rsid w:val="001A3082"/>
    <w:rsid w:val="001B186A"/>
    <w:rsid w:val="001B1EA2"/>
    <w:rsid w:val="001B2F75"/>
    <w:rsid w:val="001C2D96"/>
    <w:rsid w:val="001C5B44"/>
    <w:rsid w:val="001D56D7"/>
    <w:rsid w:val="001F2716"/>
    <w:rsid w:val="00203FB0"/>
    <w:rsid w:val="00207617"/>
    <w:rsid w:val="0023134B"/>
    <w:rsid w:val="00261717"/>
    <w:rsid w:val="00266514"/>
    <w:rsid w:val="002666E5"/>
    <w:rsid w:val="00283659"/>
    <w:rsid w:val="002C6BD4"/>
    <w:rsid w:val="002D68BF"/>
    <w:rsid w:val="002F6B98"/>
    <w:rsid w:val="00336CBF"/>
    <w:rsid w:val="00343FE3"/>
    <w:rsid w:val="00350C8F"/>
    <w:rsid w:val="003546C8"/>
    <w:rsid w:val="00365F5E"/>
    <w:rsid w:val="00377D7B"/>
    <w:rsid w:val="003A7CF2"/>
    <w:rsid w:val="003C55E1"/>
    <w:rsid w:val="003C5CE5"/>
    <w:rsid w:val="003E267B"/>
    <w:rsid w:val="003E7CD1"/>
    <w:rsid w:val="00402B9E"/>
    <w:rsid w:val="004249CB"/>
    <w:rsid w:val="004319AE"/>
    <w:rsid w:val="0044127D"/>
    <w:rsid w:val="004448DB"/>
    <w:rsid w:val="00446C9A"/>
    <w:rsid w:val="00452F2B"/>
    <w:rsid w:val="00477193"/>
    <w:rsid w:val="004A1848"/>
    <w:rsid w:val="004A6F4A"/>
    <w:rsid w:val="004E0F3D"/>
    <w:rsid w:val="004E4717"/>
    <w:rsid w:val="00507FEC"/>
    <w:rsid w:val="00510F0E"/>
    <w:rsid w:val="005311A2"/>
    <w:rsid w:val="005479E1"/>
    <w:rsid w:val="00553E0A"/>
    <w:rsid w:val="005570FD"/>
    <w:rsid w:val="005575EA"/>
    <w:rsid w:val="00563EB8"/>
    <w:rsid w:val="005717B3"/>
    <w:rsid w:val="0057790C"/>
    <w:rsid w:val="00593795"/>
    <w:rsid w:val="005A75FF"/>
    <w:rsid w:val="005D10AB"/>
    <w:rsid w:val="00601D8F"/>
    <w:rsid w:val="00607964"/>
    <w:rsid w:val="00643BFC"/>
    <w:rsid w:val="00652D2C"/>
    <w:rsid w:val="00653E97"/>
    <w:rsid w:val="00657B51"/>
    <w:rsid w:val="00666A8F"/>
    <w:rsid w:val="006701F7"/>
    <w:rsid w:val="00684A74"/>
    <w:rsid w:val="00690B8A"/>
    <w:rsid w:val="006B71D4"/>
    <w:rsid w:val="006D6955"/>
    <w:rsid w:val="006F2CF1"/>
    <w:rsid w:val="007038ED"/>
    <w:rsid w:val="00703BC3"/>
    <w:rsid w:val="00704B61"/>
    <w:rsid w:val="007552A9"/>
    <w:rsid w:val="00761858"/>
    <w:rsid w:val="00767D59"/>
    <w:rsid w:val="00776E97"/>
    <w:rsid w:val="00780F86"/>
    <w:rsid w:val="007912AD"/>
    <w:rsid w:val="00795164"/>
    <w:rsid w:val="00797649"/>
    <w:rsid w:val="007B0824"/>
    <w:rsid w:val="007B5D3C"/>
    <w:rsid w:val="007E6AE8"/>
    <w:rsid w:val="007F2A46"/>
    <w:rsid w:val="00806249"/>
    <w:rsid w:val="00821B72"/>
    <w:rsid w:val="00823EF2"/>
    <w:rsid w:val="00826081"/>
    <w:rsid w:val="008303B8"/>
    <w:rsid w:val="00833DCE"/>
    <w:rsid w:val="0085296A"/>
    <w:rsid w:val="00871D34"/>
    <w:rsid w:val="00880EE8"/>
    <w:rsid w:val="008856CB"/>
    <w:rsid w:val="008974CD"/>
    <w:rsid w:val="008A3790"/>
    <w:rsid w:val="008B270C"/>
    <w:rsid w:val="008B5078"/>
    <w:rsid w:val="008C3D3D"/>
    <w:rsid w:val="008D4131"/>
    <w:rsid w:val="008F1932"/>
    <w:rsid w:val="009108FB"/>
    <w:rsid w:val="00921062"/>
    <w:rsid w:val="00926331"/>
    <w:rsid w:val="009635CA"/>
    <w:rsid w:val="009722BC"/>
    <w:rsid w:val="009727A3"/>
    <w:rsid w:val="009732B1"/>
    <w:rsid w:val="00987774"/>
    <w:rsid w:val="0099709D"/>
    <w:rsid w:val="009A11E8"/>
    <w:rsid w:val="009F4C81"/>
    <w:rsid w:val="009F5220"/>
    <w:rsid w:val="00A051E7"/>
    <w:rsid w:val="00A15234"/>
    <w:rsid w:val="00A201AB"/>
    <w:rsid w:val="00A31C8B"/>
    <w:rsid w:val="00A509FA"/>
    <w:rsid w:val="00A71C11"/>
    <w:rsid w:val="00A845DC"/>
    <w:rsid w:val="00A91E77"/>
    <w:rsid w:val="00B26AA2"/>
    <w:rsid w:val="00B30CA9"/>
    <w:rsid w:val="00B3524D"/>
    <w:rsid w:val="00B40F69"/>
    <w:rsid w:val="00B449B4"/>
    <w:rsid w:val="00B46616"/>
    <w:rsid w:val="00B7040A"/>
    <w:rsid w:val="00B807C3"/>
    <w:rsid w:val="00B83391"/>
    <w:rsid w:val="00B86AE6"/>
    <w:rsid w:val="00B917DC"/>
    <w:rsid w:val="00B95326"/>
    <w:rsid w:val="00BD4196"/>
    <w:rsid w:val="00BF22CA"/>
    <w:rsid w:val="00BF23BB"/>
    <w:rsid w:val="00BF7B9F"/>
    <w:rsid w:val="00C26032"/>
    <w:rsid w:val="00C345E1"/>
    <w:rsid w:val="00C43BFD"/>
    <w:rsid w:val="00C67713"/>
    <w:rsid w:val="00C7558F"/>
    <w:rsid w:val="00C77BDD"/>
    <w:rsid w:val="00CB6E35"/>
    <w:rsid w:val="00CC0CFF"/>
    <w:rsid w:val="00CD7C89"/>
    <w:rsid w:val="00CE1A46"/>
    <w:rsid w:val="00D20757"/>
    <w:rsid w:val="00D22636"/>
    <w:rsid w:val="00D40FD9"/>
    <w:rsid w:val="00D5181D"/>
    <w:rsid w:val="00D526D7"/>
    <w:rsid w:val="00D53769"/>
    <w:rsid w:val="00D61B2B"/>
    <w:rsid w:val="00D62151"/>
    <w:rsid w:val="00D74EE9"/>
    <w:rsid w:val="00D85C13"/>
    <w:rsid w:val="00D9111A"/>
    <w:rsid w:val="00D91BE3"/>
    <w:rsid w:val="00D94AFC"/>
    <w:rsid w:val="00DB70AE"/>
    <w:rsid w:val="00DD1A53"/>
    <w:rsid w:val="00DD2AE3"/>
    <w:rsid w:val="00DD5071"/>
    <w:rsid w:val="00DD5C39"/>
    <w:rsid w:val="00DE5E10"/>
    <w:rsid w:val="00DE7DB7"/>
    <w:rsid w:val="00E00A0A"/>
    <w:rsid w:val="00E066DE"/>
    <w:rsid w:val="00E07F57"/>
    <w:rsid w:val="00E207C1"/>
    <w:rsid w:val="00E30683"/>
    <w:rsid w:val="00E453D8"/>
    <w:rsid w:val="00E50BCE"/>
    <w:rsid w:val="00E574BF"/>
    <w:rsid w:val="00E61292"/>
    <w:rsid w:val="00E637DE"/>
    <w:rsid w:val="00E77C4D"/>
    <w:rsid w:val="00E81D01"/>
    <w:rsid w:val="00EB0A7A"/>
    <w:rsid w:val="00EC2597"/>
    <w:rsid w:val="00ED49E2"/>
    <w:rsid w:val="00EE1F55"/>
    <w:rsid w:val="00EE45D8"/>
    <w:rsid w:val="00EF07F5"/>
    <w:rsid w:val="00EF2B85"/>
    <w:rsid w:val="00F22EDA"/>
    <w:rsid w:val="00F65C9E"/>
    <w:rsid w:val="00F92AF6"/>
    <w:rsid w:val="00FB24D9"/>
    <w:rsid w:val="00FB2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FE8C5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14833-EB2C-481C-A43D-8E766D3BF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1022</Words>
  <Characters>5858</Characters>
  <Application>Microsoft Office Word</Application>
  <DocSecurity>0</DocSecurity>
  <Lines>48</Lines>
  <Paragraphs>13</Paragraphs>
  <ScaleCrop>false</ScaleCrop>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2018-07-17T15:10:00Z</dcterms:created>
  <dcterms:modified xsi:type="dcterms:W3CDTF">2018-07-17T15:10:00Z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