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A5A2" w14:textId="52FAAB49" w:rsidR="008C268C" w:rsidRPr="0049606B" w:rsidRDefault="008C268C" w:rsidP="006B627B">
      <w:pPr>
        <w:ind w:left="720" w:hanging="360"/>
        <w:jc w:val="center"/>
        <w:rPr>
          <w:rFonts w:ascii="Book Antiqua" w:hAnsi="Book Antiqua"/>
        </w:rPr>
      </w:pPr>
      <w:r w:rsidRPr="0049606B">
        <w:rPr>
          <w:rFonts w:ascii="Book Antiqua" w:hAnsi="Book Antiqua" w:cs="Arial"/>
          <w:noProof/>
        </w:rPr>
        <w:drawing>
          <wp:inline distT="0" distB="0" distL="0" distR="0" wp14:anchorId="24DE8FBC" wp14:editId="7938CCBC">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7289BA4A" w14:textId="77777777" w:rsidR="008C268C" w:rsidRPr="00473A5C" w:rsidRDefault="008C268C" w:rsidP="008C268C">
      <w:pPr>
        <w:tabs>
          <w:tab w:val="right" w:pos="9720"/>
        </w:tabs>
        <w:spacing w:after="0" w:line="240" w:lineRule="auto"/>
        <w:ind w:right="-79"/>
        <w:rPr>
          <w:rFonts w:ascii="Book Antiqua" w:hAnsi="Book Antiqua" w:cstheme="minorHAnsi"/>
          <w:b/>
          <w:color w:val="000000"/>
          <w:sz w:val="24"/>
          <w:szCs w:val="24"/>
        </w:rPr>
      </w:pPr>
      <w:r w:rsidRPr="00473A5C">
        <w:rPr>
          <w:rFonts w:ascii="Book Antiqua" w:hAnsi="Book Antiqua" w:cstheme="minorHAnsi"/>
          <w:b/>
          <w:color w:val="000000"/>
          <w:sz w:val="24"/>
          <w:szCs w:val="24"/>
        </w:rPr>
        <w:t>Upper Tribunal</w:t>
      </w:r>
    </w:p>
    <w:p w14:paraId="28BC9E72" w14:textId="7B42FFDC" w:rsidR="008C268C" w:rsidRPr="000E13A6" w:rsidRDefault="008C268C" w:rsidP="008C268C">
      <w:pPr>
        <w:tabs>
          <w:tab w:val="right" w:pos="9720"/>
        </w:tabs>
        <w:spacing w:after="0" w:line="240" w:lineRule="auto"/>
        <w:ind w:right="-79"/>
        <w:rPr>
          <w:rFonts w:ascii="Book Antiqua" w:hAnsi="Book Antiqua" w:cstheme="minorHAnsi"/>
          <w:b/>
          <w:color w:val="000000"/>
          <w:sz w:val="24"/>
          <w:szCs w:val="24"/>
        </w:rPr>
      </w:pPr>
      <w:r w:rsidRPr="00473A5C">
        <w:rPr>
          <w:rFonts w:ascii="Book Antiqua" w:hAnsi="Book Antiqua" w:cstheme="minorHAnsi"/>
          <w:b/>
          <w:color w:val="000000"/>
          <w:sz w:val="24"/>
          <w:szCs w:val="24"/>
        </w:rPr>
        <w:t>(Immigration and Asylum Chamber)</w:t>
      </w:r>
      <w:r w:rsidRPr="00473A5C">
        <w:rPr>
          <w:rFonts w:ascii="Book Antiqua" w:hAnsi="Book Antiqua" w:cstheme="minorHAnsi"/>
          <w:b/>
          <w:color w:val="000000"/>
          <w:sz w:val="24"/>
          <w:szCs w:val="24"/>
        </w:rPr>
        <w:tab/>
      </w:r>
      <w:r w:rsidRPr="000E13A6">
        <w:rPr>
          <w:rFonts w:ascii="Book Antiqua" w:hAnsi="Book Antiqua" w:cstheme="minorHAnsi"/>
          <w:b/>
          <w:color w:val="000000"/>
          <w:sz w:val="24"/>
          <w:szCs w:val="24"/>
        </w:rPr>
        <w:t>Appeal Number:</w:t>
      </w:r>
      <w:r w:rsidR="008C5DFB" w:rsidRPr="000E13A6">
        <w:rPr>
          <w:rFonts w:ascii="Book Antiqua" w:hAnsi="Book Antiqua" w:cstheme="minorHAnsi"/>
          <w:b/>
          <w:color w:val="000000"/>
          <w:sz w:val="24"/>
          <w:szCs w:val="24"/>
        </w:rPr>
        <w:t xml:space="preserve">  </w:t>
      </w:r>
      <w:r w:rsidR="00BF0C9E" w:rsidRPr="000E13A6">
        <w:rPr>
          <w:rFonts w:ascii="Book Antiqua" w:hAnsi="Book Antiqua" w:cstheme="minorHAnsi"/>
          <w:b/>
          <w:color w:val="000000"/>
          <w:sz w:val="24"/>
          <w:szCs w:val="24"/>
        </w:rPr>
        <w:t xml:space="preserve"> EA/03470/2019 </w:t>
      </w:r>
      <w:r w:rsidR="008C5DFB" w:rsidRPr="000E13A6">
        <w:rPr>
          <w:rFonts w:ascii="Book Antiqua" w:hAnsi="Book Antiqua" w:cstheme="minorHAnsi"/>
          <w:b/>
          <w:color w:val="000000"/>
          <w:sz w:val="24"/>
          <w:szCs w:val="24"/>
        </w:rPr>
        <w:t>(</w:t>
      </w:r>
      <w:r w:rsidR="00DA75F4" w:rsidRPr="000E13A6">
        <w:rPr>
          <w:rFonts w:ascii="Book Antiqua" w:hAnsi="Book Antiqua" w:cstheme="minorHAnsi"/>
          <w:b/>
          <w:color w:val="000000"/>
          <w:sz w:val="24"/>
          <w:szCs w:val="24"/>
        </w:rPr>
        <w:t>P</w:t>
      </w:r>
      <w:r w:rsidR="008C5DFB" w:rsidRPr="000E13A6">
        <w:rPr>
          <w:rFonts w:ascii="Book Antiqua" w:hAnsi="Book Antiqua" w:cstheme="minorHAnsi"/>
          <w:b/>
          <w:color w:val="000000"/>
          <w:sz w:val="24"/>
          <w:szCs w:val="24"/>
        </w:rPr>
        <w:t>)</w:t>
      </w:r>
      <w:r w:rsidRPr="000E13A6">
        <w:rPr>
          <w:rFonts w:ascii="Book Antiqua" w:hAnsi="Book Antiqua" w:cstheme="minorHAnsi"/>
          <w:b/>
          <w:color w:val="000000"/>
          <w:sz w:val="24"/>
          <w:szCs w:val="24"/>
        </w:rPr>
        <w:t xml:space="preserve"> </w:t>
      </w:r>
    </w:p>
    <w:p w14:paraId="7F6D1FEE" w14:textId="77777777" w:rsidR="004653AD" w:rsidRDefault="004653AD" w:rsidP="004653AD">
      <w:pPr>
        <w:spacing w:after="0" w:line="240" w:lineRule="auto"/>
        <w:jc w:val="center"/>
        <w:rPr>
          <w:rFonts w:ascii="Book Antiqua" w:hAnsi="Book Antiqua" w:cstheme="minorHAnsi"/>
          <w:b/>
          <w:color w:val="000000"/>
          <w:sz w:val="24"/>
          <w:szCs w:val="24"/>
          <w:u w:val="single"/>
        </w:rPr>
      </w:pPr>
    </w:p>
    <w:p w14:paraId="666C1D8D" w14:textId="45419139" w:rsidR="00BF5EB9" w:rsidRPr="00BF5EB9" w:rsidRDefault="008C268C" w:rsidP="00BF5EB9">
      <w:pPr>
        <w:jc w:val="center"/>
        <w:rPr>
          <w:rFonts w:ascii="Book Antiqua" w:hAnsi="Book Antiqua" w:cstheme="minorHAnsi"/>
          <w:b/>
          <w:color w:val="000000"/>
          <w:sz w:val="24"/>
          <w:szCs w:val="24"/>
          <w:u w:val="single"/>
        </w:rPr>
      </w:pPr>
      <w:r w:rsidRPr="00473A5C">
        <w:rPr>
          <w:rFonts w:ascii="Book Antiqua" w:hAnsi="Book Antiqua" w:cstheme="minorHAnsi"/>
          <w:b/>
          <w:color w:val="000000"/>
          <w:sz w:val="24"/>
          <w:szCs w:val="24"/>
          <w:u w:val="single"/>
        </w:rPr>
        <w:t>THE IMMIGRATION ACTS</w:t>
      </w:r>
    </w:p>
    <w:p w14:paraId="6BB1FEC1" w14:textId="5992D94C" w:rsidR="00482DC7" w:rsidRDefault="00BF5EB9" w:rsidP="004653AD">
      <w:pPr>
        <w:tabs>
          <w:tab w:val="left" w:pos="5940"/>
        </w:tabs>
        <w:spacing w:after="0" w:line="240" w:lineRule="auto"/>
        <w:rPr>
          <w:rFonts w:ascii="Book Antiqua" w:hAnsi="Book Antiqua" w:cstheme="minorHAnsi"/>
          <w:b/>
          <w:color w:val="000000"/>
          <w:sz w:val="24"/>
          <w:szCs w:val="24"/>
        </w:rPr>
      </w:pPr>
      <w:r w:rsidRPr="00BF5EB9">
        <w:rPr>
          <w:rFonts w:ascii="Book Antiqua" w:hAnsi="Book Antiqua" w:cstheme="minorHAnsi"/>
          <w:b/>
          <w:color w:val="000000"/>
          <w:sz w:val="24"/>
          <w:szCs w:val="24"/>
        </w:rPr>
        <w:t>DECIDED UNDER RULE 34</w:t>
      </w:r>
      <w:r w:rsidR="00847F09">
        <w:rPr>
          <w:rFonts w:ascii="Book Antiqua" w:hAnsi="Book Antiqua" w:cstheme="minorHAnsi"/>
          <w:b/>
          <w:color w:val="000000"/>
          <w:sz w:val="24"/>
          <w:szCs w:val="24"/>
        </w:rPr>
        <w:t xml:space="preserve">                                    Decision &amp; Reasons Promulgated</w:t>
      </w:r>
    </w:p>
    <w:p w14:paraId="71A716F1" w14:textId="186DDD3D" w:rsidR="00847F09" w:rsidRDefault="00847F09" w:rsidP="00847F09">
      <w:pPr>
        <w:tabs>
          <w:tab w:val="left" w:pos="5940"/>
        </w:tabs>
        <w:rPr>
          <w:rFonts w:ascii="Book Antiqua" w:hAnsi="Book Antiqua" w:cstheme="minorHAnsi"/>
          <w:b/>
          <w:color w:val="000000"/>
          <w:sz w:val="24"/>
          <w:szCs w:val="24"/>
        </w:rPr>
      </w:pPr>
      <w:r>
        <w:rPr>
          <w:rFonts w:ascii="Book Antiqua" w:hAnsi="Book Antiqua" w:cstheme="minorHAnsi"/>
          <w:b/>
          <w:color w:val="000000"/>
          <w:sz w:val="24"/>
          <w:szCs w:val="24"/>
        </w:rPr>
        <w:t xml:space="preserve">                                                                                         On 24 August 2020</w:t>
      </w:r>
    </w:p>
    <w:p w14:paraId="65752C62" w14:textId="77777777" w:rsidR="000E13A6" w:rsidRDefault="00482DC7" w:rsidP="00BF5EB9">
      <w:pPr>
        <w:rPr>
          <w:rFonts w:ascii="Book Antiqua" w:hAnsi="Book Antiqua" w:cstheme="minorHAnsi"/>
          <w:b/>
          <w:color w:val="000000"/>
          <w:sz w:val="24"/>
          <w:szCs w:val="24"/>
        </w:rPr>
      </w:pPr>
      <w:r>
        <w:rPr>
          <w:rFonts w:ascii="Book Antiqua" w:hAnsi="Book Antiqua" w:cstheme="minorHAnsi"/>
          <w:b/>
          <w:color w:val="000000"/>
          <w:sz w:val="24"/>
          <w:szCs w:val="24"/>
        </w:rPr>
        <w:tab/>
      </w:r>
      <w:r>
        <w:rPr>
          <w:rFonts w:ascii="Book Antiqua" w:hAnsi="Book Antiqua" w:cstheme="minorHAnsi"/>
          <w:b/>
          <w:color w:val="000000"/>
          <w:sz w:val="24"/>
          <w:szCs w:val="24"/>
        </w:rPr>
        <w:tab/>
      </w:r>
      <w:r>
        <w:rPr>
          <w:rFonts w:ascii="Book Antiqua" w:hAnsi="Book Antiqua" w:cstheme="minorHAnsi"/>
          <w:b/>
          <w:color w:val="000000"/>
          <w:sz w:val="24"/>
          <w:szCs w:val="24"/>
        </w:rPr>
        <w:tab/>
      </w:r>
      <w:r>
        <w:rPr>
          <w:rFonts w:ascii="Book Antiqua" w:hAnsi="Book Antiqua" w:cstheme="minorHAnsi"/>
          <w:b/>
          <w:color w:val="000000"/>
          <w:sz w:val="24"/>
          <w:szCs w:val="24"/>
        </w:rPr>
        <w:tab/>
      </w:r>
      <w:r>
        <w:rPr>
          <w:rFonts w:ascii="Book Antiqua" w:hAnsi="Book Antiqua" w:cstheme="minorHAnsi"/>
          <w:b/>
          <w:color w:val="000000"/>
          <w:sz w:val="24"/>
          <w:szCs w:val="24"/>
        </w:rPr>
        <w:tab/>
      </w:r>
      <w:r>
        <w:rPr>
          <w:rFonts w:ascii="Book Antiqua" w:hAnsi="Book Antiqua" w:cstheme="minorHAnsi"/>
          <w:b/>
          <w:color w:val="000000"/>
          <w:sz w:val="24"/>
          <w:szCs w:val="24"/>
        </w:rPr>
        <w:tab/>
      </w:r>
    </w:p>
    <w:p w14:paraId="268ED9A1" w14:textId="704C8DDD" w:rsidR="00482DC7" w:rsidRDefault="00482DC7" w:rsidP="000E13A6">
      <w:pPr>
        <w:jc w:val="center"/>
        <w:rPr>
          <w:rFonts w:ascii="Book Antiqua" w:hAnsi="Book Antiqua" w:cstheme="minorHAnsi"/>
          <w:b/>
          <w:color w:val="000000"/>
          <w:sz w:val="24"/>
          <w:szCs w:val="24"/>
        </w:rPr>
      </w:pPr>
      <w:r>
        <w:rPr>
          <w:rFonts w:ascii="Book Antiqua" w:hAnsi="Book Antiqua" w:cstheme="minorHAnsi"/>
          <w:b/>
          <w:color w:val="000000"/>
          <w:sz w:val="24"/>
          <w:szCs w:val="24"/>
        </w:rPr>
        <w:t>Before</w:t>
      </w:r>
    </w:p>
    <w:p w14:paraId="43EB5AC9" w14:textId="77777777" w:rsidR="000E13A6" w:rsidRDefault="000E13A6" w:rsidP="000E13A6">
      <w:pPr>
        <w:spacing w:after="0" w:line="240" w:lineRule="auto"/>
        <w:jc w:val="center"/>
        <w:rPr>
          <w:rFonts w:ascii="Book Antiqua" w:hAnsi="Book Antiqua" w:cstheme="minorHAnsi"/>
          <w:b/>
          <w:color w:val="000000"/>
          <w:sz w:val="24"/>
          <w:szCs w:val="24"/>
        </w:rPr>
      </w:pPr>
    </w:p>
    <w:p w14:paraId="166C4D6D" w14:textId="3EA616FB" w:rsidR="00482DC7" w:rsidRDefault="000E13A6" w:rsidP="00847F09">
      <w:pPr>
        <w:jc w:val="center"/>
        <w:rPr>
          <w:rFonts w:ascii="Book Antiqua" w:hAnsi="Book Antiqua" w:cstheme="minorHAnsi"/>
          <w:b/>
          <w:color w:val="000000"/>
          <w:sz w:val="24"/>
          <w:szCs w:val="24"/>
        </w:rPr>
      </w:pPr>
      <w:r>
        <w:rPr>
          <w:rFonts w:ascii="Book Antiqua" w:hAnsi="Book Antiqua" w:cstheme="minorHAnsi"/>
          <w:b/>
          <w:color w:val="000000"/>
          <w:sz w:val="24"/>
          <w:szCs w:val="24"/>
        </w:rPr>
        <w:t>UPPER TRIBUNAL JUDGE PICKUP</w:t>
      </w:r>
    </w:p>
    <w:p w14:paraId="04CC6D29" w14:textId="77777777" w:rsidR="000E13A6" w:rsidRPr="00BF5EB9" w:rsidRDefault="000E13A6" w:rsidP="000E13A6">
      <w:pPr>
        <w:spacing w:after="0" w:line="240" w:lineRule="auto"/>
        <w:jc w:val="center"/>
        <w:rPr>
          <w:rFonts w:ascii="Book Antiqua" w:hAnsi="Book Antiqua" w:cstheme="minorHAnsi"/>
          <w:b/>
          <w:color w:val="000000"/>
          <w:sz w:val="24"/>
          <w:szCs w:val="24"/>
        </w:rPr>
      </w:pPr>
    </w:p>
    <w:p w14:paraId="7637E1AE" w14:textId="52B74262" w:rsidR="008C268C" w:rsidRDefault="008C268C" w:rsidP="008C268C">
      <w:pPr>
        <w:jc w:val="center"/>
        <w:rPr>
          <w:rFonts w:ascii="Book Antiqua" w:hAnsi="Book Antiqua" w:cstheme="minorHAnsi"/>
          <w:b/>
          <w:sz w:val="24"/>
          <w:szCs w:val="24"/>
        </w:rPr>
      </w:pPr>
      <w:r w:rsidRPr="000E13A6">
        <w:rPr>
          <w:rFonts w:ascii="Book Antiqua" w:hAnsi="Book Antiqua" w:cstheme="minorHAnsi"/>
          <w:b/>
          <w:sz w:val="24"/>
          <w:szCs w:val="24"/>
        </w:rPr>
        <w:t>Between</w:t>
      </w:r>
    </w:p>
    <w:p w14:paraId="5B7A859D" w14:textId="77777777" w:rsidR="000E13A6" w:rsidRPr="000E13A6" w:rsidRDefault="000E13A6" w:rsidP="000E13A6">
      <w:pPr>
        <w:spacing w:after="0" w:line="240" w:lineRule="auto"/>
        <w:jc w:val="center"/>
        <w:rPr>
          <w:rFonts w:ascii="Book Antiqua" w:hAnsi="Book Antiqua" w:cstheme="minorHAnsi"/>
          <w:b/>
          <w:sz w:val="24"/>
          <w:szCs w:val="24"/>
        </w:rPr>
      </w:pPr>
    </w:p>
    <w:p w14:paraId="14BD4C82" w14:textId="53E5F119" w:rsidR="00DD401A" w:rsidRPr="00473A5C" w:rsidRDefault="00BF0C9E" w:rsidP="000E13A6">
      <w:pPr>
        <w:spacing w:after="0" w:line="240" w:lineRule="auto"/>
        <w:jc w:val="center"/>
        <w:rPr>
          <w:rFonts w:ascii="Book Antiqua" w:hAnsi="Book Antiqua" w:cstheme="minorHAnsi"/>
          <w:b/>
          <w:sz w:val="24"/>
          <w:szCs w:val="24"/>
        </w:rPr>
      </w:pPr>
      <w:r>
        <w:rPr>
          <w:rFonts w:ascii="Book Antiqua" w:hAnsi="Book Antiqua" w:cstheme="minorHAnsi"/>
          <w:b/>
          <w:sz w:val="24"/>
          <w:szCs w:val="24"/>
        </w:rPr>
        <w:t>MANSOOR NAZIR</w:t>
      </w:r>
    </w:p>
    <w:p w14:paraId="4EFFCD27" w14:textId="77777777" w:rsidR="008C268C" w:rsidRPr="00473A5C" w:rsidRDefault="008C268C" w:rsidP="008C268C">
      <w:pPr>
        <w:jc w:val="right"/>
        <w:rPr>
          <w:rFonts w:ascii="Book Antiqua" w:hAnsi="Book Antiqua" w:cstheme="minorHAnsi"/>
          <w:sz w:val="24"/>
          <w:szCs w:val="24"/>
          <w:u w:val="single"/>
        </w:rPr>
      </w:pPr>
      <w:r w:rsidRPr="00473A5C">
        <w:rPr>
          <w:rFonts w:ascii="Book Antiqua" w:hAnsi="Book Antiqua" w:cstheme="minorHAnsi"/>
          <w:sz w:val="24"/>
          <w:szCs w:val="24"/>
          <w:u w:val="single"/>
        </w:rPr>
        <w:t>Appellant</w:t>
      </w:r>
    </w:p>
    <w:p w14:paraId="0C99F036" w14:textId="6D52CEC6" w:rsidR="008C268C" w:rsidRPr="00BF5EB9" w:rsidRDefault="008C268C" w:rsidP="00BF5EB9">
      <w:pPr>
        <w:jc w:val="center"/>
        <w:rPr>
          <w:rFonts w:ascii="Book Antiqua" w:hAnsi="Book Antiqua" w:cstheme="minorHAnsi"/>
          <w:sz w:val="24"/>
          <w:szCs w:val="24"/>
        </w:rPr>
      </w:pPr>
      <w:r w:rsidRPr="00473A5C">
        <w:rPr>
          <w:rFonts w:ascii="Book Antiqua" w:hAnsi="Book Antiqua" w:cstheme="minorHAnsi"/>
          <w:sz w:val="24"/>
          <w:szCs w:val="24"/>
        </w:rPr>
        <w:t>and</w:t>
      </w:r>
    </w:p>
    <w:p w14:paraId="08A0FC4C" w14:textId="43083D78" w:rsidR="008C268C" w:rsidRPr="00395E79" w:rsidRDefault="008C07B2" w:rsidP="000E13A6">
      <w:pPr>
        <w:spacing w:after="0" w:line="240" w:lineRule="auto"/>
        <w:jc w:val="center"/>
        <w:rPr>
          <w:rFonts w:ascii="Book Antiqua" w:hAnsi="Book Antiqua" w:cstheme="minorHAnsi"/>
          <w:b/>
          <w:caps/>
          <w:sz w:val="24"/>
          <w:szCs w:val="24"/>
        </w:rPr>
      </w:pPr>
      <w:r w:rsidRPr="00473A5C">
        <w:rPr>
          <w:rFonts w:ascii="Book Antiqua" w:hAnsi="Book Antiqua" w:cstheme="minorHAnsi"/>
          <w:b/>
          <w:caps/>
          <w:sz w:val="24"/>
          <w:szCs w:val="24"/>
        </w:rPr>
        <w:t>THE SECRETARY OF STATE FOR THE HOME DEPARTMENT</w:t>
      </w:r>
    </w:p>
    <w:p w14:paraId="22FB9753" w14:textId="6E3FBA36" w:rsidR="008C268C" w:rsidRDefault="008C268C" w:rsidP="008C268C">
      <w:pPr>
        <w:jc w:val="right"/>
        <w:rPr>
          <w:rFonts w:ascii="Book Antiqua" w:hAnsi="Book Antiqua" w:cstheme="minorHAnsi"/>
          <w:sz w:val="24"/>
          <w:szCs w:val="24"/>
          <w:u w:val="single"/>
        </w:rPr>
      </w:pPr>
      <w:r w:rsidRPr="00473A5C">
        <w:rPr>
          <w:rFonts w:ascii="Book Antiqua" w:hAnsi="Book Antiqua" w:cstheme="minorHAnsi"/>
          <w:sz w:val="24"/>
          <w:szCs w:val="24"/>
          <w:u w:val="single"/>
        </w:rPr>
        <w:t>Respondent</w:t>
      </w:r>
    </w:p>
    <w:p w14:paraId="1DD7ACBE" w14:textId="77777777" w:rsidR="00482DC7" w:rsidRPr="00473A5C" w:rsidRDefault="00482DC7" w:rsidP="008C268C">
      <w:pPr>
        <w:jc w:val="right"/>
        <w:rPr>
          <w:rFonts w:ascii="Book Antiqua" w:hAnsi="Book Antiqua" w:cstheme="minorHAnsi"/>
          <w:sz w:val="24"/>
          <w:szCs w:val="24"/>
          <w:u w:val="single"/>
        </w:rPr>
      </w:pPr>
    </w:p>
    <w:p w14:paraId="2BF1FE39" w14:textId="2075DB31" w:rsidR="008C268C" w:rsidRPr="00473A5C" w:rsidRDefault="008B3201" w:rsidP="00395E79">
      <w:pPr>
        <w:jc w:val="center"/>
        <w:rPr>
          <w:rFonts w:ascii="Book Antiqua" w:hAnsi="Book Antiqua" w:cstheme="minorHAnsi"/>
          <w:b/>
          <w:sz w:val="24"/>
          <w:szCs w:val="24"/>
          <w:u w:val="single"/>
        </w:rPr>
      </w:pPr>
      <w:r>
        <w:rPr>
          <w:rFonts w:ascii="Book Antiqua" w:hAnsi="Book Antiqua" w:cstheme="minorHAnsi"/>
          <w:b/>
          <w:sz w:val="24"/>
          <w:szCs w:val="24"/>
          <w:u w:val="single"/>
        </w:rPr>
        <w:t xml:space="preserve">DECISIONS, REASONS </w:t>
      </w:r>
      <w:r w:rsidR="006B627B" w:rsidRPr="00473A5C">
        <w:rPr>
          <w:rFonts w:ascii="Book Antiqua" w:hAnsi="Book Antiqua" w:cstheme="minorHAnsi"/>
          <w:b/>
          <w:sz w:val="24"/>
          <w:szCs w:val="24"/>
          <w:u w:val="single"/>
        </w:rPr>
        <w:t>AND DIRECTIONS</w:t>
      </w:r>
      <w:r w:rsidR="008C5DFB">
        <w:rPr>
          <w:rFonts w:ascii="Book Antiqua" w:hAnsi="Book Antiqua" w:cstheme="minorHAnsi"/>
          <w:b/>
          <w:sz w:val="24"/>
          <w:szCs w:val="24"/>
          <w:u w:val="single"/>
        </w:rPr>
        <w:t xml:space="preserve"> (</w:t>
      </w:r>
      <w:r w:rsidR="00DA75F4">
        <w:rPr>
          <w:rFonts w:ascii="Book Antiqua" w:hAnsi="Book Antiqua" w:cstheme="minorHAnsi"/>
          <w:b/>
          <w:sz w:val="24"/>
          <w:szCs w:val="24"/>
          <w:u w:val="single"/>
        </w:rPr>
        <w:t>P</w:t>
      </w:r>
      <w:r w:rsidR="008C5DFB">
        <w:rPr>
          <w:rFonts w:ascii="Book Antiqua" w:hAnsi="Book Antiqua" w:cstheme="minorHAnsi"/>
          <w:b/>
          <w:sz w:val="24"/>
          <w:szCs w:val="24"/>
          <w:u w:val="single"/>
        </w:rPr>
        <w:t>)</w:t>
      </w:r>
    </w:p>
    <w:p w14:paraId="758A16DD" w14:textId="618D0FD9" w:rsidR="00416F6C" w:rsidRDefault="008B3201" w:rsidP="008B3201">
      <w:pPr>
        <w:numPr>
          <w:ilvl w:val="0"/>
          <w:numId w:val="1"/>
        </w:numPr>
        <w:jc w:val="both"/>
        <w:rPr>
          <w:rFonts w:ascii="Book Antiqua" w:hAnsi="Book Antiqua"/>
          <w:sz w:val="24"/>
          <w:szCs w:val="24"/>
        </w:rPr>
      </w:pPr>
      <w:r w:rsidRPr="00734691">
        <w:rPr>
          <w:rFonts w:ascii="Book Antiqua" w:hAnsi="Book Antiqua"/>
          <w:sz w:val="24"/>
          <w:szCs w:val="24"/>
        </w:rPr>
        <w:t>The appellant</w:t>
      </w:r>
      <w:r w:rsidR="00F2790E">
        <w:rPr>
          <w:rFonts w:ascii="Book Antiqua" w:hAnsi="Book Antiqua"/>
          <w:sz w:val="24"/>
          <w:szCs w:val="24"/>
        </w:rPr>
        <w:t xml:space="preserve">, a national of </w:t>
      </w:r>
      <w:r w:rsidR="00BF0C9E">
        <w:rPr>
          <w:rFonts w:ascii="Book Antiqua" w:hAnsi="Book Antiqua"/>
          <w:sz w:val="24"/>
          <w:szCs w:val="24"/>
        </w:rPr>
        <w:t>Pakistan with date of birth given as 30.10.80</w:t>
      </w:r>
      <w:r w:rsidR="00F2790E">
        <w:rPr>
          <w:rFonts w:ascii="Book Antiqua" w:hAnsi="Book Antiqua"/>
          <w:sz w:val="24"/>
          <w:szCs w:val="24"/>
        </w:rPr>
        <w:t>,</w:t>
      </w:r>
      <w:r w:rsidRPr="00734691">
        <w:rPr>
          <w:rFonts w:ascii="Book Antiqua" w:hAnsi="Book Antiqua"/>
          <w:sz w:val="24"/>
          <w:szCs w:val="24"/>
        </w:rPr>
        <w:t xml:space="preserve"> has appealed to the Upper Tribunal </w:t>
      </w:r>
      <w:r w:rsidR="00BF0C9E">
        <w:rPr>
          <w:rFonts w:ascii="Book Antiqua" w:hAnsi="Book Antiqua"/>
          <w:sz w:val="24"/>
          <w:szCs w:val="24"/>
        </w:rPr>
        <w:t xml:space="preserve">with permission </w:t>
      </w:r>
      <w:r w:rsidRPr="00734691">
        <w:rPr>
          <w:rFonts w:ascii="Book Antiqua" w:hAnsi="Book Antiqua"/>
          <w:sz w:val="24"/>
          <w:szCs w:val="24"/>
        </w:rPr>
        <w:t xml:space="preserve">against the decision of the First-tier Tribunal </w:t>
      </w:r>
      <w:r w:rsidR="00F2790E">
        <w:rPr>
          <w:rFonts w:ascii="Book Antiqua" w:hAnsi="Book Antiqua"/>
          <w:sz w:val="24"/>
          <w:szCs w:val="24"/>
        </w:rPr>
        <w:t>promulgated</w:t>
      </w:r>
      <w:r w:rsidR="00596279">
        <w:rPr>
          <w:rFonts w:ascii="Book Antiqua" w:hAnsi="Book Antiqua"/>
          <w:sz w:val="24"/>
          <w:szCs w:val="24"/>
        </w:rPr>
        <w:t xml:space="preserve"> </w:t>
      </w:r>
      <w:r w:rsidR="002536BB">
        <w:rPr>
          <w:rFonts w:ascii="Book Antiqua" w:hAnsi="Book Antiqua"/>
          <w:sz w:val="24"/>
          <w:szCs w:val="24"/>
        </w:rPr>
        <w:t>4.12.19</w:t>
      </w:r>
      <w:r w:rsidR="00596279">
        <w:rPr>
          <w:rFonts w:ascii="Book Antiqua" w:hAnsi="Book Antiqua"/>
          <w:sz w:val="24"/>
          <w:szCs w:val="24"/>
        </w:rPr>
        <w:t xml:space="preserve">, dismissing his appeal </w:t>
      </w:r>
      <w:r w:rsidR="0014526D">
        <w:rPr>
          <w:rFonts w:ascii="Book Antiqua" w:hAnsi="Book Antiqua"/>
          <w:sz w:val="24"/>
          <w:szCs w:val="24"/>
        </w:rPr>
        <w:t xml:space="preserve">against the respondent’s decision of </w:t>
      </w:r>
      <w:r w:rsidR="002536BB">
        <w:rPr>
          <w:rFonts w:ascii="Book Antiqua" w:hAnsi="Book Antiqua"/>
          <w:sz w:val="24"/>
          <w:szCs w:val="24"/>
        </w:rPr>
        <w:t xml:space="preserve">8.7.19 refusing </w:t>
      </w:r>
      <w:r w:rsidR="00900B20">
        <w:rPr>
          <w:rFonts w:ascii="Book Antiqua" w:hAnsi="Book Antiqua"/>
          <w:sz w:val="24"/>
          <w:szCs w:val="24"/>
        </w:rPr>
        <w:t>his application made on 26.2.19 for an EEA Residence Card</w:t>
      </w:r>
      <w:r w:rsidR="004736EA">
        <w:rPr>
          <w:rFonts w:ascii="Book Antiqua" w:hAnsi="Book Antiqua"/>
          <w:sz w:val="24"/>
          <w:szCs w:val="24"/>
        </w:rPr>
        <w:t xml:space="preserve">, pursuant to Regulation 8 of the Immigration (EEA) Regulations 2016, as the extended family member of </w:t>
      </w:r>
      <w:r w:rsidR="00FE2027">
        <w:rPr>
          <w:rFonts w:ascii="Book Antiqua" w:hAnsi="Book Antiqua"/>
          <w:sz w:val="24"/>
          <w:szCs w:val="24"/>
        </w:rPr>
        <w:t>his maternal first cousin, Nasreen Akhtar</w:t>
      </w:r>
      <w:r w:rsidR="00751376">
        <w:rPr>
          <w:rFonts w:ascii="Book Antiqua" w:hAnsi="Book Antiqua"/>
          <w:sz w:val="24"/>
          <w:szCs w:val="24"/>
        </w:rPr>
        <w:t xml:space="preserve"> (the sponsor)</w:t>
      </w:r>
      <w:r w:rsidR="00FE2027">
        <w:rPr>
          <w:rFonts w:ascii="Book Antiqua" w:hAnsi="Book Antiqua"/>
          <w:sz w:val="24"/>
          <w:szCs w:val="24"/>
        </w:rPr>
        <w:t>, a Norwegian citizen, exercising Treaty rights in the UK</w:t>
      </w:r>
      <w:r w:rsidR="00751376">
        <w:rPr>
          <w:rFonts w:ascii="Book Antiqua" w:hAnsi="Book Antiqua"/>
          <w:sz w:val="24"/>
          <w:szCs w:val="24"/>
        </w:rPr>
        <w:t>.</w:t>
      </w:r>
    </w:p>
    <w:p w14:paraId="245083BA" w14:textId="2D011527" w:rsidR="00751376" w:rsidRDefault="00751376" w:rsidP="008B3201">
      <w:pPr>
        <w:numPr>
          <w:ilvl w:val="0"/>
          <w:numId w:val="1"/>
        </w:numPr>
        <w:jc w:val="both"/>
        <w:rPr>
          <w:rFonts w:ascii="Book Antiqua" w:hAnsi="Book Antiqua"/>
          <w:sz w:val="24"/>
          <w:szCs w:val="24"/>
        </w:rPr>
      </w:pPr>
      <w:r>
        <w:rPr>
          <w:rFonts w:ascii="Book Antiqua" w:hAnsi="Book Antiqua"/>
          <w:sz w:val="24"/>
          <w:szCs w:val="24"/>
        </w:rPr>
        <w:t xml:space="preserve">The application was refused because the respondent was not satisfied that the appellant had been dependent on or residing with the sponsor </w:t>
      </w:r>
      <w:r w:rsidR="00786C00">
        <w:rPr>
          <w:rFonts w:ascii="Book Antiqua" w:hAnsi="Book Antiqua"/>
          <w:sz w:val="24"/>
          <w:szCs w:val="24"/>
        </w:rPr>
        <w:t>before he came to the UK and that since then he had continued to be dependent on or resident with her</w:t>
      </w:r>
      <w:r w:rsidR="00A80120">
        <w:rPr>
          <w:rFonts w:ascii="Book Antiqua" w:hAnsi="Book Antiqua"/>
          <w:sz w:val="24"/>
          <w:szCs w:val="24"/>
        </w:rPr>
        <w:t xml:space="preserve">, as required by the Regulations. </w:t>
      </w:r>
    </w:p>
    <w:p w14:paraId="1D954C91" w14:textId="4C008D63" w:rsidR="00A80120" w:rsidRDefault="0065761A" w:rsidP="008B3201">
      <w:pPr>
        <w:numPr>
          <w:ilvl w:val="0"/>
          <w:numId w:val="1"/>
        </w:numPr>
        <w:jc w:val="both"/>
        <w:rPr>
          <w:rFonts w:ascii="Book Antiqua" w:hAnsi="Book Antiqua"/>
          <w:sz w:val="24"/>
          <w:szCs w:val="24"/>
        </w:rPr>
      </w:pPr>
      <w:r>
        <w:rPr>
          <w:rFonts w:ascii="Book Antiqua" w:hAnsi="Book Antiqua"/>
          <w:sz w:val="24"/>
          <w:szCs w:val="24"/>
        </w:rPr>
        <w:t>For the reasons set out in the impugned decision, t</w:t>
      </w:r>
      <w:r w:rsidR="00A80120">
        <w:rPr>
          <w:rFonts w:ascii="Book Antiqua" w:hAnsi="Book Antiqua"/>
          <w:sz w:val="24"/>
          <w:szCs w:val="24"/>
        </w:rPr>
        <w:t xml:space="preserve">he First-tier Tribunal panel concluded that the appellant failed to demonstrate both prior </w:t>
      </w:r>
      <w:r w:rsidR="00A80120">
        <w:rPr>
          <w:rFonts w:ascii="Book Antiqua" w:hAnsi="Book Antiqua"/>
          <w:sz w:val="24"/>
          <w:szCs w:val="24"/>
        </w:rPr>
        <w:lastRenderedPageBreak/>
        <w:t>dependence/membership of household and present dependence/membership of household</w:t>
      </w:r>
      <w:r>
        <w:rPr>
          <w:rFonts w:ascii="Book Antiqua" w:hAnsi="Book Antiqua"/>
          <w:sz w:val="24"/>
          <w:szCs w:val="24"/>
        </w:rPr>
        <w:t xml:space="preserve">. </w:t>
      </w:r>
    </w:p>
    <w:p w14:paraId="54F1D043" w14:textId="3DA14DF0" w:rsidR="0014526D" w:rsidRDefault="006E7CB4" w:rsidP="008B3201">
      <w:pPr>
        <w:numPr>
          <w:ilvl w:val="0"/>
          <w:numId w:val="1"/>
        </w:numPr>
        <w:jc w:val="both"/>
        <w:rPr>
          <w:rFonts w:ascii="Book Antiqua" w:hAnsi="Book Antiqua"/>
          <w:sz w:val="24"/>
          <w:szCs w:val="24"/>
        </w:rPr>
      </w:pPr>
      <w:r>
        <w:rPr>
          <w:rFonts w:ascii="Book Antiqua" w:hAnsi="Book Antiqua"/>
          <w:sz w:val="24"/>
          <w:szCs w:val="24"/>
        </w:rPr>
        <w:t xml:space="preserve">Permission to appeal to the Upper Tribunal was granted by the First-tier Tribunal on </w:t>
      </w:r>
      <w:r w:rsidR="006B26EB">
        <w:rPr>
          <w:rFonts w:ascii="Book Antiqua" w:hAnsi="Book Antiqua"/>
          <w:sz w:val="24"/>
          <w:szCs w:val="24"/>
        </w:rPr>
        <w:t>15.5.20</w:t>
      </w:r>
      <w:r>
        <w:rPr>
          <w:rFonts w:ascii="Book Antiqua" w:hAnsi="Book Antiqua"/>
          <w:sz w:val="24"/>
          <w:szCs w:val="24"/>
        </w:rPr>
        <w:t xml:space="preserve">, on the basis that it was </w:t>
      </w:r>
      <w:r w:rsidR="00416F6C">
        <w:rPr>
          <w:rFonts w:ascii="Book Antiqua" w:hAnsi="Book Antiqua"/>
          <w:sz w:val="24"/>
          <w:szCs w:val="24"/>
        </w:rPr>
        <w:t xml:space="preserve">arguable that the First-tier Tribunal materially erred </w:t>
      </w:r>
      <w:r w:rsidR="006B26EB">
        <w:rPr>
          <w:rFonts w:ascii="Book Antiqua" w:hAnsi="Book Antiqua"/>
          <w:sz w:val="24"/>
          <w:szCs w:val="24"/>
        </w:rPr>
        <w:t xml:space="preserve">in misunderstanding the evidence </w:t>
      </w:r>
      <w:r w:rsidR="00C5045B">
        <w:rPr>
          <w:rFonts w:ascii="Book Antiqua" w:hAnsi="Book Antiqua"/>
          <w:sz w:val="24"/>
          <w:szCs w:val="24"/>
        </w:rPr>
        <w:t>“</w:t>
      </w:r>
      <w:r w:rsidR="00C5045B" w:rsidRPr="00C5045B">
        <w:rPr>
          <w:rFonts w:ascii="Book Antiqua" w:hAnsi="Book Antiqua"/>
          <w:i/>
          <w:iCs/>
          <w:sz w:val="24"/>
          <w:szCs w:val="24"/>
        </w:rPr>
        <w:t>particularly with respect to payments said in the Decision and Reasons to have been paid by Javid Akhtar. There is less merit in other grounds, but permission is nevertheless granted</w:t>
      </w:r>
      <w:r w:rsidR="00C5045B">
        <w:rPr>
          <w:rFonts w:ascii="Book Antiqua" w:hAnsi="Book Antiqua"/>
          <w:sz w:val="24"/>
          <w:szCs w:val="24"/>
        </w:rPr>
        <w:t>.”</w:t>
      </w:r>
      <w:r w:rsidR="00416F6C">
        <w:rPr>
          <w:rFonts w:ascii="Book Antiqua" w:hAnsi="Book Antiqua"/>
          <w:sz w:val="24"/>
          <w:szCs w:val="24"/>
        </w:rPr>
        <w:t xml:space="preserve"> </w:t>
      </w:r>
    </w:p>
    <w:p w14:paraId="48F5EB2E" w14:textId="2CC41A63" w:rsidR="00267882" w:rsidRDefault="00417A2C" w:rsidP="008B3201">
      <w:pPr>
        <w:numPr>
          <w:ilvl w:val="0"/>
          <w:numId w:val="1"/>
        </w:numPr>
        <w:jc w:val="both"/>
        <w:rPr>
          <w:rFonts w:ascii="Book Antiqua" w:hAnsi="Book Antiqua"/>
          <w:sz w:val="24"/>
          <w:szCs w:val="24"/>
        </w:rPr>
      </w:pPr>
      <w:r>
        <w:rPr>
          <w:rFonts w:ascii="Book Antiqua" w:hAnsi="Book Antiqua"/>
          <w:sz w:val="24"/>
          <w:szCs w:val="24"/>
        </w:rPr>
        <w:t xml:space="preserve">On </w:t>
      </w:r>
      <w:r w:rsidR="00A668AE">
        <w:rPr>
          <w:rFonts w:ascii="Book Antiqua" w:hAnsi="Book Antiqua"/>
          <w:sz w:val="24"/>
          <w:szCs w:val="24"/>
        </w:rPr>
        <w:t>2.7.20</w:t>
      </w:r>
      <w:r w:rsidR="000E5108">
        <w:rPr>
          <w:rFonts w:ascii="Book Antiqua" w:hAnsi="Book Antiqua"/>
          <w:sz w:val="24"/>
          <w:szCs w:val="24"/>
        </w:rPr>
        <w:t xml:space="preserve"> the Upper Tribunal issued directions proposing that the error of law </w:t>
      </w:r>
      <w:r w:rsidR="005567AE">
        <w:rPr>
          <w:rFonts w:ascii="Book Antiqua" w:hAnsi="Book Antiqua"/>
          <w:sz w:val="24"/>
          <w:szCs w:val="24"/>
        </w:rPr>
        <w:t xml:space="preserve">issue should be decided on the papers without a hearing and provided for further written submissions. </w:t>
      </w:r>
    </w:p>
    <w:p w14:paraId="7A351164" w14:textId="1DF2B957" w:rsidR="00A668AE" w:rsidRDefault="00A668AE" w:rsidP="008B3201">
      <w:pPr>
        <w:numPr>
          <w:ilvl w:val="0"/>
          <w:numId w:val="1"/>
        </w:numPr>
        <w:jc w:val="both"/>
        <w:rPr>
          <w:rFonts w:ascii="Book Antiqua" w:hAnsi="Book Antiqua"/>
          <w:sz w:val="24"/>
          <w:szCs w:val="24"/>
        </w:rPr>
      </w:pPr>
      <w:r>
        <w:rPr>
          <w:rFonts w:ascii="Book Antiqua" w:hAnsi="Book Antiqua"/>
          <w:sz w:val="24"/>
          <w:szCs w:val="24"/>
        </w:rPr>
        <w:t xml:space="preserve">There has been no response from the appellant to the directions. On </w:t>
      </w:r>
      <w:r w:rsidR="00650017">
        <w:rPr>
          <w:rFonts w:ascii="Book Antiqua" w:hAnsi="Book Antiqua"/>
          <w:sz w:val="24"/>
          <w:szCs w:val="24"/>
        </w:rPr>
        <w:t xml:space="preserve">21.7.20, the Upper Tribunal received the respondent’s submissions, </w:t>
      </w:r>
      <w:r w:rsidR="00255CA2">
        <w:rPr>
          <w:rFonts w:ascii="Book Antiqua" w:hAnsi="Book Antiqua"/>
          <w:sz w:val="24"/>
          <w:szCs w:val="24"/>
        </w:rPr>
        <w:t xml:space="preserve">drafted by Stephen Whitwell, Senior Presenting Officer. </w:t>
      </w:r>
    </w:p>
    <w:p w14:paraId="23BF4E09" w14:textId="6B1D2954" w:rsidR="008B3201" w:rsidRDefault="008A00C9" w:rsidP="008B3201">
      <w:pPr>
        <w:numPr>
          <w:ilvl w:val="0"/>
          <w:numId w:val="1"/>
        </w:numPr>
        <w:jc w:val="both"/>
        <w:rPr>
          <w:rFonts w:ascii="Book Antiqua" w:hAnsi="Book Antiqua"/>
          <w:sz w:val="24"/>
          <w:szCs w:val="24"/>
        </w:rPr>
      </w:pPr>
      <w:r>
        <w:rPr>
          <w:rFonts w:ascii="Book Antiqua" w:hAnsi="Book Antiqua"/>
          <w:sz w:val="24"/>
          <w:szCs w:val="24"/>
        </w:rPr>
        <w:t>I have</w:t>
      </w:r>
      <w:r w:rsidR="008B3201" w:rsidRPr="00734691">
        <w:rPr>
          <w:rFonts w:ascii="Book Antiqua" w:hAnsi="Book Antiqua"/>
          <w:sz w:val="24"/>
          <w:szCs w:val="24"/>
        </w:rPr>
        <w:t xml:space="preserve"> had regard to the Senior President of Tribunals’ Practice Direction, </w:t>
      </w:r>
      <w:r w:rsidR="008B3201" w:rsidRPr="00734691">
        <w:rPr>
          <w:rFonts w:ascii="Book Antiqua" w:hAnsi="Book Antiqua"/>
          <w:i/>
          <w:iCs/>
          <w:sz w:val="24"/>
          <w:szCs w:val="24"/>
        </w:rPr>
        <w:t xml:space="preserve">Pilot Practice Direction: Contingency Arrangements in the First-tier Tribunal and the Upper Tribunal, </w:t>
      </w:r>
      <w:r w:rsidR="008B3201" w:rsidRPr="00734691">
        <w:rPr>
          <w:rFonts w:ascii="Book Antiqua" w:hAnsi="Book Antiqua"/>
          <w:sz w:val="24"/>
          <w:szCs w:val="24"/>
        </w:rPr>
        <w:t xml:space="preserve">to the </w:t>
      </w:r>
      <w:r w:rsidR="008B3201" w:rsidRPr="00734691">
        <w:rPr>
          <w:rFonts w:ascii="Book Antiqua" w:hAnsi="Book Antiqua"/>
          <w:i/>
          <w:iCs/>
          <w:sz w:val="24"/>
          <w:szCs w:val="24"/>
        </w:rPr>
        <w:t>UTIAC Presidential Guidance Note No 1 of 2020</w:t>
      </w:r>
      <w:r w:rsidR="008B3201" w:rsidRPr="00734691">
        <w:rPr>
          <w:rFonts w:ascii="Book Antiqua" w:hAnsi="Book Antiqua"/>
          <w:sz w:val="24"/>
          <w:szCs w:val="24"/>
        </w:rPr>
        <w:t xml:space="preserve">, </w:t>
      </w:r>
      <w:r w:rsidR="008B3201" w:rsidRPr="00734691">
        <w:rPr>
          <w:rFonts w:ascii="Book Antiqua" w:hAnsi="Book Antiqua"/>
          <w:i/>
          <w:iCs/>
          <w:sz w:val="24"/>
          <w:szCs w:val="24"/>
        </w:rPr>
        <w:t xml:space="preserve">Arrangements during the COVID-19 pandemic, </w:t>
      </w:r>
      <w:r w:rsidR="008B3201" w:rsidRPr="00734691">
        <w:rPr>
          <w:rFonts w:ascii="Book Antiqua" w:hAnsi="Book Antiqua"/>
          <w:sz w:val="24"/>
          <w:szCs w:val="24"/>
        </w:rPr>
        <w:t>and to rule 34 of the Tribunal Procedure (Upper Tribunal) Rules 2008 (as amended)</w:t>
      </w:r>
      <w:r w:rsidR="00FF79B3">
        <w:rPr>
          <w:rFonts w:ascii="Book Antiqua" w:hAnsi="Book Antiqua"/>
          <w:sz w:val="24"/>
          <w:szCs w:val="24"/>
        </w:rPr>
        <w:t>, and to the views expressed by the parties</w:t>
      </w:r>
      <w:r w:rsidR="00FB17DF">
        <w:rPr>
          <w:rFonts w:ascii="Book Antiqua" w:hAnsi="Book Antiqua"/>
          <w:sz w:val="24"/>
          <w:szCs w:val="24"/>
        </w:rPr>
        <w:t xml:space="preserve">, neither of which </w:t>
      </w:r>
      <w:r w:rsidR="001D309D">
        <w:rPr>
          <w:rFonts w:ascii="Book Antiqua" w:hAnsi="Book Antiqua"/>
          <w:sz w:val="24"/>
          <w:szCs w:val="24"/>
        </w:rPr>
        <w:t xml:space="preserve">has </w:t>
      </w:r>
      <w:r w:rsidR="00FB17DF">
        <w:rPr>
          <w:rFonts w:ascii="Book Antiqua" w:hAnsi="Book Antiqua"/>
          <w:sz w:val="24"/>
          <w:szCs w:val="24"/>
        </w:rPr>
        <w:t>object</w:t>
      </w:r>
      <w:r w:rsidR="001D309D">
        <w:rPr>
          <w:rFonts w:ascii="Book Antiqua" w:hAnsi="Book Antiqua"/>
          <w:sz w:val="24"/>
          <w:szCs w:val="24"/>
        </w:rPr>
        <w:t>ed</w:t>
      </w:r>
      <w:r w:rsidR="00FB17DF">
        <w:rPr>
          <w:rFonts w:ascii="Book Antiqua" w:hAnsi="Book Antiqua"/>
          <w:sz w:val="24"/>
          <w:szCs w:val="24"/>
        </w:rPr>
        <w:t xml:space="preserve"> to the error of law issue being decided without a hearing</w:t>
      </w:r>
      <w:r w:rsidR="001D309D">
        <w:rPr>
          <w:rFonts w:ascii="Book Antiqua" w:hAnsi="Book Antiqua"/>
          <w:sz w:val="24"/>
          <w:szCs w:val="24"/>
        </w:rPr>
        <w:t>.</w:t>
      </w:r>
      <w:r w:rsidR="00FB17DF">
        <w:rPr>
          <w:rFonts w:ascii="Book Antiqua" w:hAnsi="Book Antiqua"/>
          <w:sz w:val="24"/>
          <w:szCs w:val="24"/>
        </w:rPr>
        <w:t xml:space="preserve"> </w:t>
      </w:r>
      <w:r w:rsidR="00174751">
        <w:rPr>
          <w:rFonts w:ascii="Book Antiqua" w:hAnsi="Book Antiqua"/>
          <w:sz w:val="24"/>
          <w:szCs w:val="24"/>
        </w:rPr>
        <w:t xml:space="preserve">The grounds of application for permission to appeal are clear and </w:t>
      </w:r>
      <w:r w:rsidR="000E4896">
        <w:rPr>
          <w:rFonts w:ascii="Book Antiqua" w:hAnsi="Book Antiqua"/>
          <w:sz w:val="24"/>
          <w:szCs w:val="24"/>
        </w:rPr>
        <w:t xml:space="preserve">a sufficient statement of the appellant’s case on appeal against the decision of the First-tier Tribunal. </w:t>
      </w:r>
      <w:r w:rsidR="00A42DC9">
        <w:rPr>
          <w:rFonts w:ascii="Book Antiqua" w:hAnsi="Book Antiqua"/>
          <w:sz w:val="24"/>
          <w:szCs w:val="24"/>
        </w:rPr>
        <w:t>I note that the directions were sent to the appellant’s registered legal representatives by email on 2.7.20.</w:t>
      </w:r>
      <w:r w:rsidR="003F7C86">
        <w:rPr>
          <w:rFonts w:ascii="Book Antiqua" w:hAnsi="Book Antiqua"/>
          <w:sz w:val="24"/>
          <w:szCs w:val="24"/>
        </w:rPr>
        <w:t xml:space="preserve"> </w:t>
      </w:r>
      <w:r w:rsidR="000E4896">
        <w:rPr>
          <w:rFonts w:ascii="Book Antiqua" w:hAnsi="Book Antiqua"/>
          <w:sz w:val="24"/>
          <w:szCs w:val="24"/>
        </w:rPr>
        <w:t xml:space="preserve">There is no explanation for the absence of </w:t>
      </w:r>
      <w:r w:rsidR="007F743B">
        <w:rPr>
          <w:rFonts w:ascii="Book Antiqua" w:hAnsi="Book Antiqua"/>
          <w:sz w:val="24"/>
          <w:szCs w:val="24"/>
        </w:rPr>
        <w:t xml:space="preserve">response </w:t>
      </w:r>
      <w:r w:rsidR="00A42DC9">
        <w:rPr>
          <w:rFonts w:ascii="Book Antiqua" w:hAnsi="Book Antiqua"/>
          <w:sz w:val="24"/>
          <w:szCs w:val="24"/>
        </w:rPr>
        <w:t xml:space="preserve">to the directions </w:t>
      </w:r>
      <w:r w:rsidR="007F743B">
        <w:rPr>
          <w:rFonts w:ascii="Book Antiqua" w:hAnsi="Book Antiqua"/>
          <w:sz w:val="24"/>
          <w:szCs w:val="24"/>
        </w:rPr>
        <w:t xml:space="preserve">from the appellant and the Tribunal’s case file discloses no </w:t>
      </w:r>
      <w:r w:rsidR="00A42DC9">
        <w:rPr>
          <w:rFonts w:ascii="Book Antiqua" w:hAnsi="Book Antiqua"/>
          <w:sz w:val="24"/>
          <w:szCs w:val="24"/>
        </w:rPr>
        <w:t xml:space="preserve">recent </w:t>
      </w:r>
      <w:r w:rsidR="007F743B">
        <w:rPr>
          <w:rFonts w:ascii="Book Antiqua" w:hAnsi="Book Antiqua"/>
          <w:sz w:val="24"/>
          <w:szCs w:val="24"/>
        </w:rPr>
        <w:t>correspondence from or on behalf of the appellant</w:t>
      </w:r>
      <w:r w:rsidR="003F7C86">
        <w:rPr>
          <w:rFonts w:ascii="Book Antiqua" w:hAnsi="Book Antiqua"/>
          <w:sz w:val="24"/>
          <w:szCs w:val="24"/>
        </w:rPr>
        <w:t>, even to acknowledge the grant of permission or the directions</w:t>
      </w:r>
      <w:r w:rsidR="00373582">
        <w:rPr>
          <w:rFonts w:ascii="Book Antiqua" w:hAnsi="Book Antiqua"/>
          <w:sz w:val="24"/>
          <w:szCs w:val="24"/>
        </w:rPr>
        <w:t xml:space="preserve">. </w:t>
      </w:r>
      <w:r w:rsidR="00C6722E">
        <w:rPr>
          <w:rFonts w:ascii="Book Antiqua" w:hAnsi="Book Antiqua"/>
          <w:sz w:val="24"/>
          <w:szCs w:val="24"/>
        </w:rPr>
        <w:t xml:space="preserve">I am satisfied that the appellant has been given an opportunity to express a view as to whether the error of law issue can be dealt with without a hearing </w:t>
      </w:r>
      <w:r w:rsidR="00190510">
        <w:rPr>
          <w:rFonts w:ascii="Book Antiqua" w:hAnsi="Book Antiqua"/>
          <w:sz w:val="24"/>
          <w:szCs w:val="24"/>
        </w:rPr>
        <w:t xml:space="preserve">and to make any further submissions. </w:t>
      </w:r>
      <w:r w:rsidR="00BE672D">
        <w:rPr>
          <w:rFonts w:ascii="Book Antiqua" w:hAnsi="Book Antiqua"/>
          <w:sz w:val="24"/>
          <w:szCs w:val="24"/>
        </w:rPr>
        <w:t>I</w:t>
      </w:r>
      <w:r w:rsidR="001D309D">
        <w:rPr>
          <w:rFonts w:ascii="Book Antiqua" w:hAnsi="Book Antiqua"/>
          <w:sz w:val="24"/>
          <w:szCs w:val="24"/>
        </w:rPr>
        <w:t>n the premises, I</w:t>
      </w:r>
      <w:r w:rsidR="00BE672D">
        <w:rPr>
          <w:rFonts w:ascii="Book Antiqua" w:hAnsi="Book Antiqua"/>
          <w:sz w:val="24"/>
          <w:szCs w:val="24"/>
        </w:rPr>
        <w:t xml:space="preserve"> am satisfied that it would be consistent with the Tribunal’s overriding objectives to deal with cases fairly and justly to </w:t>
      </w:r>
      <w:r w:rsidR="001D309D">
        <w:rPr>
          <w:rFonts w:ascii="Book Antiqua" w:hAnsi="Book Antiqua"/>
          <w:sz w:val="24"/>
          <w:szCs w:val="24"/>
        </w:rPr>
        <w:t>determine the appeal on the papers without a hearing and on the basis of the written submissions summarised above.</w:t>
      </w:r>
    </w:p>
    <w:p w14:paraId="002112BB" w14:textId="68A2C7B9" w:rsidR="001D309D" w:rsidRDefault="00313906" w:rsidP="008B3201">
      <w:pPr>
        <w:numPr>
          <w:ilvl w:val="0"/>
          <w:numId w:val="1"/>
        </w:numPr>
        <w:jc w:val="both"/>
        <w:rPr>
          <w:rFonts w:ascii="Book Antiqua" w:hAnsi="Book Antiqua"/>
          <w:sz w:val="24"/>
          <w:szCs w:val="24"/>
        </w:rPr>
      </w:pPr>
      <w:r>
        <w:rPr>
          <w:rFonts w:ascii="Book Antiqua" w:hAnsi="Book Antiqua"/>
          <w:sz w:val="24"/>
          <w:szCs w:val="24"/>
        </w:rPr>
        <w:t xml:space="preserve">Whilst I have given careful consideration to the respondent’s written submissions, I note that they were prepared without access to the Home Office file or the evidence put before the First-tier Tribunal at the appeal hearing. </w:t>
      </w:r>
      <w:r w:rsidR="00DE395A">
        <w:rPr>
          <w:rFonts w:ascii="Book Antiqua" w:hAnsi="Book Antiqua"/>
          <w:sz w:val="24"/>
          <w:szCs w:val="24"/>
        </w:rPr>
        <w:t xml:space="preserve">Having considered the </w:t>
      </w:r>
      <w:r w:rsidR="00A17B55">
        <w:rPr>
          <w:rFonts w:ascii="Book Antiqua" w:hAnsi="Book Antiqua"/>
          <w:sz w:val="24"/>
          <w:szCs w:val="24"/>
        </w:rPr>
        <w:t xml:space="preserve">written decision of the Tribunal, the grounds of application for permission to appeal, and the evidence in the appellant’s bundle, I find that the appellant is correct in identifying an error </w:t>
      </w:r>
      <w:r w:rsidR="0038085D">
        <w:rPr>
          <w:rFonts w:ascii="Book Antiqua" w:hAnsi="Book Antiqua"/>
          <w:sz w:val="24"/>
          <w:szCs w:val="24"/>
        </w:rPr>
        <w:t>at [20] and [21] of the decision. There</w:t>
      </w:r>
      <w:r w:rsidR="00197F9C">
        <w:rPr>
          <w:rFonts w:ascii="Book Antiqua" w:hAnsi="Book Antiqua"/>
          <w:sz w:val="24"/>
          <w:szCs w:val="24"/>
        </w:rPr>
        <w:t>,</w:t>
      </w:r>
      <w:r w:rsidR="0038085D">
        <w:rPr>
          <w:rFonts w:ascii="Book Antiqua" w:hAnsi="Book Antiqua"/>
          <w:sz w:val="24"/>
          <w:szCs w:val="24"/>
        </w:rPr>
        <w:t xml:space="preserve"> </w:t>
      </w:r>
      <w:r w:rsidR="00370130">
        <w:rPr>
          <w:rFonts w:ascii="Book Antiqua" w:hAnsi="Book Antiqua"/>
          <w:sz w:val="24"/>
          <w:szCs w:val="24"/>
        </w:rPr>
        <w:t xml:space="preserve">in examining the evidence in relation to remittal of funds to the appellant in Pakistan, the prior dependency issue, </w:t>
      </w:r>
      <w:r w:rsidR="0038085D">
        <w:rPr>
          <w:rFonts w:ascii="Book Antiqua" w:hAnsi="Book Antiqua"/>
          <w:sz w:val="24"/>
          <w:szCs w:val="24"/>
        </w:rPr>
        <w:t>the First-tier Tribunal panel stated</w:t>
      </w:r>
      <w:r w:rsidR="00197F9C">
        <w:rPr>
          <w:rFonts w:ascii="Book Antiqua" w:hAnsi="Book Antiqua"/>
          <w:sz w:val="24"/>
          <w:szCs w:val="24"/>
        </w:rPr>
        <w:t xml:space="preserve"> that all payments to the appellant’s bank account in Pakistan</w:t>
      </w:r>
      <w:r w:rsidR="008C0208">
        <w:rPr>
          <w:rFonts w:ascii="Book Antiqua" w:hAnsi="Book Antiqua"/>
          <w:sz w:val="24"/>
          <w:szCs w:val="24"/>
        </w:rPr>
        <w:t xml:space="preserve"> made </w:t>
      </w:r>
      <w:r w:rsidR="008C0208">
        <w:rPr>
          <w:rFonts w:ascii="Book Antiqua" w:hAnsi="Book Antiqua"/>
          <w:sz w:val="24"/>
          <w:szCs w:val="24"/>
        </w:rPr>
        <w:lastRenderedPageBreak/>
        <w:t>between 3.4.09 and 3.2.11 “were paid by Javid Akhtar in Norway, not the sponsor.</w:t>
      </w:r>
      <w:r w:rsidR="00CB0951">
        <w:rPr>
          <w:rFonts w:ascii="Book Antiqua" w:hAnsi="Book Antiqua"/>
          <w:sz w:val="24"/>
          <w:szCs w:val="24"/>
        </w:rPr>
        <w:t xml:space="preserve"> His relationship to the appellant or to the Sponsor was not explained.”</w:t>
      </w:r>
    </w:p>
    <w:p w14:paraId="5F85F680" w14:textId="77777777" w:rsidR="006C34B1" w:rsidRDefault="003F494F" w:rsidP="008B3201">
      <w:pPr>
        <w:numPr>
          <w:ilvl w:val="0"/>
          <w:numId w:val="1"/>
        </w:numPr>
        <w:jc w:val="both"/>
        <w:rPr>
          <w:rFonts w:ascii="Book Antiqua" w:hAnsi="Book Antiqua"/>
          <w:sz w:val="24"/>
          <w:szCs w:val="24"/>
        </w:rPr>
      </w:pPr>
      <w:r>
        <w:rPr>
          <w:rFonts w:ascii="Book Antiqua" w:hAnsi="Book Antiqua"/>
          <w:sz w:val="24"/>
          <w:szCs w:val="24"/>
        </w:rPr>
        <w:t xml:space="preserve">If the First-tier Tribunal was referring to the </w:t>
      </w:r>
      <w:r w:rsidR="00891958">
        <w:rPr>
          <w:rFonts w:ascii="Book Antiqua" w:hAnsi="Book Antiqua"/>
          <w:sz w:val="24"/>
          <w:szCs w:val="24"/>
        </w:rPr>
        <w:t xml:space="preserve">remittance documents between </w:t>
      </w:r>
      <w:r w:rsidR="00A01DDE">
        <w:rPr>
          <w:rFonts w:ascii="Book Antiqua" w:hAnsi="Book Antiqua"/>
          <w:sz w:val="24"/>
          <w:szCs w:val="24"/>
        </w:rPr>
        <w:t xml:space="preserve">179-195 of the appellant’s bundle, </w:t>
      </w:r>
      <w:r w:rsidR="007C743B">
        <w:rPr>
          <w:rFonts w:ascii="Book Antiqua" w:hAnsi="Book Antiqua"/>
          <w:sz w:val="24"/>
          <w:szCs w:val="24"/>
        </w:rPr>
        <w:t>there is no ‘Javid Akhtar’ on any of those documents</w:t>
      </w:r>
      <w:r w:rsidR="006979BF">
        <w:rPr>
          <w:rFonts w:ascii="Book Antiqua" w:hAnsi="Book Antiqua"/>
          <w:sz w:val="24"/>
          <w:szCs w:val="24"/>
        </w:rPr>
        <w:t>, before or after 2011</w:t>
      </w:r>
      <w:r w:rsidR="007C743B">
        <w:rPr>
          <w:rFonts w:ascii="Book Antiqua" w:hAnsi="Book Antiqua"/>
          <w:sz w:val="24"/>
          <w:szCs w:val="24"/>
        </w:rPr>
        <w:t>. T</w:t>
      </w:r>
      <w:r w:rsidR="00A01DDE">
        <w:rPr>
          <w:rFonts w:ascii="Book Antiqua" w:hAnsi="Book Antiqua"/>
          <w:sz w:val="24"/>
          <w:szCs w:val="24"/>
        </w:rPr>
        <w:t xml:space="preserve">he sender is listed either as </w:t>
      </w:r>
      <w:r w:rsidR="00D670D8">
        <w:rPr>
          <w:rFonts w:ascii="Book Antiqua" w:hAnsi="Book Antiqua"/>
          <w:sz w:val="24"/>
          <w:szCs w:val="24"/>
        </w:rPr>
        <w:t>‘</w:t>
      </w:r>
      <w:r w:rsidR="00A01DDE">
        <w:rPr>
          <w:rFonts w:ascii="Book Antiqua" w:hAnsi="Book Antiqua"/>
          <w:sz w:val="24"/>
          <w:szCs w:val="24"/>
        </w:rPr>
        <w:t>Nasreen Ak</w:t>
      </w:r>
      <w:r w:rsidR="0030311C">
        <w:rPr>
          <w:rFonts w:ascii="Book Antiqua" w:hAnsi="Book Antiqua"/>
          <w:sz w:val="24"/>
          <w:szCs w:val="24"/>
        </w:rPr>
        <w:t>htar</w:t>
      </w:r>
      <w:r w:rsidR="00D670D8">
        <w:rPr>
          <w:rFonts w:ascii="Book Antiqua" w:hAnsi="Book Antiqua"/>
          <w:sz w:val="24"/>
          <w:szCs w:val="24"/>
        </w:rPr>
        <w:t>’</w:t>
      </w:r>
      <w:r w:rsidR="0030311C">
        <w:rPr>
          <w:rFonts w:ascii="Book Antiqua" w:hAnsi="Book Antiqua"/>
          <w:sz w:val="24"/>
          <w:szCs w:val="24"/>
        </w:rPr>
        <w:t xml:space="preserve"> or </w:t>
      </w:r>
      <w:r w:rsidR="00D670D8">
        <w:rPr>
          <w:rFonts w:ascii="Book Antiqua" w:hAnsi="Book Antiqua"/>
          <w:sz w:val="24"/>
          <w:szCs w:val="24"/>
        </w:rPr>
        <w:t>‘</w:t>
      </w:r>
      <w:r w:rsidR="0030311C">
        <w:rPr>
          <w:rFonts w:ascii="Book Antiqua" w:hAnsi="Book Antiqua"/>
          <w:sz w:val="24"/>
          <w:szCs w:val="24"/>
        </w:rPr>
        <w:t xml:space="preserve">Nasreen </w:t>
      </w:r>
      <w:proofErr w:type="spellStart"/>
      <w:r w:rsidR="0030311C">
        <w:rPr>
          <w:rFonts w:ascii="Book Antiqua" w:hAnsi="Book Antiqua"/>
          <w:sz w:val="24"/>
          <w:szCs w:val="24"/>
        </w:rPr>
        <w:t>Javaid</w:t>
      </w:r>
      <w:proofErr w:type="spellEnd"/>
      <w:r w:rsidR="00D670D8">
        <w:rPr>
          <w:rFonts w:ascii="Book Antiqua" w:hAnsi="Book Antiqua"/>
          <w:sz w:val="24"/>
          <w:szCs w:val="24"/>
        </w:rPr>
        <w:t>’</w:t>
      </w:r>
      <w:r w:rsidR="0030311C">
        <w:rPr>
          <w:rFonts w:ascii="Book Antiqua" w:hAnsi="Book Antiqua"/>
          <w:sz w:val="24"/>
          <w:szCs w:val="24"/>
        </w:rPr>
        <w:t xml:space="preserve">. </w:t>
      </w:r>
      <w:r w:rsidR="00AE738F">
        <w:rPr>
          <w:rFonts w:ascii="Book Antiqua" w:hAnsi="Book Antiqua"/>
          <w:sz w:val="24"/>
          <w:szCs w:val="24"/>
        </w:rPr>
        <w:t xml:space="preserve">An examination of the </w:t>
      </w:r>
      <w:r w:rsidR="00912ECA">
        <w:rPr>
          <w:rFonts w:ascii="Book Antiqua" w:hAnsi="Book Antiqua"/>
          <w:sz w:val="24"/>
          <w:szCs w:val="24"/>
        </w:rPr>
        <w:t>preceding</w:t>
      </w:r>
      <w:r w:rsidR="00AE738F">
        <w:rPr>
          <w:rFonts w:ascii="Book Antiqua" w:hAnsi="Book Antiqua"/>
          <w:sz w:val="24"/>
          <w:szCs w:val="24"/>
        </w:rPr>
        <w:t xml:space="preserve"> bank statements refers to </w:t>
      </w:r>
      <w:r w:rsidR="00D670D8">
        <w:rPr>
          <w:rFonts w:ascii="Book Antiqua" w:hAnsi="Book Antiqua"/>
          <w:sz w:val="24"/>
          <w:szCs w:val="24"/>
        </w:rPr>
        <w:t xml:space="preserve">transfers from </w:t>
      </w:r>
      <w:r w:rsidR="00912ECA">
        <w:rPr>
          <w:rFonts w:ascii="Book Antiqua" w:hAnsi="Book Antiqua"/>
          <w:sz w:val="24"/>
          <w:szCs w:val="24"/>
        </w:rPr>
        <w:t xml:space="preserve">either ‘M Nazir’ </w:t>
      </w:r>
      <w:r w:rsidR="00F8399E">
        <w:rPr>
          <w:rFonts w:ascii="Book Antiqua" w:hAnsi="Book Antiqua"/>
          <w:sz w:val="24"/>
          <w:szCs w:val="24"/>
        </w:rPr>
        <w:t xml:space="preserve">(likely to be the appellant’s brother) </w:t>
      </w:r>
      <w:r w:rsidR="00912ECA">
        <w:rPr>
          <w:rFonts w:ascii="Book Antiqua" w:hAnsi="Book Antiqua"/>
          <w:sz w:val="24"/>
          <w:szCs w:val="24"/>
        </w:rPr>
        <w:t xml:space="preserve">or ‘N Akhtar’. </w:t>
      </w:r>
      <w:r w:rsidR="007C743B">
        <w:rPr>
          <w:rFonts w:ascii="Book Antiqua" w:hAnsi="Book Antiqua"/>
          <w:sz w:val="24"/>
          <w:szCs w:val="24"/>
        </w:rPr>
        <w:t xml:space="preserve">The appellant’s case is that ‘Nasreen Akhtar’ and ‘Nasreen </w:t>
      </w:r>
      <w:proofErr w:type="spellStart"/>
      <w:r w:rsidR="007C743B">
        <w:rPr>
          <w:rFonts w:ascii="Book Antiqua" w:hAnsi="Book Antiqua"/>
          <w:sz w:val="24"/>
          <w:szCs w:val="24"/>
        </w:rPr>
        <w:t>Javaid</w:t>
      </w:r>
      <w:proofErr w:type="spellEnd"/>
      <w:r w:rsidR="007C743B">
        <w:rPr>
          <w:rFonts w:ascii="Book Antiqua" w:hAnsi="Book Antiqua"/>
          <w:sz w:val="24"/>
          <w:szCs w:val="24"/>
        </w:rPr>
        <w:t>’ is the sponsor and the change of name reflects the name change on marriage.</w:t>
      </w:r>
      <w:r w:rsidR="00DC5903">
        <w:rPr>
          <w:rFonts w:ascii="Book Antiqua" w:hAnsi="Book Antiqua"/>
          <w:sz w:val="24"/>
          <w:szCs w:val="24"/>
        </w:rPr>
        <w:t xml:space="preserve"> The marriage explanation does not entirely make sense </w:t>
      </w:r>
      <w:r w:rsidR="00982294">
        <w:rPr>
          <w:rFonts w:ascii="Book Antiqua" w:hAnsi="Book Antiqua"/>
          <w:sz w:val="24"/>
          <w:szCs w:val="24"/>
        </w:rPr>
        <w:t>on the limited evidence available. T</w:t>
      </w:r>
      <w:r w:rsidR="00DC5903">
        <w:rPr>
          <w:rFonts w:ascii="Book Antiqua" w:hAnsi="Book Antiqua"/>
          <w:sz w:val="24"/>
          <w:szCs w:val="24"/>
        </w:rPr>
        <w:t xml:space="preserve">he birth document for the sponsor gives her name as </w:t>
      </w:r>
      <w:r w:rsidR="00FE42FF">
        <w:rPr>
          <w:rFonts w:ascii="Book Antiqua" w:hAnsi="Book Antiqua"/>
          <w:sz w:val="24"/>
          <w:szCs w:val="24"/>
        </w:rPr>
        <w:t>‘Nasreen Akhtar’</w:t>
      </w:r>
      <w:r w:rsidR="00681A71">
        <w:rPr>
          <w:rFonts w:ascii="Book Antiqua" w:hAnsi="Book Antiqua"/>
          <w:sz w:val="24"/>
          <w:szCs w:val="24"/>
        </w:rPr>
        <w:t xml:space="preserve">. Her citizenship documents show the name ‘Nasreen </w:t>
      </w:r>
      <w:proofErr w:type="spellStart"/>
      <w:r w:rsidR="008276AC">
        <w:rPr>
          <w:rFonts w:ascii="Book Antiqua" w:hAnsi="Book Antiqua"/>
          <w:sz w:val="24"/>
          <w:szCs w:val="24"/>
        </w:rPr>
        <w:t>Javaid</w:t>
      </w:r>
      <w:proofErr w:type="spellEnd"/>
      <w:r w:rsidR="008276AC">
        <w:rPr>
          <w:rFonts w:ascii="Book Antiqua" w:hAnsi="Book Antiqua"/>
          <w:sz w:val="24"/>
          <w:szCs w:val="24"/>
        </w:rPr>
        <w:t xml:space="preserve">’ and her marriage certificate in the UK, dated 3.8.15, shows ‘Nasreen Akhtar’ married ‘Maqsood Nazir’, the appellant’s brother. It does state that her previous marriage was dissolved and </w:t>
      </w:r>
      <w:r w:rsidR="00621547">
        <w:rPr>
          <w:rFonts w:ascii="Book Antiqua" w:hAnsi="Book Antiqua"/>
          <w:sz w:val="24"/>
          <w:szCs w:val="24"/>
        </w:rPr>
        <w:t>thus it may be</w:t>
      </w:r>
      <w:r w:rsidR="008276AC">
        <w:rPr>
          <w:rFonts w:ascii="Book Antiqua" w:hAnsi="Book Antiqua"/>
          <w:sz w:val="24"/>
          <w:szCs w:val="24"/>
        </w:rPr>
        <w:t xml:space="preserve"> that </w:t>
      </w:r>
      <w:r w:rsidR="00621547">
        <w:rPr>
          <w:rFonts w:ascii="Book Antiqua" w:hAnsi="Book Antiqua"/>
          <w:sz w:val="24"/>
          <w:szCs w:val="24"/>
        </w:rPr>
        <w:t xml:space="preserve">her previous married name was ‘Nasreen </w:t>
      </w:r>
      <w:proofErr w:type="spellStart"/>
      <w:r w:rsidR="00621547">
        <w:rPr>
          <w:rFonts w:ascii="Book Antiqua" w:hAnsi="Book Antiqua"/>
          <w:sz w:val="24"/>
          <w:szCs w:val="24"/>
        </w:rPr>
        <w:t>Javaid</w:t>
      </w:r>
      <w:proofErr w:type="spellEnd"/>
      <w:r w:rsidR="00FD0DFF">
        <w:rPr>
          <w:rFonts w:ascii="Book Antiqua" w:hAnsi="Book Antiqua"/>
          <w:sz w:val="24"/>
          <w:szCs w:val="24"/>
        </w:rPr>
        <w:t>,</w:t>
      </w:r>
      <w:r w:rsidR="00621547">
        <w:rPr>
          <w:rFonts w:ascii="Book Antiqua" w:hAnsi="Book Antiqua"/>
          <w:sz w:val="24"/>
          <w:szCs w:val="24"/>
        </w:rPr>
        <w:t xml:space="preserve">’ </w:t>
      </w:r>
      <w:r w:rsidR="00EB78BE">
        <w:rPr>
          <w:rFonts w:ascii="Book Antiqua" w:hAnsi="Book Antiqua"/>
          <w:sz w:val="24"/>
          <w:szCs w:val="24"/>
        </w:rPr>
        <w:t>which is consistent with [9] of the appellant’s witness statement, which states that after marriage to Muhammad Javid, she relocated to Norway</w:t>
      </w:r>
      <w:r w:rsidR="00AC39B0">
        <w:rPr>
          <w:rFonts w:ascii="Book Antiqua" w:hAnsi="Book Antiqua"/>
          <w:sz w:val="24"/>
          <w:szCs w:val="24"/>
        </w:rPr>
        <w:t xml:space="preserve"> in 2009. </w:t>
      </w:r>
      <w:r w:rsidR="00621547">
        <w:rPr>
          <w:rFonts w:ascii="Book Antiqua" w:hAnsi="Book Antiqua"/>
          <w:sz w:val="24"/>
          <w:szCs w:val="24"/>
        </w:rPr>
        <w:t xml:space="preserve">However, </w:t>
      </w:r>
      <w:r w:rsidR="00541318">
        <w:rPr>
          <w:rFonts w:ascii="Book Antiqua" w:hAnsi="Book Antiqua"/>
          <w:sz w:val="24"/>
          <w:szCs w:val="24"/>
        </w:rPr>
        <w:t xml:space="preserve">it is not clear whether </w:t>
      </w:r>
      <w:r w:rsidR="00621547">
        <w:rPr>
          <w:rFonts w:ascii="Book Antiqua" w:hAnsi="Book Antiqua"/>
          <w:sz w:val="24"/>
          <w:szCs w:val="24"/>
        </w:rPr>
        <w:t xml:space="preserve">the name changes </w:t>
      </w:r>
      <w:r w:rsidR="001272B2">
        <w:rPr>
          <w:rFonts w:ascii="Book Antiqua" w:hAnsi="Book Antiqua"/>
          <w:sz w:val="24"/>
          <w:szCs w:val="24"/>
        </w:rPr>
        <w:t xml:space="preserve">on the remittal documents </w:t>
      </w:r>
      <w:r w:rsidR="00621547">
        <w:rPr>
          <w:rFonts w:ascii="Book Antiqua" w:hAnsi="Book Antiqua"/>
          <w:sz w:val="24"/>
          <w:szCs w:val="24"/>
        </w:rPr>
        <w:t xml:space="preserve">are consistent with the name given in the </w:t>
      </w:r>
      <w:r w:rsidR="0017555B">
        <w:rPr>
          <w:rFonts w:ascii="Book Antiqua" w:hAnsi="Book Antiqua"/>
          <w:sz w:val="24"/>
          <w:szCs w:val="24"/>
        </w:rPr>
        <w:t xml:space="preserve">remittance documents, which changes from </w:t>
      </w:r>
      <w:r w:rsidR="006061A3">
        <w:rPr>
          <w:rFonts w:ascii="Book Antiqua" w:hAnsi="Book Antiqua"/>
          <w:sz w:val="24"/>
          <w:szCs w:val="24"/>
        </w:rPr>
        <w:t xml:space="preserve">‘Nasreen </w:t>
      </w:r>
      <w:proofErr w:type="spellStart"/>
      <w:r w:rsidR="006061A3">
        <w:rPr>
          <w:rFonts w:ascii="Book Antiqua" w:hAnsi="Book Antiqua"/>
          <w:sz w:val="24"/>
          <w:szCs w:val="24"/>
        </w:rPr>
        <w:t>Javaid</w:t>
      </w:r>
      <w:proofErr w:type="spellEnd"/>
      <w:r w:rsidR="006061A3">
        <w:rPr>
          <w:rFonts w:ascii="Book Antiqua" w:hAnsi="Book Antiqua"/>
          <w:sz w:val="24"/>
          <w:szCs w:val="24"/>
        </w:rPr>
        <w:t xml:space="preserve">’ to </w:t>
      </w:r>
      <w:r w:rsidR="00141428">
        <w:rPr>
          <w:rFonts w:ascii="Book Antiqua" w:hAnsi="Book Antiqua"/>
          <w:sz w:val="24"/>
          <w:szCs w:val="24"/>
        </w:rPr>
        <w:t xml:space="preserve">‘Nasreen Akhtar’ between February and June 2013. The sponsor’s unsigned </w:t>
      </w:r>
      <w:r w:rsidR="006E17E6">
        <w:rPr>
          <w:rFonts w:ascii="Book Antiqua" w:hAnsi="Book Antiqua"/>
          <w:sz w:val="24"/>
          <w:szCs w:val="24"/>
        </w:rPr>
        <w:t xml:space="preserve">and undated </w:t>
      </w:r>
      <w:r w:rsidR="00141428">
        <w:rPr>
          <w:rFonts w:ascii="Book Antiqua" w:hAnsi="Book Antiqua"/>
          <w:sz w:val="24"/>
          <w:szCs w:val="24"/>
        </w:rPr>
        <w:t xml:space="preserve">witness statement </w:t>
      </w:r>
      <w:r w:rsidR="001272B2">
        <w:rPr>
          <w:rFonts w:ascii="Book Antiqua" w:hAnsi="Book Antiqua"/>
          <w:sz w:val="24"/>
          <w:szCs w:val="24"/>
        </w:rPr>
        <w:t>confirms the marriage to Muhammad Javid</w:t>
      </w:r>
      <w:r w:rsidR="00541318">
        <w:rPr>
          <w:rFonts w:ascii="Book Antiqua" w:hAnsi="Book Antiqua"/>
          <w:sz w:val="24"/>
          <w:szCs w:val="24"/>
        </w:rPr>
        <w:t xml:space="preserve"> but it is not clear from the available evidence when this relationship ended. </w:t>
      </w:r>
    </w:p>
    <w:p w14:paraId="62C4616C" w14:textId="48E80C53" w:rsidR="001A41F4" w:rsidRDefault="006C34B1" w:rsidP="008B3201">
      <w:pPr>
        <w:numPr>
          <w:ilvl w:val="0"/>
          <w:numId w:val="1"/>
        </w:numPr>
        <w:jc w:val="both"/>
        <w:rPr>
          <w:rFonts w:ascii="Book Antiqua" w:hAnsi="Book Antiqua"/>
          <w:sz w:val="24"/>
          <w:szCs w:val="24"/>
        </w:rPr>
      </w:pPr>
      <w:r>
        <w:rPr>
          <w:rFonts w:ascii="Book Antiqua" w:hAnsi="Book Antiqua"/>
          <w:sz w:val="24"/>
          <w:szCs w:val="24"/>
        </w:rPr>
        <w:t>The appellant’s bundle was very poorly prepared</w:t>
      </w:r>
      <w:r w:rsidR="00677ADD">
        <w:rPr>
          <w:rFonts w:ascii="Book Antiqua" w:hAnsi="Book Antiqua"/>
          <w:sz w:val="24"/>
          <w:szCs w:val="24"/>
        </w:rPr>
        <w:t>, and the documents are not very well organised or laid out. For example, the sponsor’s statement is indexed as being the statement of the appellant’s partner. Further</w:t>
      </w:r>
      <w:r w:rsidR="00B76B68">
        <w:rPr>
          <w:rFonts w:ascii="Book Antiqua" w:hAnsi="Book Antiqua"/>
          <w:sz w:val="24"/>
          <w:szCs w:val="24"/>
        </w:rPr>
        <w:t>,</w:t>
      </w:r>
      <w:r w:rsidR="00677ADD">
        <w:rPr>
          <w:rFonts w:ascii="Book Antiqua" w:hAnsi="Book Antiqua"/>
          <w:sz w:val="24"/>
          <w:szCs w:val="24"/>
        </w:rPr>
        <w:t xml:space="preserve"> many of the banking documents are not in chronological order and some are copied upside down. It should not have been necessary for the First-tier Tribunal and for me to spend a good deal of time trying to unravel the evidence. </w:t>
      </w:r>
      <w:r w:rsidR="00B76B68">
        <w:rPr>
          <w:rFonts w:ascii="Book Antiqua" w:hAnsi="Book Antiqua"/>
          <w:sz w:val="24"/>
          <w:szCs w:val="24"/>
        </w:rPr>
        <w:t xml:space="preserve">It may be that this poor preparation of the appellant’s case led the First-tier Tribunal into error as to the sender of funds. </w:t>
      </w:r>
      <w:r w:rsidR="00950A08">
        <w:rPr>
          <w:rFonts w:ascii="Book Antiqua" w:hAnsi="Book Antiqua"/>
          <w:sz w:val="24"/>
          <w:szCs w:val="24"/>
        </w:rPr>
        <w:t>Comment was made at [22] of the decision as to the difficulty of interpreting the Halifax statements for the sponsor</w:t>
      </w:r>
      <w:r w:rsidR="00277A5B">
        <w:rPr>
          <w:rFonts w:ascii="Book Antiqua" w:hAnsi="Book Antiqua"/>
          <w:sz w:val="24"/>
          <w:szCs w:val="24"/>
        </w:rPr>
        <w:t xml:space="preserve"> set out in the appellant’s bundle. </w:t>
      </w:r>
      <w:r w:rsidR="00950A08">
        <w:rPr>
          <w:rFonts w:ascii="Book Antiqua" w:hAnsi="Book Antiqua"/>
          <w:sz w:val="24"/>
          <w:szCs w:val="24"/>
        </w:rPr>
        <w:t>Although the grounds</w:t>
      </w:r>
      <w:r w:rsidR="00277A5B">
        <w:rPr>
          <w:rFonts w:ascii="Book Antiqua" w:hAnsi="Book Antiqua"/>
          <w:sz w:val="24"/>
          <w:szCs w:val="24"/>
        </w:rPr>
        <w:t xml:space="preserve"> challenge</w:t>
      </w:r>
      <w:r w:rsidR="00850D26">
        <w:rPr>
          <w:rFonts w:ascii="Book Antiqua" w:hAnsi="Book Antiqua"/>
          <w:sz w:val="24"/>
          <w:szCs w:val="24"/>
        </w:rPr>
        <w:t xml:space="preserve"> the Tribunal’s findings at [22], after considering the material myself, I am satisfied that those comments were well made and open to the Tribunal, disclosing no error of law. </w:t>
      </w:r>
    </w:p>
    <w:p w14:paraId="47D5060F" w14:textId="5FC3985C" w:rsidR="00CB0951" w:rsidRDefault="001A41F4" w:rsidP="008B3201">
      <w:pPr>
        <w:numPr>
          <w:ilvl w:val="0"/>
          <w:numId w:val="1"/>
        </w:numPr>
        <w:jc w:val="both"/>
        <w:rPr>
          <w:rFonts w:ascii="Book Antiqua" w:hAnsi="Book Antiqua"/>
          <w:sz w:val="24"/>
          <w:szCs w:val="24"/>
        </w:rPr>
      </w:pPr>
      <w:r>
        <w:rPr>
          <w:rFonts w:ascii="Book Antiqua" w:hAnsi="Book Antiqua"/>
          <w:sz w:val="24"/>
          <w:szCs w:val="24"/>
        </w:rPr>
        <w:t>Nevertheless, I am satisfied that the First-tier Tribunal was mistaken in suggesting that the funds between 2009 and 2011 were sent to the appellant by ‘</w:t>
      </w:r>
      <w:r w:rsidR="0044358D">
        <w:rPr>
          <w:rFonts w:ascii="Book Antiqua" w:hAnsi="Book Antiqua"/>
          <w:sz w:val="24"/>
          <w:szCs w:val="24"/>
        </w:rPr>
        <w:t xml:space="preserve">Javid Akhtar.’ It follows that the First-tier Tribunal was in error of law in finding no evidence of financial support from the sponsor to the appellant prior to his </w:t>
      </w:r>
      <w:r w:rsidR="00E60283">
        <w:rPr>
          <w:rFonts w:ascii="Book Antiqua" w:hAnsi="Book Antiqua"/>
          <w:sz w:val="24"/>
          <w:szCs w:val="24"/>
        </w:rPr>
        <w:t xml:space="preserve">arrival in the UK </w:t>
      </w:r>
      <w:r w:rsidR="0044358D">
        <w:rPr>
          <w:rFonts w:ascii="Book Antiqua" w:hAnsi="Book Antiqua"/>
          <w:sz w:val="24"/>
          <w:szCs w:val="24"/>
        </w:rPr>
        <w:t xml:space="preserve">from Pakistan in </w:t>
      </w:r>
      <w:r w:rsidR="00E60283">
        <w:rPr>
          <w:rFonts w:ascii="Book Antiqua" w:hAnsi="Book Antiqua"/>
          <w:sz w:val="24"/>
          <w:szCs w:val="24"/>
        </w:rPr>
        <w:t xml:space="preserve">April </w:t>
      </w:r>
      <w:r w:rsidR="0044358D">
        <w:rPr>
          <w:rFonts w:ascii="Book Antiqua" w:hAnsi="Book Antiqua"/>
          <w:sz w:val="24"/>
          <w:szCs w:val="24"/>
        </w:rPr>
        <w:t>2011</w:t>
      </w:r>
      <w:r w:rsidR="00716C39">
        <w:rPr>
          <w:rFonts w:ascii="Book Antiqua" w:hAnsi="Book Antiqua"/>
          <w:sz w:val="24"/>
          <w:szCs w:val="24"/>
        </w:rPr>
        <w:t xml:space="preserve">, as there are remittances </w:t>
      </w:r>
      <w:r w:rsidR="00104168">
        <w:rPr>
          <w:rFonts w:ascii="Book Antiqua" w:hAnsi="Book Antiqua"/>
          <w:sz w:val="24"/>
          <w:szCs w:val="24"/>
        </w:rPr>
        <w:t xml:space="preserve">from Norway </w:t>
      </w:r>
      <w:r w:rsidR="00716C39">
        <w:rPr>
          <w:rFonts w:ascii="Book Antiqua" w:hAnsi="Book Antiqua"/>
          <w:sz w:val="24"/>
          <w:szCs w:val="24"/>
        </w:rPr>
        <w:t xml:space="preserve">in the name of ‘Nasreen </w:t>
      </w:r>
      <w:proofErr w:type="spellStart"/>
      <w:r w:rsidR="00716C39">
        <w:rPr>
          <w:rFonts w:ascii="Book Antiqua" w:hAnsi="Book Antiqua"/>
          <w:sz w:val="24"/>
          <w:szCs w:val="24"/>
        </w:rPr>
        <w:t>Javaid</w:t>
      </w:r>
      <w:proofErr w:type="spellEnd"/>
      <w:r w:rsidR="00716C39">
        <w:rPr>
          <w:rFonts w:ascii="Book Antiqua" w:hAnsi="Book Antiqua"/>
          <w:sz w:val="24"/>
          <w:szCs w:val="24"/>
        </w:rPr>
        <w:t xml:space="preserve">’ </w:t>
      </w:r>
      <w:r w:rsidR="00104168">
        <w:rPr>
          <w:rFonts w:ascii="Book Antiqua" w:hAnsi="Book Antiqua"/>
          <w:sz w:val="24"/>
          <w:szCs w:val="24"/>
        </w:rPr>
        <w:t xml:space="preserve">prior to that date. </w:t>
      </w:r>
    </w:p>
    <w:p w14:paraId="6DB8F9D4" w14:textId="0FDA4518" w:rsidR="00104168" w:rsidRDefault="00104168" w:rsidP="008B3201">
      <w:pPr>
        <w:numPr>
          <w:ilvl w:val="0"/>
          <w:numId w:val="1"/>
        </w:numPr>
        <w:jc w:val="both"/>
        <w:rPr>
          <w:rFonts w:ascii="Book Antiqua" w:hAnsi="Book Antiqua"/>
          <w:sz w:val="24"/>
          <w:szCs w:val="24"/>
        </w:rPr>
      </w:pPr>
      <w:r>
        <w:rPr>
          <w:rFonts w:ascii="Book Antiqua" w:hAnsi="Book Antiqua"/>
          <w:sz w:val="24"/>
          <w:szCs w:val="24"/>
        </w:rPr>
        <w:t xml:space="preserve">However, in order for the </w:t>
      </w:r>
      <w:r w:rsidR="00B605E2">
        <w:rPr>
          <w:rFonts w:ascii="Book Antiqua" w:hAnsi="Book Antiqua"/>
          <w:sz w:val="24"/>
          <w:szCs w:val="24"/>
        </w:rPr>
        <w:t xml:space="preserve">appeal to the Upper Tribunal to be able to succeed, the appellant has also to demonstrate that any error is material to the outcome </w:t>
      </w:r>
      <w:r w:rsidR="00B605E2">
        <w:rPr>
          <w:rFonts w:ascii="Book Antiqua" w:hAnsi="Book Antiqua"/>
          <w:sz w:val="24"/>
          <w:szCs w:val="24"/>
        </w:rPr>
        <w:lastRenderedPageBreak/>
        <w:t xml:space="preserve">of the appeal. The First-tier Tribunal rejected both aspects of the appellant’s dependency claim, prior to his arrival from Pakistan in April 2011 and thereafter. Both elements of the requirement of Regulation 8 need to be met for the appellant to be entitled to an EEA Residence Card as an extended family member. </w:t>
      </w:r>
    </w:p>
    <w:p w14:paraId="43995135" w14:textId="40F46B04" w:rsidR="00B605E2" w:rsidRDefault="00B605E2" w:rsidP="008B3201">
      <w:pPr>
        <w:numPr>
          <w:ilvl w:val="0"/>
          <w:numId w:val="1"/>
        </w:numPr>
        <w:jc w:val="both"/>
        <w:rPr>
          <w:rFonts w:ascii="Book Antiqua" w:hAnsi="Book Antiqua"/>
          <w:sz w:val="24"/>
          <w:szCs w:val="24"/>
        </w:rPr>
      </w:pPr>
      <w:r>
        <w:rPr>
          <w:rFonts w:ascii="Book Antiqua" w:hAnsi="Book Antiqua"/>
          <w:sz w:val="24"/>
          <w:szCs w:val="24"/>
        </w:rPr>
        <w:t xml:space="preserve">I have, therefore, carefully considered the </w:t>
      </w:r>
      <w:r w:rsidR="00C54C78">
        <w:rPr>
          <w:rFonts w:ascii="Book Antiqua" w:hAnsi="Book Antiqua"/>
          <w:sz w:val="24"/>
          <w:szCs w:val="24"/>
        </w:rPr>
        <w:t xml:space="preserve">impugned decision in the light of the other grounds of application for permission to appeal. </w:t>
      </w:r>
      <w:r w:rsidR="00454F8C">
        <w:rPr>
          <w:rFonts w:ascii="Book Antiqua" w:hAnsi="Book Antiqua"/>
          <w:sz w:val="24"/>
          <w:szCs w:val="24"/>
        </w:rPr>
        <w:t>At [4] of the grounds it is submitted that the First-tier Tribunal erred in taking into account irrelevant considerations</w:t>
      </w:r>
      <w:r w:rsidR="004203B2">
        <w:rPr>
          <w:rFonts w:ascii="Book Antiqua" w:hAnsi="Book Antiqua"/>
          <w:sz w:val="24"/>
          <w:szCs w:val="24"/>
        </w:rPr>
        <w:t>, referring to the comments made at [26] of the decision about the similarity of the two tenancy documents. However, the grounds</w:t>
      </w:r>
      <w:r w:rsidR="0077707D">
        <w:rPr>
          <w:rFonts w:ascii="Book Antiqua" w:hAnsi="Book Antiqua"/>
          <w:sz w:val="24"/>
          <w:szCs w:val="24"/>
        </w:rPr>
        <w:t xml:space="preserve"> are incorrect when they suggest that the Tribunal found a similarity “to the trained eye.’ What the Tribunal actually referred to was</w:t>
      </w:r>
      <w:r w:rsidR="00DB43CB">
        <w:rPr>
          <w:rFonts w:ascii="Book Antiqua" w:hAnsi="Book Antiqua"/>
          <w:sz w:val="24"/>
          <w:szCs w:val="24"/>
        </w:rPr>
        <w:t xml:space="preserve"> that despite their being different landlords</w:t>
      </w:r>
      <w:r w:rsidR="001F0F3F">
        <w:rPr>
          <w:rFonts w:ascii="Book Antiqua" w:hAnsi="Book Antiqua"/>
          <w:sz w:val="24"/>
          <w:szCs w:val="24"/>
        </w:rPr>
        <w:t>, there was</w:t>
      </w:r>
      <w:r w:rsidR="0077707D">
        <w:rPr>
          <w:rFonts w:ascii="Book Antiqua" w:hAnsi="Book Antiqua"/>
          <w:sz w:val="24"/>
          <w:szCs w:val="24"/>
        </w:rPr>
        <w:t xml:space="preserve"> a similarity “to the untrained eye,” in other words on the face of the document</w:t>
      </w:r>
      <w:r w:rsidR="001F0F3F">
        <w:rPr>
          <w:rFonts w:ascii="Book Antiqua" w:hAnsi="Book Antiqua"/>
          <w:sz w:val="24"/>
          <w:szCs w:val="24"/>
        </w:rPr>
        <w:t>s</w:t>
      </w:r>
      <w:r w:rsidR="0077707D">
        <w:rPr>
          <w:rFonts w:ascii="Book Antiqua" w:hAnsi="Book Antiqua"/>
          <w:sz w:val="24"/>
          <w:szCs w:val="24"/>
        </w:rPr>
        <w:t xml:space="preserve"> without any need for expert examination or opinion. </w:t>
      </w:r>
      <w:r w:rsidR="001F0F3F">
        <w:rPr>
          <w:rFonts w:ascii="Book Antiqua" w:hAnsi="Book Antiqua"/>
          <w:sz w:val="24"/>
          <w:szCs w:val="24"/>
        </w:rPr>
        <w:t>The Tribunal also pointed to other concerns about this documentation</w:t>
      </w:r>
      <w:r w:rsidR="00C31971">
        <w:rPr>
          <w:rFonts w:ascii="Book Antiqua" w:hAnsi="Book Antiqua"/>
          <w:sz w:val="24"/>
          <w:szCs w:val="24"/>
        </w:rPr>
        <w:t xml:space="preserve">, including the length of the tenancy, the incomplete nature of the documents. </w:t>
      </w:r>
      <w:r w:rsidR="005E12DE">
        <w:rPr>
          <w:rFonts w:ascii="Book Antiqua" w:hAnsi="Book Antiqua"/>
          <w:sz w:val="24"/>
          <w:szCs w:val="24"/>
        </w:rPr>
        <w:t>Whilst the appellant had given a</w:t>
      </w:r>
      <w:r w:rsidR="0011686D">
        <w:rPr>
          <w:rFonts w:ascii="Book Antiqua" w:hAnsi="Book Antiqua"/>
          <w:sz w:val="24"/>
          <w:szCs w:val="24"/>
        </w:rPr>
        <w:t xml:space="preserve"> partial</w:t>
      </w:r>
      <w:r w:rsidR="005E12DE">
        <w:rPr>
          <w:rFonts w:ascii="Book Antiqua" w:hAnsi="Book Antiqua"/>
          <w:sz w:val="24"/>
          <w:szCs w:val="24"/>
        </w:rPr>
        <w:t xml:space="preserve"> explanation</w:t>
      </w:r>
      <w:r w:rsidR="0011686D">
        <w:rPr>
          <w:rFonts w:ascii="Book Antiqua" w:hAnsi="Book Antiqua"/>
          <w:sz w:val="24"/>
          <w:szCs w:val="24"/>
        </w:rPr>
        <w:t xml:space="preserve"> </w:t>
      </w:r>
      <w:r w:rsidR="00CD5ADE">
        <w:rPr>
          <w:rFonts w:ascii="Book Antiqua" w:hAnsi="Book Antiqua"/>
          <w:sz w:val="24"/>
          <w:szCs w:val="24"/>
        </w:rPr>
        <w:t>that one address belonged to a ‘friend,’</w:t>
      </w:r>
      <w:r w:rsidR="005E12DE">
        <w:rPr>
          <w:rFonts w:ascii="Book Antiqua" w:hAnsi="Book Antiqua"/>
          <w:sz w:val="24"/>
          <w:szCs w:val="24"/>
        </w:rPr>
        <w:t xml:space="preserve"> </w:t>
      </w:r>
      <w:r w:rsidR="00CD5ADE">
        <w:rPr>
          <w:rFonts w:ascii="Book Antiqua" w:hAnsi="Book Antiqua"/>
          <w:sz w:val="24"/>
          <w:szCs w:val="24"/>
        </w:rPr>
        <w:t>i</w:t>
      </w:r>
      <w:r w:rsidR="00C31971">
        <w:rPr>
          <w:rFonts w:ascii="Book Antiqua" w:hAnsi="Book Antiqua"/>
          <w:sz w:val="24"/>
          <w:szCs w:val="24"/>
        </w:rPr>
        <w:t xml:space="preserve">t was entirely open to the Tribunal to conclude that little weight could be given to those documents and no error is disclosed at [26] of the decision. </w:t>
      </w:r>
    </w:p>
    <w:p w14:paraId="1965F945" w14:textId="3FD30042" w:rsidR="00C54C78" w:rsidRDefault="00C54C78" w:rsidP="008B3201">
      <w:pPr>
        <w:numPr>
          <w:ilvl w:val="0"/>
          <w:numId w:val="1"/>
        </w:numPr>
        <w:jc w:val="both"/>
        <w:rPr>
          <w:rFonts w:ascii="Book Antiqua" w:hAnsi="Book Antiqua"/>
          <w:sz w:val="24"/>
          <w:szCs w:val="24"/>
        </w:rPr>
      </w:pPr>
      <w:r>
        <w:rPr>
          <w:rFonts w:ascii="Book Antiqua" w:hAnsi="Book Antiqua"/>
          <w:sz w:val="24"/>
          <w:szCs w:val="24"/>
        </w:rPr>
        <w:t xml:space="preserve">I note </w:t>
      </w:r>
      <w:r w:rsidR="00CD5ADE">
        <w:rPr>
          <w:rFonts w:ascii="Book Antiqua" w:hAnsi="Book Antiqua"/>
          <w:sz w:val="24"/>
          <w:szCs w:val="24"/>
        </w:rPr>
        <w:t xml:space="preserve">in this regard </w:t>
      </w:r>
      <w:r>
        <w:rPr>
          <w:rFonts w:ascii="Book Antiqua" w:hAnsi="Book Antiqua"/>
          <w:sz w:val="24"/>
          <w:szCs w:val="24"/>
        </w:rPr>
        <w:t>that the sponsor did not attend the appeal hearing</w:t>
      </w:r>
      <w:r w:rsidR="00504D3A">
        <w:rPr>
          <w:rFonts w:ascii="Book Antiqua" w:hAnsi="Book Antiqua"/>
          <w:sz w:val="24"/>
          <w:szCs w:val="24"/>
        </w:rPr>
        <w:t xml:space="preserve"> heard on 14.11.19</w:t>
      </w:r>
      <w:r>
        <w:rPr>
          <w:rFonts w:ascii="Book Antiqua" w:hAnsi="Book Antiqua"/>
          <w:sz w:val="24"/>
          <w:szCs w:val="24"/>
        </w:rPr>
        <w:t>, despite a</w:t>
      </w:r>
      <w:r w:rsidR="00850067">
        <w:rPr>
          <w:rFonts w:ascii="Book Antiqua" w:hAnsi="Book Antiqua"/>
          <w:sz w:val="24"/>
          <w:szCs w:val="24"/>
        </w:rPr>
        <w:t xml:space="preserve"> lengthy</w:t>
      </w:r>
      <w:r>
        <w:rPr>
          <w:rFonts w:ascii="Book Antiqua" w:hAnsi="Book Antiqua"/>
          <w:sz w:val="24"/>
          <w:szCs w:val="24"/>
        </w:rPr>
        <w:t xml:space="preserve"> adjournment </w:t>
      </w:r>
      <w:r w:rsidR="00B3291C">
        <w:rPr>
          <w:rFonts w:ascii="Book Antiqua" w:hAnsi="Book Antiqua"/>
          <w:sz w:val="24"/>
          <w:szCs w:val="24"/>
        </w:rPr>
        <w:t xml:space="preserve">to enable </w:t>
      </w:r>
      <w:r w:rsidR="00F87D00">
        <w:rPr>
          <w:rFonts w:ascii="Book Antiqua" w:hAnsi="Book Antiqua"/>
          <w:sz w:val="24"/>
          <w:szCs w:val="24"/>
        </w:rPr>
        <w:t xml:space="preserve">the appellant’s representative to consider whether to seek an adjournment for </w:t>
      </w:r>
      <w:r w:rsidR="00B3291C">
        <w:rPr>
          <w:rFonts w:ascii="Book Antiqua" w:hAnsi="Book Antiqua"/>
          <w:sz w:val="24"/>
          <w:szCs w:val="24"/>
        </w:rPr>
        <w:t>her to attend and sign the draft witness statement</w:t>
      </w:r>
      <w:r w:rsidR="00F87D00">
        <w:rPr>
          <w:rFonts w:ascii="Book Antiqua" w:hAnsi="Book Antiqua"/>
          <w:sz w:val="24"/>
          <w:szCs w:val="24"/>
        </w:rPr>
        <w:t>, given that the respondent had put credibility in issue</w:t>
      </w:r>
      <w:r w:rsidR="00B3291C">
        <w:rPr>
          <w:rFonts w:ascii="Book Antiqua" w:hAnsi="Book Antiqua"/>
          <w:sz w:val="24"/>
          <w:szCs w:val="24"/>
        </w:rPr>
        <w:t>. The Tribunal noted at [9] of the decision that</w:t>
      </w:r>
      <w:r w:rsidR="00A168BE">
        <w:rPr>
          <w:rFonts w:ascii="Book Antiqua" w:hAnsi="Book Antiqua"/>
          <w:sz w:val="24"/>
          <w:szCs w:val="24"/>
        </w:rPr>
        <w:t xml:space="preserve"> a statutory sick pay certificate was produced, stating that due to neck pain she was unfit for work until 21.11.19</w:t>
      </w:r>
      <w:r w:rsidR="00504D3A">
        <w:rPr>
          <w:rFonts w:ascii="Book Antiqua" w:hAnsi="Book Antiqua"/>
          <w:sz w:val="24"/>
          <w:szCs w:val="24"/>
        </w:rPr>
        <w:t xml:space="preserve">. </w:t>
      </w:r>
      <w:r w:rsidR="00F87D00">
        <w:rPr>
          <w:rFonts w:ascii="Book Antiqua" w:hAnsi="Book Antiqua"/>
          <w:sz w:val="24"/>
          <w:szCs w:val="24"/>
        </w:rPr>
        <w:t>However, that did not</w:t>
      </w:r>
      <w:r w:rsidR="00A6154C">
        <w:rPr>
          <w:rFonts w:ascii="Book Antiqua" w:hAnsi="Book Antiqua"/>
          <w:sz w:val="24"/>
          <w:szCs w:val="24"/>
        </w:rPr>
        <w:t xml:space="preserve"> justify the sponsor’s absence from the hearing, stating only that she was feeling tired and stressed. </w:t>
      </w:r>
      <w:r w:rsidR="00E26A23">
        <w:rPr>
          <w:rFonts w:ascii="Book Antiqua" w:hAnsi="Book Antiqua"/>
          <w:sz w:val="24"/>
          <w:szCs w:val="24"/>
        </w:rPr>
        <w:t>At [11] of the decision, the Tribunal considered the medical evidence</w:t>
      </w:r>
      <w:r w:rsidR="008C23D0">
        <w:rPr>
          <w:rFonts w:ascii="Book Antiqua" w:hAnsi="Book Antiqua"/>
          <w:sz w:val="24"/>
          <w:szCs w:val="24"/>
        </w:rPr>
        <w:t xml:space="preserve"> relating to the sponsor contained within the appellant’s </w:t>
      </w:r>
      <w:r w:rsidR="00877EB2">
        <w:rPr>
          <w:rFonts w:ascii="Book Antiqua" w:hAnsi="Book Antiqua"/>
          <w:sz w:val="24"/>
          <w:szCs w:val="24"/>
        </w:rPr>
        <w:t>bundle but</w:t>
      </w:r>
      <w:r w:rsidR="008C23D0">
        <w:rPr>
          <w:rFonts w:ascii="Book Antiqua" w:hAnsi="Book Antiqua"/>
          <w:sz w:val="24"/>
          <w:szCs w:val="24"/>
        </w:rPr>
        <w:t xml:space="preserve"> concluded that it did not show that she</w:t>
      </w:r>
      <w:r w:rsidR="00877EB2">
        <w:rPr>
          <w:rFonts w:ascii="Book Antiqua" w:hAnsi="Book Antiqua"/>
          <w:sz w:val="24"/>
          <w:szCs w:val="24"/>
        </w:rPr>
        <w:t xml:space="preserve"> was unfit to attend the hearing or give evidence. The Tribunal concluded that she </w:t>
      </w:r>
      <w:r w:rsidR="00803EA5">
        <w:rPr>
          <w:rFonts w:ascii="Book Antiqua" w:hAnsi="Book Antiqua"/>
          <w:sz w:val="24"/>
          <w:szCs w:val="24"/>
        </w:rPr>
        <w:t xml:space="preserve">could have attended but had not done so, even though she could have travelled to the hearing from her home </w:t>
      </w:r>
      <w:r w:rsidR="00ED74A9">
        <w:rPr>
          <w:rFonts w:ascii="Book Antiqua" w:hAnsi="Book Antiqua"/>
          <w:sz w:val="24"/>
          <w:szCs w:val="24"/>
        </w:rPr>
        <w:t xml:space="preserve">in Ilford to the hearing centre. </w:t>
      </w:r>
      <w:r w:rsidR="00A9594A">
        <w:rPr>
          <w:rFonts w:ascii="Book Antiqua" w:hAnsi="Book Antiqua"/>
          <w:sz w:val="24"/>
          <w:szCs w:val="24"/>
        </w:rPr>
        <w:t>In the circumstances, the Tribunal was entitled to give limited weight to the sponsor’s statement and did not have the sponsor present to explain</w:t>
      </w:r>
      <w:r w:rsidR="00252808">
        <w:rPr>
          <w:rFonts w:ascii="Book Antiqua" w:hAnsi="Book Antiqua"/>
          <w:sz w:val="24"/>
          <w:szCs w:val="24"/>
        </w:rPr>
        <w:t xml:space="preserve"> or support the appellant’s case. </w:t>
      </w:r>
    </w:p>
    <w:p w14:paraId="1CBDBFB1" w14:textId="291BBE5C" w:rsidR="00252808" w:rsidRDefault="00252808" w:rsidP="008B3201">
      <w:pPr>
        <w:numPr>
          <w:ilvl w:val="0"/>
          <w:numId w:val="1"/>
        </w:numPr>
        <w:jc w:val="both"/>
        <w:rPr>
          <w:rFonts w:ascii="Book Antiqua" w:hAnsi="Book Antiqua"/>
          <w:sz w:val="24"/>
          <w:szCs w:val="24"/>
        </w:rPr>
      </w:pPr>
      <w:r>
        <w:rPr>
          <w:rFonts w:ascii="Book Antiqua" w:hAnsi="Book Antiqua"/>
          <w:sz w:val="24"/>
          <w:szCs w:val="24"/>
        </w:rPr>
        <w:t>The final ground of appeal relates to [27] of the decision, where the Tribunal noted that the appellant’s wife did not provide any evidence, whether written or oral</w:t>
      </w:r>
      <w:r w:rsidR="00893CDD">
        <w:rPr>
          <w:rFonts w:ascii="Book Antiqua" w:hAnsi="Book Antiqua"/>
          <w:sz w:val="24"/>
          <w:szCs w:val="24"/>
        </w:rPr>
        <w:t>. The Tribunal had already noted its concern about the silence in the evidence as to the position of his wife</w:t>
      </w:r>
      <w:r w:rsidR="000D1B4D">
        <w:rPr>
          <w:rFonts w:ascii="Book Antiqua" w:hAnsi="Book Antiqua"/>
          <w:sz w:val="24"/>
          <w:szCs w:val="24"/>
        </w:rPr>
        <w:t xml:space="preserve"> subsequent to expiry of his leave to remain as her dependent, as well as the absence of documentary evidence</w:t>
      </w:r>
      <w:r w:rsidR="00A96C91">
        <w:rPr>
          <w:rFonts w:ascii="Book Antiqua" w:hAnsi="Book Antiqua"/>
          <w:sz w:val="24"/>
          <w:szCs w:val="24"/>
        </w:rPr>
        <w:t xml:space="preserve"> to support the proffered explanation for monies in his bank account in September </w:t>
      </w:r>
      <w:r w:rsidR="00A96C91">
        <w:rPr>
          <w:rFonts w:ascii="Book Antiqua" w:hAnsi="Book Antiqua"/>
          <w:sz w:val="24"/>
          <w:szCs w:val="24"/>
        </w:rPr>
        <w:lastRenderedPageBreak/>
        <w:t>2014, some 2 ½ years after he</w:t>
      </w:r>
      <w:r w:rsidR="00A24684">
        <w:rPr>
          <w:rFonts w:ascii="Book Antiqua" w:hAnsi="Book Antiqua"/>
          <w:sz w:val="24"/>
          <w:szCs w:val="24"/>
        </w:rPr>
        <w:t xml:space="preserve"> came to the UK as his wife’s dependent, and to support his explanation as to how his witness statements were funded. </w:t>
      </w:r>
    </w:p>
    <w:p w14:paraId="28629110" w14:textId="1FC7DC37" w:rsidR="00A24684" w:rsidRDefault="00A24684" w:rsidP="008B3201">
      <w:pPr>
        <w:numPr>
          <w:ilvl w:val="0"/>
          <w:numId w:val="1"/>
        </w:numPr>
        <w:jc w:val="both"/>
        <w:rPr>
          <w:rFonts w:ascii="Book Antiqua" w:hAnsi="Book Antiqua"/>
          <w:sz w:val="24"/>
          <w:szCs w:val="24"/>
        </w:rPr>
      </w:pPr>
      <w:r>
        <w:rPr>
          <w:rFonts w:ascii="Book Antiqua" w:hAnsi="Book Antiqua"/>
          <w:sz w:val="24"/>
          <w:szCs w:val="24"/>
        </w:rPr>
        <w:t xml:space="preserve">Whilst </w:t>
      </w:r>
      <w:r w:rsidR="00724566">
        <w:rPr>
          <w:rFonts w:ascii="Book Antiqua" w:hAnsi="Book Antiqua"/>
          <w:sz w:val="24"/>
          <w:szCs w:val="24"/>
        </w:rPr>
        <w:t xml:space="preserve">at [5] </w:t>
      </w:r>
      <w:r>
        <w:rPr>
          <w:rFonts w:ascii="Book Antiqua" w:hAnsi="Book Antiqua"/>
          <w:sz w:val="24"/>
          <w:szCs w:val="24"/>
        </w:rPr>
        <w:t xml:space="preserve">the grounds suggest that </w:t>
      </w:r>
      <w:r w:rsidR="00296928">
        <w:rPr>
          <w:rFonts w:ascii="Book Antiqua" w:hAnsi="Book Antiqua"/>
          <w:sz w:val="24"/>
          <w:szCs w:val="24"/>
        </w:rPr>
        <w:t xml:space="preserve">at [27] </w:t>
      </w:r>
      <w:r>
        <w:rPr>
          <w:rFonts w:ascii="Book Antiqua" w:hAnsi="Book Antiqua"/>
          <w:sz w:val="24"/>
          <w:szCs w:val="24"/>
        </w:rPr>
        <w:t xml:space="preserve">the Tribunal </w:t>
      </w:r>
      <w:r w:rsidR="00724566">
        <w:rPr>
          <w:rFonts w:ascii="Book Antiqua" w:hAnsi="Book Antiqua"/>
          <w:sz w:val="24"/>
          <w:szCs w:val="24"/>
        </w:rPr>
        <w:t xml:space="preserve">erred in </w:t>
      </w:r>
      <w:r w:rsidR="00815937">
        <w:rPr>
          <w:rFonts w:ascii="Book Antiqua" w:hAnsi="Book Antiqua"/>
          <w:sz w:val="24"/>
          <w:szCs w:val="24"/>
        </w:rPr>
        <w:t>“</w:t>
      </w:r>
      <w:r w:rsidR="00724566">
        <w:rPr>
          <w:rFonts w:ascii="Book Antiqua" w:hAnsi="Book Antiqua"/>
          <w:sz w:val="24"/>
          <w:szCs w:val="24"/>
        </w:rPr>
        <w:t>failing to explain why</w:t>
      </w:r>
      <w:r w:rsidR="00815937">
        <w:rPr>
          <w:rFonts w:ascii="Book Antiqua" w:hAnsi="Book Antiqua"/>
          <w:sz w:val="24"/>
          <w:szCs w:val="24"/>
        </w:rPr>
        <w:t xml:space="preserve"> he rejected the Sponsors medial evidence for her absence when arriving at the finding that she did not provide any evidence,” </w:t>
      </w:r>
      <w:r w:rsidR="00296928">
        <w:rPr>
          <w:rFonts w:ascii="Book Antiqua" w:hAnsi="Book Antiqua"/>
          <w:sz w:val="24"/>
          <w:szCs w:val="24"/>
        </w:rPr>
        <w:t xml:space="preserve">the ground is misconceived as [27] referred to the absence of evidence from the appellant’s wife, not the sponsor. It has to be borne in mind that the appellant was the only live witness at the appeal hearing and neither the sponsor nor the appellant’s wife attended to support his case. The fact was that even if the appellant’s wife could not attend, which is far from clear, </w:t>
      </w:r>
      <w:r w:rsidR="00270915">
        <w:rPr>
          <w:rFonts w:ascii="Book Antiqua" w:hAnsi="Book Antiqua"/>
          <w:sz w:val="24"/>
          <w:szCs w:val="24"/>
        </w:rPr>
        <w:t xml:space="preserve">a signed and dated witness statement could have been provided but was not. </w:t>
      </w:r>
      <w:r w:rsidR="00296928">
        <w:rPr>
          <w:rFonts w:ascii="Book Antiqua" w:hAnsi="Book Antiqua"/>
          <w:sz w:val="24"/>
          <w:szCs w:val="24"/>
        </w:rPr>
        <w:t xml:space="preserve"> </w:t>
      </w:r>
    </w:p>
    <w:p w14:paraId="7D269536" w14:textId="13702922" w:rsidR="00AB063D" w:rsidRDefault="00270915" w:rsidP="008B3201">
      <w:pPr>
        <w:numPr>
          <w:ilvl w:val="0"/>
          <w:numId w:val="1"/>
        </w:numPr>
        <w:jc w:val="both"/>
        <w:rPr>
          <w:rFonts w:ascii="Book Antiqua" w:hAnsi="Book Antiqua"/>
          <w:sz w:val="24"/>
          <w:szCs w:val="24"/>
        </w:rPr>
      </w:pPr>
      <w:r>
        <w:rPr>
          <w:rFonts w:ascii="Book Antiqua" w:hAnsi="Book Antiqua"/>
          <w:sz w:val="24"/>
          <w:szCs w:val="24"/>
        </w:rPr>
        <w:t xml:space="preserve">It follows from the above that the findings of the First-tier Tribunal in relation to the </w:t>
      </w:r>
      <w:r w:rsidR="001C59FE">
        <w:rPr>
          <w:rFonts w:ascii="Book Antiqua" w:hAnsi="Book Antiqua"/>
          <w:sz w:val="24"/>
          <w:szCs w:val="24"/>
        </w:rPr>
        <w:t xml:space="preserve">issue of dependency/membership of household in the period after the appellant arrived in the UK from Pakistan in April 2011 disclose no error of law. </w:t>
      </w:r>
      <w:r w:rsidR="00FB2B19">
        <w:rPr>
          <w:rFonts w:ascii="Book Antiqua" w:hAnsi="Book Antiqua"/>
          <w:sz w:val="24"/>
          <w:szCs w:val="24"/>
        </w:rPr>
        <w:t xml:space="preserve">In essence, the grounds in this regard are no more than a disagreement with the decision and an attempt to reargue the appeal. </w:t>
      </w:r>
      <w:r w:rsidR="00CA1DF4">
        <w:rPr>
          <w:rFonts w:ascii="Book Antiqua" w:hAnsi="Book Antiqua"/>
          <w:sz w:val="24"/>
          <w:szCs w:val="24"/>
        </w:rPr>
        <w:t>At [29] of the decision the Tribunal concluded that the appellant himself was not a reliable witness</w:t>
      </w:r>
      <w:r w:rsidR="00EC54E9">
        <w:rPr>
          <w:rFonts w:ascii="Book Antiqua" w:hAnsi="Book Antiqua"/>
          <w:sz w:val="24"/>
          <w:szCs w:val="24"/>
        </w:rPr>
        <w:t xml:space="preserve"> and was entitled at [29] to note the absence of any reference to specific matters in the sponsor’s unsigned statement</w:t>
      </w:r>
      <w:r w:rsidR="001B391D">
        <w:rPr>
          <w:rFonts w:ascii="Book Antiqua" w:hAnsi="Book Antiqua"/>
          <w:sz w:val="24"/>
          <w:szCs w:val="24"/>
        </w:rPr>
        <w:t xml:space="preserve">. In the premises, the Tribunal was entitled to conclude that “even if the sponsor had contributed to the support of the appellant, there is no evidence of any dependency beyond the mere receipt of money.” </w:t>
      </w:r>
      <w:r w:rsidR="00AF5917">
        <w:rPr>
          <w:rFonts w:ascii="Book Antiqua" w:hAnsi="Book Antiqua"/>
          <w:sz w:val="24"/>
          <w:szCs w:val="24"/>
        </w:rPr>
        <w:t>At [30] the Tribunal was entitled to give reduced weight to the documentary evidence</w:t>
      </w:r>
      <w:r w:rsidR="007637E8">
        <w:rPr>
          <w:rFonts w:ascii="Book Antiqua" w:hAnsi="Book Antiqua"/>
          <w:sz w:val="24"/>
          <w:szCs w:val="24"/>
        </w:rPr>
        <w:t xml:space="preserve"> and conclude that the appellant had failed to discharge the burden of proof. No error of law is disclosed. </w:t>
      </w:r>
    </w:p>
    <w:p w14:paraId="02FEFEA2" w14:textId="178D049D" w:rsidR="008A6E61" w:rsidRPr="00734691" w:rsidRDefault="008A6E61" w:rsidP="008B3201">
      <w:pPr>
        <w:numPr>
          <w:ilvl w:val="0"/>
          <w:numId w:val="1"/>
        </w:numPr>
        <w:jc w:val="both"/>
        <w:rPr>
          <w:rFonts w:ascii="Book Antiqua" w:hAnsi="Book Antiqua"/>
          <w:sz w:val="24"/>
          <w:szCs w:val="24"/>
        </w:rPr>
      </w:pPr>
      <w:r>
        <w:rPr>
          <w:rFonts w:ascii="Book Antiqua" w:hAnsi="Book Antiqua"/>
          <w:sz w:val="24"/>
          <w:szCs w:val="24"/>
        </w:rPr>
        <w:t xml:space="preserve">In the circumstances, </w:t>
      </w:r>
      <w:r w:rsidR="007637E8">
        <w:rPr>
          <w:rFonts w:ascii="Book Antiqua" w:hAnsi="Book Antiqua"/>
          <w:sz w:val="24"/>
          <w:szCs w:val="24"/>
        </w:rPr>
        <w:t>although I have identified an error in the decision, it is clear that the appeal could not and would not have succeed even had that factual error not been made</w:t>
      </w:r>
      <w:r w:rsidR="00635600">
        <w:rPr>
          <w:rFonts w:ascii="Book Antiqua" w:hAnsi="Book Antiqua"/>
          <w:sz w:val="24"/>
          <w:szCs w:val="24"/>
        </w:rPr>
        <w:t xml:space="preserve"> as the appellant failed to discharge the burden of proof in respect of present dependency as required under Regulation 8</w:t>
      </w:r>
      <w:r w:rsidR="000F3F68">
        <w:rPr>
          <w:rFonts w:ascii="Book Antiqua" w:hAnsi="Book Antiqua"/>
          <w:sz w:val="24"/>
          <w:szCs w:val="24"/>
        </w:rPr>
        <w:t xml:space="preserve">. The error was not material to the outcome of the appeal. </w:t>
      </w:r>
    </w:p>
    <w:p w14:paraId="08C6C382" w14:textId="77777777" w:rsidR="00B05640" w:rsidRPr="00635600" w:rsidRDefault="00B05640" w:rsidP="007427BF">
      <w:pPr>
        <w:ind w:left="360"/>
        <w:jc w:val="both"/>
        <w:rPr>
          <w:rFonts w:ascii="Book Antiqua" w:hAnsi="Book Antiqua"/>
          <w:b/>
          <w:bCs/>
          <w:sz w:val="24"/>
          <w:szCs w:val="24"/>
        </w:rPr>
      </w:pPr>
      <w:r w:rsidRPr="00635600">
        <w:rPr>
          <w:rFonts w:ascii="Book Antiqua" w:eastAsia="Times New Roman" w:hAnsi="Book Antiqua" w:cs="Arial"/>
          <w:b/>
          <w:bCs/>
          <w:i/>
          <w:sz w:val="24"/>
          <w:szCs w:val="24"/>
          <w:lang w:eastAsia="en-GB"/>
        </w:rPr>
        <w:t>Decision</w:t>
      </w:r>
    </w:p>
    <w:p w14:paraId="4D2BAC3F" w14:textId="4209EB14" w:rsidR="00F10ACF" w:rsidRPr="007C6B68" w:rsidRDefault="00B05640" w:rsidP="00463CB4">
      <w:pPr>
        <w:numPr>
          <w:ilvl w:val="0"/>
          <w:numId w:val="1"/>
        </w:numPr>
        <w:jc w:val="both"/>
        <w:rPr>
          <w:rFonts w:ascii="Book Antiqua" w:hAnsi="Book Antiqua"/>
          <w:sz w:val="24"/>
          <w:szCs w:val="24"/>
        </w:rPr>
      </w:pPr>
      <w:r>
        <w:rPr>
          <w:rFonts w:ascii="Book Antiqua" w:eastAsia="Times New Roman" w:hAnsi="Book Antiqua" w:cs="Arial"/>
          <w:sz w:val="24"/>
          <w:szCs w:val="24"/>
          <w:lang w:eastAsia="en-GB"/>
        </w:rPr>
        <w:t xml:space="preserve">For the reasons set out out above, I find that the </w:t>
      </w:r>
      <w:r w:rsidRPr="007C6B68">
        <w:rPr>
          <w:rFonts w:ascii="Book Antiqua" w:eastAsia="Times New Roman" w:hAnsi="Book Antiqua" w:cs="Arial"/>
          <w:sz w:val="24"/>
          <w:szCs w:val="24"/>
          <w:lang w:eastAsia="en-GB"/>
        </w:rPr>
        <w:t xml:space="preserve">making of the decision of the First-tier Tribunal did </w:t>
      </w:r>
      <w:r w:rsidR="000F3F68">
        <w:rPr>
          <w:rFonts w:ascii="Book Antiqua" w:eastAsia="Times New Roman" w:hAnsi="Book Antiqua" w:cs="Arial"/>
          <w:sz w:val="24"/>
          <w:szCs w:val="24"/>
          <w:lang w:eastAsia="en-GB"/>
        </w:rPr>
        <w:t xml:space="preserve">not </w:t>
      </w:r>
      <w:r w:rsidRPr="007C6B68">
        <w:rPr>
          <w:rFonts w:ascii="Book Antiqua" w:eastAsia="Times New Roman" w:hAnsi="Book Antiqua" w:cs="Arial"/>
          <w:sz w:val="24"/>
          <w:szCs w:val="24"/>
          <w:lang w:eastAsia="en-GB"/>
        </w:rPr>
        <w:t>involve the making of an error on a point of law such that the decision should be set aside.</w:t>
      </w:r>
    </w:p>
    <w:p w14:paraId="5ECBF85E" w14:textId="448F48A9" w:rsidR="00B05640" w:rsidRPr="007C6B68" w:rsidRDefault="00B05640" w:rsidP="007427BF">
      <w:pPr>
        <w:tabs>
          <w:tab w:val="left" w:pos="2520"/>
        </w:tabs>
        <w:spacing w:before="240" w:after="100" w:afterAutospacing="1" w:line="240" w:lineRule="auto"/>
        <w:jc w:val="both"/>
        <w:rPr>
          <w:rFonts w:ascii="Book Antiqua" w:eastAsia="Times New Roman" w:hAnsi="Book Antiqua" w:cs="Arial"/>
          <w:sz w:val="24"/>
          <w:szCs w:val="24"/>
          <w:lang w:eastAsia="en-GB"/>
        </w:rPr>
      </w:pPr>
      <w:r w:rsidRPr="007C6B68">
        <w:rPr>
          <w:rFonts w:ascii="Book Antiqua" w:eastAsia="Times New Roman" w:hAnsi="Book Antiqua" w:cs="Arial"/>
          <w:sz w:val="24"/>
          <w:szCs w:val="24"/>
          <w:lang w:eastAsia="en-GB"/>
        </w:rPr>
        <w:tab/>
        <w:t xml:space="preserve">I </w:t>
      </w:r>
      <w:r w:rsidR="000F3F68">
        <w:rPr>
          <w:rFonts w:ascii="Book Antiqua" w:eastAsia="Times New Roman" w:hAnsi="Book Antiqua" w:cs="Arial"/>
          <w:sz w:val="24"/>
          <w:szCs w:val="24"/>
          <w:lang w:eastAsia="en-GB"/>
        </w:rPr>
        <w:t xml:space="preserve">do not </w:t>
      </w:r>
      <w:r w:rsidRPr="007C6B68">
        <w:rPr>
          <w:rFonts w:ascii="Book Antiqua" w:eastAsia="Times New Roman" w:hAnsi="Book Antiqua" w:cs="Arial"/>
          <w:sz w:val="24"/>
          <w:szCs w:val="24"/>
          <w:lang w:eastAsia="en-GB"/>
        </w:rPr>
        <w:t xml:space="preserve">set aside the decision. </w:t>
      </w:r>
    </w:p>
    <w:p w14:paraId="52041506" w14:textId="6C67751D" w:rsidR="00B05640" w:rsidRPr="007C6B68" w:rsidRDefault="004653AD" w:rsidP="007427BF">
      <w:pPr>
        <w:tabs>
          <w:tab w:val="left" w:pos="2520"/>
        </w:tabs>
        <w:spacing w:before="240" w:after="100" w:afterAutospacing="1" w:line="240" w:lineRule="auto"/>
        <w:ind w:left="2520"/>
        <w:jc w:val="both"/>
        <w:rPr>
          <w:rFonts w:ascii="Book Antiqua" w:eastAsia="Times New Roman" w:hAnsi="Book Antiqua" w:cs="Arial"/>
          <w:sz w:val="24"/>
          <w:szCs w:val="24"/>
          <w:lang w:eastAsia="en-GB"/>
        </w:rPr>
      </w:pPr>
      <w:r>
        <w:rPr>
          <w:noProof/>
        </w:rPr>
        <w:drawing>
          <wp:anchor distT="0" distB="0" distL="114300" distR="114300" simplePos="0" relativeHeight="251659264" behindDoc="1" locked="0" layoutInCell="1" allowOverlap="1" wp14:anchorId="170EE795" wp14:editId="5804C761">
            <wp:simplePos x="0" y="0"/>
            <wp:positionH relativeFrom="margin">
              <wp:align>right</wp:align>
            </wp:positionH>
            <wp:positionV relativeFrom="paragraph">
              <wp:posOffset>375285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F68">
        <w:rPr>
          <w:rFonts w:ascii="Book Antiqua" w:eastAsia="Times New Roman" w:hAnsi="Book Antiqua" w:cs="Arial"/>
          <w:sz w:val="24"/>
          <w:szCs w:val="24"/>
          <w:lang w:eastAsia="en-GB"/>
        </w:rPr>
        <w:t xml:space="preserve">The decision of the First-tier Tribunal </w:t>
      </w:r>
      <w:proofErr w:type="gramStart"/>
      <w:r w:rsidR="000F3F68">
        <w:rPr>
          <w:rFonts w:ascii="Book Antiqua" w:eastAsia="Times New Roman" w:hAnsi="Book Antiqua" w:cs="Arial"/>
          <w:sz w:val="24"/>
          <w:szCs w:val="24"/>
          <w:lang w:eastAsia="en-GB"/>
        </w:rPr>
        <w:t>stands</w:t>
      </w:r>
      <w:proofErr w:type="gramEnd"/>
      <w:r w:rsidR="000F3F68">
        <w:rPr>
          <w:rFonts w:ascii="Book Antiqua" w:eastAsia="Times New Roman" w:hAnsi="Book Antiqua" w:cs="Arial"/>
          <w:sz w:val="24"/>
          <w:szCs w:val="24"/>
          <w:lang w:eastAsia="en-GB"/>
        </w:rPr>
        <w:t xml:space="preserve"> and the appeal remains dismissed. </w:t>
      </w:r>
    </w:p>
    <w:p w14:paraId="0F83947F" w14:textId="14CD583A" w:rsidR="00B05640" w:rsidRPr="0015018A" w:rsidRDefault="00B05640" w:rsidP="007427BF">
      <w:pPr>
        <w:tabs>
          <w:tab w:val="left" w:pos="2268"/>
          <w:tab w:val="left" w:pos="5103"/>
        </w:tabs>
        <w:spacing w:after="0" w:line="240" w:lineRule="auto"/>
        <w:ind w:left="720"/>
        <w:rPr>
          <w:rFonts w:ascii="Book Antiqua" w:eastAsia="Times New Roman" w:hAnsi="Book Antiqua" w:cs="Arial"/>
          <w:b/>
          <w:bCs/>
          <w:sz w:val="24"/>
          <w:szCs w:val="24"/>
          <w:lang w:eastAsia="en-GB"/>
        </w:rPr>
      </w:pPr>
      <w:r>
        <w:rPr>
          <w:rFonts w:ascii="Book Antiqua" w:eastAsia="Times New Roman" w:hAnsi="Book Antiqua" w:cs="Arial"/>
          <w:b/>
          <w:bCs/>
          <w:sz w:val="24"/>
          <w:szCs w:val="24"/>
          <w:lang w:eastAsia="en-GB"/>
        </w:rPr>
        <w:tab/>
      </w:r>
      <w:r w:rsidRPr="0015018A">
        <w:rPr>
          <w:rFonts w:ascii="Book Antiqua" w:eastAsia="Times New Roman" w:hAnsi="Book Antiqua" w:cs="Arial"/>
          <w:b/>
          <w:bCs/>
          <w:sz w:val="24"/>
          <w:szCs w:val="24"/>
          <w:lang w:eastAsia="en-GB"/>
        </w:rPr>
        <w:t xml:space="preserve">Signed   </w:t>
      </w:r>
      <w:r w:rsidRPr="0015018A">
        <w:rPr>
          <w:rFonts w:ascii="Lucida Handwriting" w:hAnsi="Lucida Handwriting" w:cs="Arial"/>
        </w:rPr>
        <w:t>DMW Pickup</w:t>
      </w:r>
    </w:p>
    <w:p w14:paraId="6C480CF4" w14:textId="2144D774" w:rsidR="00B05640" w:rsidRPr="0015018A" w:rsidRDefault="00B05640" w:rsidP="007427BF">
      <w:pPr>
        <w:tabs>
          <w:tab w:val="left" w:pos="2268"/>
          <w:tab w:val="left" w:pos="5103"/>
        </w:tabs>
        <w:spacing w:after="0" w:line="240" w:lineRule="auto"/>
        <w:ind w:left="720"/>
        <w:rPr>
          <w:rFonts w:ascii="Book Antiqua" w:eastAsia="Times New Roman" w:hAnsi="Book Antiqua" w:cs="Arial"/>
          <w:b/>
          <w:bCs/>
          <w:sz w:val="24"/>
          <w:szCs w:val="24"/>
          <w:lang w:eastAsia="en-GB"/>
        </w:rPr>
      </w:pPr>
      <w:r w:rsidRPr="0015018A">
        <w:rPr>
          <w:rFonts w:ascii="Book Antiqua" w:eastAsia="Times New Roman" w:hAnsi="Book Antiqua" w:cs="Arial"/>
          <w:b/>
          <w:bCs/>
          <w:sz w:val="24"/>
          <w:szCs w:val="24"/>
          <w:lang w:eastAsia="en-GB"/>
        </w:rPr>
        <w:tab/>
        <w:t>Upper Tribunal Judge Pickup</w:t>
      </w:r>
    </w:p>
    <w:p w14:paraId="2325DC23" w14:textId="77777777" w:rsidR="00B05640" w:rsidRPr="0015018A" w:rsidRDefault="00B05640" w:rsidP="007427BF">
      <w:pPr>
        <w:tabs>
          <w:tab w:val="left" w:pos="2268"/>
          <w:tab w:val="left" w:pos="5103"/>
        </w:tabs>
        <w:spacing w:after="0" w:line="240" w:lineRule="auto"/>
        <w:ind w:left="720"/>
        <w:rPr>
          <w:rFonts w:ascii="Book Antiqua" w:eastAsia="Times New Roman" w:hAnsi="Book Antiqua" w:cs="Arial"/>
          <w:b/>
          <w:bCs/>
          <w:sz w:val="24"/>
          <w:szCs w:val="24"/>
          <w:lang w:eastAsia="en-GB"/>
        </w:rPr>
      </w:pPr>
    </w:p>
    <w:p w14:paraId="0A66775A" w14:textId="4A61B92B" w:rsidR="007823B7" w:rsidRPr="007823B7" w:rsidRDefault="00B05640" w:rsidP="004653AD">
      <w:pPr>
        <w:tabs>
          <w:tab w:val="left" w:pos="2268"/>
          <w:tab w:val="left" w:pos="5103"/>
        </w:tabs>
        <w:spacing w:after="0" w:line="240" w:lineRule="auto"/>
        <w:ind w:left="720"/>
        <w:rPr>
          <w:rFonts w:ascii="Arial" w:eastAsia="Times New Roman" w:hAnsi="Arial" w:cs="Arial"/>
          <w:b/>
          <w:bCs/>
          <w:sz w:val="24"/>
          <w:szCs w:val="24"/>
          <w:lang w:eastAsia="en-GB"/>
        </w:rPr>
      </w:pPr>
      <w:r w:rsidRPr="0015018A">
        <w:rPr>
          <w:rFonts w:ascii="Book Antiqua" w:eastAsia="Times New Roman" w:hAnsi="Book Antiqua" w:cs="Arial"/>
          <w:b/>
          <w:bCs/>
          <w:sz w:val="24"/>
          <w:szCs w:val="24"/>
          <w:lang w:eastAsia="en-GB"/>
        </w:rPr>
        <w:tab/>
        <w:t xml:space="preserve">Dated </w:t>
      </w:r>
      <w:r w:rsidR="000F3F68">
        <w:rPr>
          <w:rFonts w:ascii="Book Antiqua" w:eastAsia="Times New Roman" w:hAnsi="Book Antiqua" w:cs="Arial"/>
          <w:b/>
          <w:bCs/>
          <w:sz w:val="24"/>
          <w:szCs w:val="24"/>
          <w:lang w:eastAsia="en-GB"/>
        </w:rPr>
        <w:t>19</w:t>
      </w:r>
      <w:r w:rsidR="00635600">
        <w:rPr>
          <w:rFonts w:ascii="Book Antiqua" w:eastAsia="Times New Roman" w:hAnsi="Book Antiqua" w:cs="Arial"/>
          <w:b/>
          <w:bCs/>
          <w:sz w:val="24"/>
          <w:szCs w:val="24"/>
          <w:lang w:eastAsia="en-GB"/>
        </w:rPr>
        <w:t xml:space="preserve"> August 2020</w:t>
      </w:r>
      <w:r w:rsidRPr="0015018A">
        <w:rPr>
          <w:rFonts w:ascii="Book Antiqua" w:eastAsia="Times New Roman" w:hAnsi="Book Antiqua" w:cs="Arial"/>
          <w:b/>
          <w:bCs/>
          <w:sz w:val="24"/>
          <w:szCs w:val="24"/>
          <w:lang w:eastAsia="en-GB"/>
        </w:rPr>
        <w:tab/>
      </w:r>
      <w:bookmarkStart w:id="0" w:name="_GoBack"/>
      <w:bookmarkEnd w:id="0"/>
    </w:p>
    <w:sectPr w:rsidR="007823B7" w:rsidRPr="007823B7" w:rsidSect="004653AD">
      <w:headerReference w:type="default" r:id="rId10"/>
      <w:footerReference w:type="default" r:id="rId11"/>
      <w:footerReference w:type="first" r:id="rId12"/>
      <w:pgSz w:w="11906" w:h="16838"/>
      <w:pgMar w:top="851"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EB467" w14:textId="77777777" w:rsidR="008B11BA" w:rsidRDefault="008B11BA" w:rsidP="00146FC3">
      <w:pPr>
        <w:spacing w:after="0" w:line="240" w:lineRule="auto"/>
      </w:pPr>
      <w:r>
        <w:separator/>
      </w:r>
    </w:p>
  </w:endnote>
  <w:endnote w:type="continuationSeparator" w:id="0">
    <w:p w14:paraId="1C96970A" w14:textId="77777777" w:rsidR="008B11BA" w:rsidRDefault="008B11BA" w:rsidP="0014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100353"/>
      <w:docPartObj>
        <w:docPartGallery w:val="Page Numbers (Bottom of Page)"/>
        <w:docPartUnique/>
      </w:docPartObj>
    </w:sdtPr>
    <w:sdtEndPr>
      <w:rPr>
        <w:rFonts w:ascii="Book Antiqua" w:hAnsi="Book Antiqua"/>
        <w:noProof/>
        <w:sz w:val="24"/>
        <w:szCs w:val="24"/>
      </w:rPr>
    </w:sdtEndPr>
    <w:sdtContent>
      <w:p w14:paraId="536E86FD" w14:textId="3F49E9CF" w:rsidR="00847F09" w:rsidRPr="000E13A6" w:rsidRDefault="00847F09">
        <w:pPr>
          <w:pStyle w:val="Footer"/>
          <w:jc w:val="center"/>
          <w:rPr>
            <w:rFonts w:ascii="Book Antiqua" w:hAnsi="Book Antiqua"/>
            <w:sz w:val="24"/>
            <w:szCs w:val="24"/>
          </w:rPr>
        </w:pPr>
        <w:r w:rsidRPr="000E13A6">
          <w:rPr>
            <w:rFonts w:ascii="Book Antiqua" w:hAnsi="Book Antiqua"/>
            <w:sz w:val="24"/>
            <w:szCs w:val="24"/>
          </w:rPr>
          <w:fldChar w:fldCharType="begin"/>
        </w:r>
        <w:r w:rsidRPr="000E13A6">
          <w:rPr>
            <w:rFonts w:ascii="Book Antiqua" w:hAnsi="Book Antiqua"/>
            <w:sz w:val="24"/>
            <w:szCs w:val="24"/>
          </w:rPr>
          <w:instrText xml:space="preserve"> PAGE   \* MERGEFORMAT </w:instrText>
        </w:r>
        <w:r w:rsidRPr="000E13A6">
          <w:rPr>
            <w:rFonts w:ascii="Book Antiqua" w:hAnsi="Book Antiqua"/>
            <w:sz w:val="24"/>
            <w:szCs w:val="24"/>
          </w:rPr>
          <w:fldChar w:fldCharType="separate"/>
        </w:r>
        <w:r w:rsidR="00D77403" w:rsidRPr="000E13A6">
          <w:rPr>
            <w:rFonts w:ascii="Book Antiqua" w:hAnsi="Book Antiqua"/>
            <w:noProof/>
            <w:sz w:val="24"/>
            <w:szCs w:val="24"/>
          </w:rPr>
          <w:t>5</w:t>
        </w:r>
        <w:r w:rsidRPr="000E13A6">
          <w:rPr>
            <w:rFonts w:ascii="Book Antiqua" w:hAnsi="Book Antiqua"/>
            <w:noProof/>
            <w:sz w:val="24"/>
            <w:szCs w:val="24"/>
          </w:rPr>
          <w:fldChar w:fldCharType="end"/>
        </w:r>
      </w:p>
    </w:sdtContent>
  </w:sdt>
  <w:p w14:paraId="6D91F56A" w14:textId="7E59D99F" w:rsidR="00956F1F" w:rsidRPr="00956F1F" w:rsidRDefault="00956F1F" w:rsidP="00956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6F85F" w14:textId="77777777" w:rsidR="00847F09" w:rsidRPr="001C5703" w:rsidRDefault="00847F09" w:rsidP="00847F09">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2020</w:t>
    </w:r>
  </w:p>
  <w:p w14:paraId="0FB417C1" w14:textId="77777777" w:rsidR="00847F09" w:rsidRDefault="0084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EE77A" w14:textId="77777777" w:rsidR="008B11BA" w:rsidRDefault="008B11BA" w:rsidP="00146FC3">
      <w:pPr>
        <w:spacing w:after="0" w:line="240" w:lineRule="auto"/>
      </w:pPr>
      <w:r>
        <w:separator/>
      </w:r>
    </w:p>
  </w:footnote>
  <w:footnote w:type="continuationSeparator" w:id="0">
    <w:p w14:paraId="464165FF" w14:textId="77777777" w:rsidR="008B11BA" w:rsidRDefault="008B11BA" w:rsidP="00146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1280F" w14:textId="3E909FF8" w:rsidR="008558FE" w:rsidRDefault="000E13A6" w:rsidP="008558FE">
    <w:pPr>
      <w:pStyle w:val="Header"/>
      <w:jc w:val="right"/>
      <w:rPr>
        <w:rFonts w:ascii="Book Antiqua" w:hAnsi="Book Antiqua"/>
        <w:sz w:val="16"/>
        <w:szCs w:val="16"/>
      </w:rPr>
    </w:pPr>
    <w:r>
      <w:rPr>
        <w:rFonts w:ascii="Book Antiqua" w:hAnsi="Book Antiqua"/>
        <w:sz w:val="16"/>
        <w:szCs w:val="16"/>
      </w:rPr>
      <w:t>Appeal Number: EA/03470/2019</w:t>
    </w:r>
  </w:p>
  <w:p w14:paraId="4D55D23F" w14:textId="77777777" w:rsidR="000E13A6" w:rsidRPr="000E13A6" w:rsidRDefault="000E13A6" w:rsidP="008558FE">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3A3"/>
    <w:multiLevelType w:val="hybridMultilevel"/>
    <w:tmpl w:val="80DE359E"/>
    <w:lvl w:ilvl="0" w:tplc="9346740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E1201C9"/>
    <w:multiLevelType w:val="hybridMultilevel"/>
    <w:tmpl w:val="A1023E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84C2B4E">
      <w:start w:val="1"/>
      <w:numFmt w:val="low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061D3"/>
    <w:multiLevelType w:val="hybridMultilevel"/>
    <w:tmpl w:val="49B4F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074C16"/>
    <w:multiLevelType w:val="hybridMultilevel"/>
    <w:tmpl w:val="E4EE0A76"/>
    <w:lvl w:ilvl="0" w:tplc="15AA82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12E4358"/>
    <w:multiLevelType w:val="hybridMultilevel"/>
    <w:tmpl w:val="75084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694543"/>
    <w:multiLevelType w:val="hybridMultilevel"/>
    <w:tmpl w:val="C02A99E0"/>
    <w:lvl w:ilvl="0" w:tplc="940289A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9A16AAC"/>
    <w:multiLevelType w:val="hybridMultilevel"/>
    <w:tmpl w:val="096A65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AE"/>
    <w:rsid w:val="00015E37"/>
    <w:rsid w:val="00033240"/>
    <w:rsid w:val="000373D6"/>
    <w:rsid w:val="0006213E"/>
    <w:rsid w:val="0006229F"/>
    <w:rsid w:val="00081D97"/>
    <w:rsid w:val="00085884"/>
    <w:rsid w:val="000876AB"/>
    <w:rsid w:val="00093328"/>
    <w:rsid w:val="0009455D"/>
    <w:rsid w:val="000D12E3"/>
    <w:rsid w:val="000D1B4D"/>
    <w:rsid w:val="000E13A6"/>
    <w:rsid w:val="000E2F29"/>
    <w:rsid w:val="000E4896"/>
    <w:rsid w:val="000E5108"/>
    <w:rsid w:val="000F0DE2"/>
    <w:rsid w:val="000F3F68"/>
    <w:rsid w:val="00104168"/>
    <w:rsid w:val="00110AD5"/>
    <w:rsid w:val="0011686D"/>
    <w:rsid w:val="001272B2"/>
    <w:rsid w:val="00141428"/>
    <w:rsid w:val="0014429D"/>
    <w:rsid w:val="0014526D"/>
    <w:rsid w:val="00146FC3"/>
    <w:rsid w:val="001625CC"/>
    <w:rsid w:val="00174751"/>
    <w:rsid w:val="00175057"/>
    <w:rsid w:val="0017555B"/>
    <w:rsid w:val="00190510"/>
    <w:rsid w:val="00190ECD"/>
    <w:rsid w:val="00197F9C"/>
    <w:rsid w:val="001A41F4"/>
    <w:rsid w:val="001B391D"/>
    <w:rsid w:val="001C59FE"/>
    <w:rsid w:val="001D309D"/>
    <w:rsid w:val="001F0F3F"/>
    <w:rsid w:val="001F72BF"/>
    <w:rsid w:val="00200F53"/>
    <w:rsid w:val="00207BE5"/>
    <w:rsid w:val="00252808"/>
    <w:rsid w:val="002536BB"/>
    <w:rsid w:val="00255CA2"/>
    <w:rsid w:val="002612D2"/>
    <w:rsid w:val="00262452"/>
    <w:rsid w:val="00264F2B"/>
    <w:rsid w:val="00267882"/>
    <w:rsid w:val="00270915"/>
    <w:rsid w:val="00275746"/>
    <w:rsid w:val="00277A5B"/>
    <w:rsid w:val="00282390"/>
    <w:rsid w:val="00294A86"/>
    <w:rsid w:val="00296928"/>
    <w:rsid w:val="002A1E5C"/>
    <w:rsid w:val="002A2EC2"/>
    <w:rsid w:val="002C5B6D"/>
    <w:rsid w:val="002C644D"/>
    <w:rsid w:val="002E66B6"/>
    <w:rsid w:val="0030311C"/>
    <w:rsid w:val="00313906"/>
    <w:rsid w:val="00315F7F"/>
    <w:rsid w:val="00330387"/>
    <w:rsid w:val="00333695"/>
    <w:rsid w:val="00347227"/>
    <w:rsid w:val="00357ABB"/>
    <w:rsid w:val="00363CAE"/>
    <w:rsid w:val="003675F3"/>
    <w:rsid w:val="00370130"/>
    <w:rsid w:val="00373582"/>
    <w:rsid w:val="0038085D"/>
    <w:rsid w:val="00380CEC"/>
    <w:rsid w:val="00385F6A"/>
    <w:rsid w:val="00395E79"/>
    <w:rsid w:val="003A618C"/>
    <w:rsid w:val="003B0F1F"/>
    <w:rsid w:val="003C2AE8"/>
    <w:rsid w:val="003E26E0"/>
    <w:rsid w:val="003F250E"/>
    <w:rsid w:val="003F494F"/>
    <w:rsid w:val="003F7C86"/>
    <w:rsid w:val="00411C4C"/>
    <w:rsid w:val="00416F6C"/>
    <w:rsid w:val="00417A2C"/>
    <w:rsid w:val="004203B2"/>
    <w:rsid w:val="00425136"/>
    <w:rsid w:val="00427177"/>
    <w:rsid w:val="004333CC"/>
    <w:rsid w:val="00433710"/>
    <w:rsid w:val="0044358D"/>
    <w:rsid w:val="00454F8C"/>
    <w:rsid w:val="00456B62"/>
    <w:rsid w:val="00463CB4"/>
    <w:rsid w:val="004653AD"/>
    <w:rsid w:val="004736EA"/>
    <w:rsid w:val="00473A5C"/>
    <w:rsid w:val="00473E76"/>
    <w:rsid w:val="00482DC7"/>
    <w:rsid w:val="00482F3D"/>
    <w:rsid w:val="0049606B"/>
    <w:rsid w:val="004A4172"/>
    <w:rsid w:val="004B01F8"/>
    <w:rsid w:val="004B0B11"/>
    <w:rsid w:val="004C1F77"/>
    <w:rsid w:val="004E0AD9"/>
    <w:rsid w:val="004E44CC"/>
    <w:rsid w:val="004E566B"/>
    <w:rsid w:val="004F0183"/>
    <w:rsid w:val="004F67ED"/>
    <w:rsid w:val="00502BEC"/>
    <w:rsid w:val="00504D3A"/>
    <w:rsid w:val="00514DF9"/>
    <w:rsid w:val="00516A2E"/>
    <w:rsid w:val="00521002"/>
    <w:rsid w:val="00522F03"/>
    <w:rsid w:val="005238E1"/>
    <w:rsid w:val="00541318"/>
    <w:rsid w:val="00553457"/>
    <w:rsid w:val="005567AE"/>
    <w:rsid w:val="00582249"/>
    <w:rsid w:val="00592719"/>
    <w:rsid w:val="00596279"/>
    <w:rsid w:val="005A6DCD"/>
    <w:rsid w:val="005B3D1B"/>
    <w:rsid w:val="005D558F"/>
    <w:rsid w:val="005D6C4E"/>
    <w:rsid w:val="005E12DE"/>
    <w:rsid w:val="006061A3"/>
    <w:rsid w:val="00610818"/>
    <w:rsid w:val="00621547"/>
    <w:rsid w:val="006240A5"/>
    <w:rsid w:val="00635600"/>
    <w:rsid w:val="00635949"/>
    <w:rsid w:val="00644E7B"/>
    <w:rsid w:val="00645810"/>
    <w:rsid w:val="0064794E"/>
    <w:rsid w:val="00650017"/>
    <w:rsid w:val="00650380"/>
    <w:rsid w:val="0065761A"/>
    <w:rsid w:val="0066486B"/>
    <w:rsid w:val="00677A0F"/>
    <w:rsid w:val="00677ADD"/>
    <w:rsid w:val="006805CC"/>
    <w:rsid w:val="00681A71"/>
    <w:rsid w:val="0068313A"/>
    <w:rsid w:val="00685030"/>
    <w:rsid w:val="00692906"/>
    <w:rsid w:val="00695DDF"/>
    <w:rsid w:val="006979BF"/>
    <w:rsid w:val="006B26EB"/>
    <w:rsid w:val="006B467E"/>
    <w:rsid w:val="006B4A51"/>
    <w:rsid w:val="006B5E57"/>
    <w:rsid w:val="006B627B"/>
    <w:rsid w:val="006C34B1"/>
    <w:rsid w:val="006E17E6"/>
    <w:rsid w:val="006E7CB4"/>
    <w:rsid w:val="006F48E3"/>
    <w:rsid w:val="00706986"/>
    <w:rsid w:val="00712033"/>
    <w:rsid w:val="00712933"/>
    <w:rsid w:val="00715F43"/>
    <w:rsid w:val="00716C39"/>
    <w:rsid w:val="00721D21"/>
    <w:rsid w:val="00724566"/>
    <w:rsid w:val="00731E5C"/>
    <w:rsid w:val="00751376"/>
    <w:rsid w:val="00762B91"/>
    <w:rsid w:val="007637E8"/>
    <w:rsid w:val="0077535E"/>
    <w:rsid w:val="0077707D"/>
    <w:rsid w:val="00777EB1"/>
    <w:rsid w:val="007823B7"/>
    <w:rsid w:val="00783C2C"/>
    <w:rsid w:val="00786C00"/>
    <w:rsid w:val="007A0A3D"/>
    <w:rsid w:val="007A6A03"/>
    <w:rsid w:val="007C1B3F"/>
    <w:rsid w:val="007C5457"/>
    <w:rsid w:val="007C743B"/>
    <w:rsid w:val="007E2C17"/>
    <w:rsid w:val="007F2FE2"/>
    <w:rsid w:val="007F743B"/>
    <w:rsid w:val="00800F32"/>
    <w:rsid w:val="00803EA5"/>
    <w:rsid w:val="008108A3"/>
    <w:rsid w:val="00812A70"/>
    <w:rsid w:val="00815937"/>
    <w:rsid w:val="00820646"/>
    <w:rsid w:val="00826ED6"/>
    <w:rsid w:val="008276AC"/>
    <w:rsid w:val="00837329"/>
    <w:rsid w:val="00847F09"/>
    <w:rsid w:val="00850067"/>
    <w:rsid w:val="00850D26"/>
    <w:rsid w:val="008558FE"/>
    <w:rsid w:val="00862E05"/>
    <w:rsid w:val="00877EB2"/>
    <w:rsid w:val="008807F7"/>
    <w:rsid w:val="00891958"/>
    <w:rsid w:val="0089232F"/>
    <w:rsid w:val="00893CDD"/>
    <w:rsid w:val="008A00C9"/>
    <w:rsid w:val="008A30F3"/>
    <w:rsid w:val="008A5584"/>
    <w:rsid w:val="008A6E61"/>
    <w:rsid w:val="008B11BA"/>
    <w:rsid w:val="008B3201"/>
    <w:rsid w:val="008B51AF"/>
    <w:rsid w:val="008C0208"/>
    <w:rsid w:val="008C07B2"/>
    <w:rsid w:val="008C23D0"/>
    <w:rsid w:val="008C268C"/>
    <w:rsid w:val="008C5DFB"/>
    <w:rsid w:val="008D24AD"/>
    <w:rsid w:val="008D5171"/>
    <w:rsid w:val="008E40DB"/>
    <w:rsid w:val="008E7831"/>
    <w:rsid w:val="008F398C"/>
    <w:rsid w:val="00900B20"/>
    <w:rsid w:val="00912ECA"/>
    <w:rsid w:val="009159DA"/>
    <w:rsid w:val="009206F1"/>
    <w:rsid w:val="009223FE"/>
    <w:rsid w:val="0092547D"/>
    <w:rsid w:val="009417FC"/>
    <w:rsid w:val="00946A9C"/>
    <w:rsid w:val="00950A08"/>
    <w:rsid w:val="00956F1F"/>
    <w:rsid w:val="00957169"/>
    <w:rsid w:val="00963651"/>
    <w:rsid w:val="00982294"/>
    <w:rsid w:val="00993657"/>
    <w:rsid w:val="009A6DC9"/>
    <w:rsid w:val="009A72F9"/>
    <w:rsid w:val="009A7831"/>
    <w:rsid w:val="009E79EA"/>
    <w:rsid w:val="009F50C7"/>
    <w:rsid w:val="00A01DDE"/>
    <w:rsid w:val="00A0217C"/>
    <w:rsid w:val="00A044C3"/>
    <w:rsid w:val="00A168BE"/>
    <w:rsid w:val="00A17B55"/>
    <w:rsid w:val="00A24684"/>
    <w:rsid w:val="00A34C08"/>
    <w:rsid w:val="00A42DC9"/>
    <w:rsid w:val="00A6154C"/>
    <w:rsid w:val="00A64175"/>
    <w:rsid w:val="00A668AE"/>
    <w:rsid w:val="00A7170B"/>
    <w:rsid w:val="00A7217D"/>
    <w:rsid w:val="00A730C0"/>
    <w:rsid w:val="00A73972"/>
    <w:rsid w:val="00A80120"/>
    <w:rsid w:val="00A86615"/>
    <w:rsid w:val="00A9594A"/>
    <w:rsid w:val="00A96C91"/>
    <w:rsid w:val="00AA1333"/>
    <w:rsid w:val="00AB063D"/>
    <w:rsid w:val="00AC088A"/>
    <w:rsid w:val="00AC39B0"/>
    <w:rsid w:val="00AC7349"/>
    <w:rsid w:val="00AD70DD"/>
    <w:rsid w:val="00AE738F"/>
    <w:rsid w:val="00AF33E5"/>
    <w:rsid w:val="00AF5917"/>
    <w:rsid w:val="00B05640"/>
    <w:rsid w:val="00B1535F"/>
    <w:rsid w:val="00B232B7"/>
    <w:rsid w:val="00B32147"/>
    <w:rsid w:val="00B3241E"/>
    <w:rsid w:val="00B3291C"/>
    <w:rsid w:val="00B605E2"/>
    <w:rsid w:val="00B63518"/>
    <w:rsid w:val="00B66E1D"/>
    <w:rsid w:val="00B7443F"/>
    <w:rsid w:val="00B76B68"/>
    <w:rsid w:val="00B816DE"/>
    <w:rsid w:val="00BC116B"/>
    <w:rsid w:val="00BD29C5"/>
    <w:rsid w:val="00BD5DD8"/>
    <w:rsid w:val="00BD65D7"/>
    <w:rsid w:val="00BD6D0B"/>
    <w:rsid w:val="00BE0FDB"/>
    <w:rsid w:val="00BE672D"/>
    <w:rsid w:val="00BE7774"/>
    <w:rsid w:val="00BF0C9E"/>
    <w:rsid w:val="00BF5EB9"/>
    <w:rsid w:val="00C02631"/>
    <w:rsid w:val="00C0505C"/>
    <w:rsid w:val="00C26F76"/>
    <w:rsid w:val="00C31971"/>
    <w:rsid w:val="00C40770"/>
    <w:rsid w:val="00C43E6E"/>
    <w:rsid w:val="00C5045B"/>
    <w:rsid w:val="00C53C5E"/>
    <w:rsid w:val="00C54C78"/>
    <w:rsid w:val="00C61A91"/>
    <w:rsid w:val="00C6294B"/>
    <w:rsid w:val="00C6722E"/>
    <w:rsid w:val="00C67BD3"/>
    <w:rsid w:val="00C71D96"/>
    <w:rsid w:val="00C92CF8"/>
    <w:rsid w:val="00C933F7"/>
    <w:rsid w:val="00CA1DF4"/>
    <w:rsid w:val="00CA4380"/>
    <w:rsid w:val="00CB0951"/>
    <w:rsid w:val="00CD5ADE"/>
    <w:rsid w:val="00CD6B40"/>
    <w:rsid w:val="00CD6FCB"/>
    <w:rsid w:val="00CF0B46"/>
    <w:rsid w:val="00CF13C7"/>
    <w:rsid w:val="00CF630F"/>
    <w:rsid w:val="00CF6485"/>
    <w:rsid w:val="00D13369"/>
    <w:rsid w:val="00D25386"/>
    <w:rsid w:val="00D43D78"/>
    <w:rsid w:val="00D479A1"/>
    <w:rsid w:val="00D670D8"/>
    <w:rsid w:val="00D74B37"/>
    <w:rsid w:val="00D7657E"/>
    <w:rsid w:val="00D77403"/>
    <w:rsid w:val="00D819C6"/>
    <w:rsid w:val="00D87DB9"/>
    <w:rsid w:val="00D922B7"/>
    <w:rsid w:val="00DA75F4"/>
    <w:rsid w:val="00DB43CB"/>
    <w:rsid w:val="00DC5903"/>
    <w:rsid w:val="00DD401A"/>
    <w:rsid w:val="00DD710F"/>
    <w:rsid w:val="00DE37DA"/>
    <w:rsid w:val="00DE395A"/>
    <w:rsid w:val="00DF099B"/>
    <w:rsid w:val="00DF69E3"/>
    <w:rsid w:val="00E028C9"/>
    <w:rsid w:val="00E04445"/>
    <w:rsid w:val="00E11E54"/>
    <w:rsid w:val="00E1599C"/>
    <w:rsid w:val="00E26A23"/>
    <w:rsid w:val="00E27ED1"/>
    <w:rsid w:val="00E30789"/>
    <w:rsid w:val="00E50747"/>
    <w:rsid w:val="00E53931"/>
    <w:rsid w:val="00E60283"/>
    <w:rsid w:val="00E7640D"/>
    <w:rsid w:val="00E864A1"/>
    <w:rsid w:val="00EB78BE"/>
    <w:rsid w:val="00EC54E9"/>
    <w:rsid w:val="00ED477A"/>
    <w:rsid w:val="00ED74A9"/>
    <w:rsid w:val="00EE290B"/>
    <w:rsid w:val="00EF2A3E"/>
    <w:rsid w:val="00F10ACF"/>
    <w:rsid w:val="00F14415"/>
    <w:rsid w:val="00F26EB8"/>
    <w:rsid w:val="00F2790E"/>
    <w:rsid w:val="00F43943"/>
    <w:rsid w:val="00F7626A"/>
    <w:rsid w:val="00F8399E"/>
    <w:rsid w:val="00F87D00"/>
    <w:rsid w:val="00F919C2"/>
    <w:rsid w:val="00FB17DF"/>
    <w:rsid w:val="00FB27ED"/>
    <w:rsid w:val="00FB2B19"/>
    <w:rsid w:val="00FB460E"/>
    <w:rsid w:val="00FC6E39"/>
    <w:rsid w:val="00FD0DFF"/>
    <w:rsid w:val="00FE2027"/>
    <w:rsid w:val="00FE3B72"/>
    <w:rsid w:val="00FE42FF"/>
    <w:rsid w:val="00FF1B4A"/>
    <w:rsid w:val="00FF2741"/>
    <w:rsid w:val="00FF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845F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6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FC3"/>
    <w:rPr>
      <w:lang w:eastAsia="en-US"/>
    </w:rPr>
  </w:style>
  <w:style w:type="character" w:styleId="FootnoteReference">
    <w:name w:val="footnote reference"/>
    <w:basedOn w:val="DefaultParagraphFont"/>
    <w:uiPriority w:val="99"/>
    <w:semiHidden/>
    <w:unhideWhenUsed/>
    <w:rsid w:val="00146FC3"/>
    <w:rPr>
      <w:vertAlign w:val="superscript"/>
    </w:rPr>
  </w:style>
  <w:style w:type="character" w:styleId="Hyperlink">
    <w:name w:val="Hyperlink"/>
    <w:basedOn w:val="DefaultParagraphFont"/>
    <w:uiPriority w:val="99"/>
    <w:unhideWhenUsed/>
    <w:rsid w:val="00BD6D0B"/>
    <w:rPr>
      <w:color w:val="0563C1" w:themeColor="hyperlink"/>
      <w:u w:val="single"/>
    </w:rPr>
  </w:style>
  <w:style w:type="character" w:styleId="UnresolvedMention">
    <w:name w:val="Unresolved Mention"/>
    <w:basedOn w:val="DefaultParagraphFont"/>
    <w:uiPriority w:val="99"/>
    <w:semiHidden/>
    <w:unhideWhenUsed/>
    <w:rsid w:val="00BD6D0B"/>
    <w:rPr>
      <w:color w:val="605E5C"/>
      <w:shd w:val="clear" w:color="auto" w:fill="E1DFDD"/>
    </w:rPr>
  </w:style>
  <w:style w:type="paragraph" w:styleId="Header">
    <w:name w:val="header"/>
    <w:basedOn w:val="Normal"/>
    <w:link w:val="HeaderChar"/>
    <w:uiPriority w:val="99"/>
    <w:unhideWhenUsed/>
    <w:rsid w:val="00855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8FE"/>
    <w:rPr>
      <w:sz w:val="22"/>
      <w:szCs w:val="22"/>
      <w:lang w:eastAsia="en-US"/>
    </w:rPr>
  </w:style>
  <w:style w:type="paragraph" w:styleId="Footer">
    <w:name w:val="footer"/>
    <w:basedOn w:val="Normal"/>
    <w:link w:val="FooterChar"/>
    <w:uiPriority w:val="99"/>
    <w:unhideWhenUsed/>
    <w:rsid w:val="00855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8FE"/>
    <w:rPr>
      <w:sz w:val="22"/>
      <w:szCs w:val="22"/>
      <w:lang w:eastAsia="en-US"/>
    </w:rPr>
  </w:style>
  <w:style w:type="paragraph" w:styleId="ListParagraph">
    <w:name w:val="List Paragraph"/>
    <w:basedOn w:val="Normal"/>
    <w:uiPriority w:val="34"/>
    <w:qFormat/>
    <w:rsid w:val="00463CB4"/>
    <w:pPr>
      <w:ind w:left="720"/>
      <w:contextualSpacing/>
    </w:pPr>
  </w:style>
  <w:style w:type="paragraph" w:styleId="BalloonText">
    <w:name w:val="Balloon Text"/>
    <w:basedOn w:val="Normal"/>
    <w:link w:val="BalloonTextChar"/>
    <w:uiPriority w:val="99"/>
    <w:semiHidden/>
    <w:unhideWhenUsed/>
    <w:rsid w:val="00847F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F0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46930-473E-4F7C-B0AC-D97BB243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2020-09-07T12:40:00Z</dcterms:created>
  <dcterms:modified xsi:type="dcterms:W3CDTF">2020-09-07T12:40:00Z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