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97275" w14:textId="77777777" w:rsidR="00750F0A" w:rsidRPr="00750F0A" w:rsidRDefault="00750F0A" w:rsidP="00301C45">
      <w:pPr>
        <w:tabs>
          <w:tab w:val="right" w:pos="9720"/>
        </w:tabs>
        <w:ind w:right="-82"/>
        <w:jc w:val="center"/>
        <w:rPr>
          <w:rFonts w:ascii="Book Antiqua" w:hAnsi="Book Antiqua" w:cs="Arial"/>
          <w:b/>
          <w:color w:val="000000"/>
          <w:sz w:val="24"/>
          <w:szCs w:val="24"/>
        </w:rPr>
      </w:pPr>
    </w:p>
    <w:p w14:paraId="7D4DA537" w14:textId="7E7A1A8C" w:rsidR="00301C45" w:rsidRPr="00750F0A" w:rsidRDefault="00301C45" w:rsidP="00301C45">
      <w:pPr>
        <w:tabs>
          <w:tab w:val="right" w:pos="9720"/>
        </w:tabs>
        <w:ind w:right="-82"/>
        <w:jc w:val="center"/>
        <w:rPr>
          <w:rFonts w:ascii="Book Antiqua" w:hAnsi="Book Antiqua" w:cs="Arial"/>
          <w:b/>
          <w:color w:val="000000"/>
          <w:sz w:val="24"/>
          <w:szCs w:val="24"/>
        </w:rPr>
      </w:pPr>
      <w:r w:rsidRPr="00750F0A">
        <w:rPr>
          <w:rFonts w:ascii="Book Antiqua" w:hAnsi="Book Antiqua" w:cs="Arial"/>
          <w:noProof/>
          <w:sz w:val="24"/>
          <w:szCs w:val="24"/>
        </w:rPr>
        <w:drawing>
          <wp:inline distT="0" distB="0" distL="0" distR="0" wp14:anchorId="6A2E3F94" wp14:editId="66872A17">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12C7C581" w14:textId="7DD45235" w:rsidR="00F35BC4" w:rsidRPr="00750F0A" w:rsidRDefault="00F35BC4" w:rsidP="00750F0A">
      <w:pPr>
        <w:tabs>
          <w:tab w:val="right" w:pos="9720"/>
        </w:tabs>
        <w:spacing w:after="0" w:line="240" w:lineRule="auto"/>
        <w:ind w:right="-79"/>
        <w:rPr>
          <w:rFonts w:ascii="Book Antiqua" w:hAnsi="Book Antiqua" w:cs="Arial"/>
          <w:b/>
          <w:color w:val="000000"/>
          <w:sz w:val="24"/>
          <w:szCs w:val="24"/>
          <w:lang w:eastAsia="en-GB"/>
        </w:rPr>
      </w:pPr>
      <w:r w:rsidRPr="00750F0A">
        <w:rPr>
          <w:rFonts w:ascii="Book Antiqua" w:hAnsi="Book Antiqua" w:cs="Arial"/>
          <w:b/>
          <w:color w:val="000000"/>
          <w:sz w:val="24"/>
          <w:szCs w:val="24"/>
        </w:rPr>
        <w:t xml:space="preserve">Upper Tribunal </w:t>
      </w:r>
      <w:r w:rsidR="008344E5" w:rsidRPr="00750F0A">
        <w:rPr>
          <w:rFonts w:ascii="Book Antiqua" w:hAnsi="Book Antiqua" w:cs="Arial"/>
          <w:b/>
          <w:color w:val="000000"/>
          <w:sz w:val="24"/>
          <w:szCs w:val="24"/>
        </w:rPr>
        <w:tab/>
      </w:r>
    </w:p>
    <w:p w14:paraId="53823427" w14:textId="28E4DAB5" w:rsidR="00F35BC4" w:rsidRPr="00750F0A" w:rsidRDefault="00F35BC4" w:rsidP="00750F0A">
      <w:pPr>
        <w:tabs>
          <w:tab w:val="right" w:pos="9720"/>
        </w:tabs>
        <w:spacing w:after="0" w:line="240" w:lineRule="auto"/>
        <w:ind w:right="-79"/>
        <w:rPr>
          <w:rFonts w:ascii="Book Antiqua" w:hAnsi="Book Antiqua" w:cs="Arial"/>
          <w:b/>
          <w:bCs/>
          <w:color w:val="000000"/>
          <w:sz w:val="24"/>
          <w:szCs w:val="24"/>
        </w:rPr>
      </w:pPr>
      <w:r w:rsidRPr="00750F0A">
        <w:rPr>
          <w:rFonts w:ascii="Book Antiqua" w:hAnsi="Book Antiqua" w:cs="Arial"/>
          <w:b/>
          <w:color w:val="000000"/>
          <w:sz w:val="24"/>
          <w:szCs w:val="24"/>
        </w:rPr>
        <w:t xml:space="preserve">(Immigration and Asylum </w:t>
      </w:r>
      <w:proofErr w:type="gramStart"/>
      <w:r w:rsidRPr="00750F0A">
        <w:rPr>
          <w:rFonts w:ascii="Book Antiqua" w:hAnsi="Book Antiqua" w:cs="Arial"/>
          <w:b/>
          <w:color w:val="000000"/>
          <w:sz w:val="24"/>
          <w:szCs w:val="24"/>
        </w:rPr>
        <w:t>Chamber)</w:t>
      </w:r>
      <w:r w:rsidR="00750F0A" w:rsidRPr="00750F0A">
        <w:rPr>
          <w:rFonts w:ascii="Book Antiqua" w:hAnsi="Book Antiqua" w:cs="Arial"/>
          <w:b/>
          <w:color w:val="000000"/>
          <w:sz w:val="24"/>
          <w:szCs w:val="24"/>
        </w:rPr>
        <w:t xml:space="preserve">   </w:t>
      </w:r>
      <w:proofErr w:type="gramEnd"/>
      <w:r w:rsidR="00750F0A" w:rsidRPr="00750F0A">
        <w:rPr>
          <w:rFonts w:ascii="Book Antiqua" w:hAnsi="Book Antiqua" w:cs="Arial"/>
          <w:b/>
          <w:color w:val="000000"/>
          <w:sz w:val="24"/>
          <w:szCs w:val="24"/>
        </w:rPr>
        <w:t xml:space="preserve">                </w:t>
      </w:r>
      <w:r w:rsidR="00750F0A" w:rsidRPr="00750F0A">
        <w:rPr>
          <w:rFonts w:ascii="Book Antiqua" w:hAnsi="Book Antiqua" w:cs="Arial"/>
          <w:b/>
          <w:color w:val="000000"/>
          <w:sz w:val="24"/>
          <w:szCs w:val="24"/>
        </w:rPr>
        <w:t>Appeal number: EA/03499/2019   (P)</w:t>
      </w:r>
      <w:r w:rsidRPr="00750F0A">
        <w:rPr>
          <w:rFonts w:ascii="Book Antiqua" w:hAnsi="Book Antiqua" w:cs="Arial"/>
          <w:b/>
          <w:color w:val="000000"/>
          <w:sz w:val="24"/>
          <w:szCs w:val="24"/>
        </w:rPr>
        <w:tab/>
      </w:r>
    </w:p>
    <w:p w14:paraId="37F38697" w14:textId="77777777" w:rsidR="00750F0A" w:rsidRPr="00750F0A" w:rsidRDefault="00750F0A" w:rsidP="001B7E2B">
      <w:pPr>
        <w:jc w:val="center"/>
        <w:rPr>
          <w:rFonts w:ascii="Book Antiqua" w:hAnsi="Book Antiqua" w:cs="Arial"/>
          <w:b/>
          <w:color w:val="000000"/>
          <w:sz w:val="24"/>
          <w:szCs w:val="24"/>
          <w:u w:val="single"/>
        </w:rPr>
      </w:pPr>
    </w:p>
    <w:p w14:paraId="317E3E23" w14:textId="147F11EB" w:rsidR="00F35BC4" w:rsidRPr="00750F0A" w:rsidRDefault="00F35BC4" w:rsidP="001B7E2B">
      <w:pPr>
        <w:jc w:val="center"/>
        <w:rPr>
          <w:rFonts w:ascii="Book Antiqua" w:hAnsi="Book Antiqua" w:cs="Arial"/>
          <w:b/>
          <w:color w:val="000000"/>
          <w:sz w:val="24"/>
          <w:szCs w:val="24"/>
          <w:u w:val="single"/>
        </w:rPr>
      </w:pPr>
      <w:r w:rsidRPr="00750F0A">
        <w:rPr>
          <w:rFonts w:ascii="Book Antiqua" w:hAnsi="Book Antiqua" w:cs="Arial"/>
          <w:b/>
          <w:color w:val="000000"/>
          <w:sz w:val="24"/>
          <w:szCs w:val="24"/>
          <w:u w:val="single"/>
        </w:rPr>
        <w:t>THE IMMIGRATION ACTS</w:t>
      </w:r>
    </w:p>
    <w:p w14:paraId="69DF2DA6" w14:textId="77777777" w:rsidR="00750F0A" w:rsidRPr="00750F0A" w:rsidRDefault="00750F0A" w:rsidP="00750F0A">
      <w:pPr>
        <w:spacing w:after="0" w:line="240" w:lineRule="auto"/>
        <w:jc w:val="center"/>
        <w:rPr>
          <w:rFonts w:ascii="Book Antiqua" w:hAnsi="Book Antiqua" w:cs="Arial"/>
          <w:b/>
          <w:color w:val="000000"/>
          <w:sz w:val="24"/>
          <w:szCs w:val="24"/>
          <w:u w:val="single"/>
        </w:rPr>
      </w:pPr>
    </w:p>
    <w:tbl>
      <w:tblPr>
        <w:tblW w:w="14913" w:type="dxa"/>
        <w:tblLook w:val="01E0" w:firstRow="1" w:lastRow="1" w:firstColumn="1" w:lastColumn="1" w:noHBand="0" w:noVBand="0"/>
      </w:tblPr>
      <w:tblGrid>
        <w:gridCol w:w="5103"/>
        <w:gridCol w:w="4905"/>
        <w:gridCol w:w="4905"/>
      </w:tblGrid>
      <w:tr w:rsidR="00750F0A" w:rsidRPr="00750F0A" w14:paraId="1C1329C0" w14:textId="7C3D78B6" w:rsidTr="00750F0A">
        <w:tc>
          <w:tcPr>
            <w:tcW w:w="5103" w:type="dxa"/>
            <w:hideMark/>
          </w:tcPr>
          <w:p w14:paraId="7C089F8B" w14:textId="77777777" w:rsidR="00750F0A" w:rsidRPr="00750F0A" w:rsidRDefault="00750F0A" w:rsidP="00750F0A">
            <w:pPr>
              <w:spacing w:after="0" w:line="240" w:lineRule="auto"/>
              <w:jc w:val="both"/>
              <w:rPr>
                <w:rFonts w:ascii="Book Antiqua" w:hAnsi="Book Antiqua" w:cs="Arial"/>
                <w:b/>
                <w:sz w:val="24"/>
                <w:szCs w:val="24"/>
              </w:rPr>
            </w:pPr>
            <w:r w:rsidRPr="00750F0A">
              <w:rPr>
                <w:rFonts w:ascii="Book Antiqua" w:hAnsi="Book Antiqua" w:cs="Arial"/>
                <w:b/>
                <w:sz w:val="24"/>
                <w:szCs w:val="24"/>
              </w:rPr>
              <w:t xml:space="preserve">Heard Remotely at Manchester CJC </w:t>
            </w:r>
          </w:p>
          <w:p w14:paraId="5322890C" w14:textId="1D9F1C2D" w:rsidR="00750F0A" w:rsidRPr="00750F0A" w:rsidRDefault="00750F0A" w:rsidP="00750F0A">
            <w:pPr>
              <w:spacing w:after="0" w:line="240" w:lineRule="auto"/>
              <w:jc w:val="both"/>
              <w:rPr>
                <w:rFonts w:ascii="Book Antiqua" w:hAnsi="Book Antiqua" w:cs="Arial"/>
                <w:b/>
                <w:sz w:val="24"/>
                <w:szCs w:val="24"/>
              </w:rPr>
            </w:pPr>
            <w:r w:rsidRPr="00750F0A">
              <w:rPr>
                <w:rFonts w:ascii="Book Antiqua" w:hAnsi="Book Antiqua" w:cs="Arial"/>
                <w:b/>
                <w:sz w:val="24"/>
                <w:szCs w:val="24"/>
              </w:rPr>
              <w:t>On 13 August 2020</w:t>
            </w:r>
          </w:p>
        </w:tc>
        <w:tc>
          <w:tcPr>
            <w:tcW w:w="4905" w:type="dxa"/>
            <w:hideMark/>
          </w:tcPr>
          <w:p w14:paraId="7A4CA168" w14:textId="77777777" w:rsidR="00750F0A" w:rsidRPr="00750F0A" w:rsidRDefault="00750F0A" w:rsidP="00750F0A">
            <w:pPr>
              <w:spacing w:after="0" w:line="240" w:lineRule="auto"/>
              <w:jc w:val="both"/>
              <w:rPr>
                <w:rFonts w:ascii="Book Antiqua" w:hAnsi="Book Antiqua" w:cs="Arial"/>
                <w:b/>
                <w:sz w:val="24"/>
                <w:szCs w:val="24"/>
              </w:rPr>
            </w:pPr>
            <w:r w:rsidRPr="00750F0A">
              <w:rPr>
                <w:rFonts w:ascii="Book Antiqua" w:hAnsi="Book Antiqua" w:cs="Arial"/>
                <w:b/>
                <w:color w:val="000000"/>
                <w:sz w:val="24"/>
                <w:szCs w:val="24"/>
              </w:rPr>
              <w:t>Decision &amp; Reasons Promulgated</w:t>
            </w:r>
            <w:r w:rsidRPr="00750F0A">
              <w:rPr>
                <w:rFonts w:ascii="Book Antiqua" w:hAnsi="Book Antiqua" w:cs="Arial"/>
                <w:b/>
                <w:sz w:val="24"/>
                <w:szCs w:val="24"/>
              </w:rPr>
              <w:t xml:space="preserve"> </w:t>
            </w:r>
          </w:p>
          <w:p w14:paraId="6EF0845F" w14:textId="1AB3AEFB" w:rsidR="00750F0A" w:rsidRPr="00750F0A" w:rsidRDefault="00750F0A" w:rsidP="00750F0A">
            <w:pPr>
              <w:spacing w:after="0" w:line="240" w:lineRule="auto"/>
              <w:jc w:val="both"/>
              <w:rPr>
                <w:rFonts w:ascii="Book Antiqua" w:hAnsi="Book Antiqua" w:cs="Arial"/>
                <w:b/>
                <w:color w:val="000000"/>
                <w:sz w:val="24"/>
                <w:szCs w:val="24"/>
              </w:rPr>
            </w:pPr>
            <w:r w:rsidRPr="00750F0A">
              <w:rPr>
                <w:rFonts w:ascii="Book Antiqua" w:hAnsi="Book Antiqua" w:cs="Arial"/>
                <w:b/>
                <w:sz w:val="24"/>
                <w:szCs w:val="24"/>
              </w:rPr>
              <w:t>On 25 August 2020</w:t>
            </w:r>
          </w:p>
        </w:tc>
        <w:tc>
          <w:tcPr>
            <w:tcW w:w="4905" w:type="dxa"/>
          </w:tcPr>
          <w:p w14:paraId="5D4CE13E" w14:textId="77777777" w:rsidR="00750F0A" w:rsidRPr="00750F0A" w:rsidRDefault="00750F0A" w:rsidP="00750F0A">
            <w:pPr>
              <w:spacing w:after="0" w:line="240" w:lineRule="auto"/>
              <w:jc w:val="both"/>
              <w:rPr>
                <w:rFonts w:ascii="Book Antiqua" w:hAnsi="Book Antiqua" w:cs="Arial"/>
                <w:b/>
                <w:color w:val="000000"/>
                <w:sz w:val="24"/>
                <w:szCs w:val="24"/>
              </w:rPr>
            </w:pPr>
          </w:p>
        </w:tc>
      </w:tr>
      <w:tr w:rsidR="00750F0A" w:rsidRPr="00750F0A" w14:paraId="4544D819" w14:textId="6969DC91" w:rsidTr="00750F0A">
        <w:tc>
          <w:tcPr>
            <w:tcW w:w="5103" w:type="dxa"/>
            <w:hideMark/>
          </w:tcPr>
          <w:p w14:paraId="26355A55" w14:textId="2E77B785" w:rsidR="00750F0A" w:rsidRPr="00750F0A" w:rsidRDefault="00750F0A">
            <w:pPr>
              <w:jc w:val="both"/>
              <w:rPr>
                <w:rFonts w:ascii="Book Antiqua" w:hAnsi="Book Antiqua" w:cs="Arial"/>
                <w:b/>
                <w:sz w:val="24"/>
                <w:szCs w:val="24"/>
              </w:rPr>
            </w:pPr>
          </w:p>
        </w:tc>
        <w:tc>
          <w:tcPr>
            <w:tcW w:w="4905" w:type="dxa"/>
          </w:tcPr>
          <w:p w14:paraId="67D72F77" w14:textId="3353E5DC" w:rsidR="00750F0A" w:rsidRPr="00750F0A" w:rsidRDefault="00750F0A">
            <w:pPr>
              <w:jc w:val="both"/>
              <w:rPr>
                <w:rFonts w:ascii="Book Antiqua" w:hAnsi="Book Antiqua" w:cs="Arial"/>
                <w:b/>
                <w:sz w:val="24"/>
                <w:szCs w:val="24"/>
              </w:rPr>
            </w:pPr>
          </w:p>
        </w:tc>
        <w:tc>
          <w:tcPr>
            <w:tcW w:w="4905" w:type="dxa"/>
          </w:tcPr>
          <w:p w14:paraId="1D3F86BC" w14:textId="77777777" w:rsidR="00750F0A" w:rsidRPr="00750F0A" w:rsidRDefault="00750F0A">
            <w:pPr>
              <w:jc w:val="both"/>
              <w:rPr>
                <w:rFonts w:ascii="Book Antiqua" w:hAnsi="Book Antiqua" w:cs="Arial"/>
                <w:b/>
                <w:sz w:val="24"/>
                <w:szCs w:val="24"/>
              </w:rPr>
            </w:pPr>
          </w:p>
        </w:tc>
      </w:tr>
    </w:tbl>
    <w:p w14:paraId="0A7C1835" w14:textId="77777777" w:rsidR="00F35BC4" w:rsidRPr="00750F0A" w:rsidRDefault="00F35BC4" w:rsidP="001B7E2B">
      <w:pPr>
        <w:rPr>
          <w:rFonts w:ascii="Book Antiqua" w:hAnsi="Book Antiqua" w:cs="Arial"/>
          <w:sz w:val="24"/>
          <w:szCs w:val="24"/>
        </w:rPr>
      </w:pPr>
    </w:p>
    <w:p w14:paraId="55B9596F" w14:textId="77777777" w:rsidR="00F35BC4" w:rsidRPr="00750F0A" w:rsidRDefault="00F35BC4" w:rsidP="00F35BC4">
      <w:pPr>
        <w:jc w:val="center"/>
        <w:rPr>
          <w:rFonts w:ascii="Book Antiqua" w:hAnsi="Book Antiqua" w:cs="Arial"/>
          <w:b/>
          <w:sz w:val="24"/>
          <w:szCs w:val="24"/>
        </w:rPr>
      </w:pPr>
      <w:r w:rsidRPr="00750F0A">
        <w:rPr>
          <w:rFonts w:ascii="Book Antiqua" w:hAnsi="Book Antiqua" w:cs="Arial"/>
          <w:b/>
          <w:sz w:val="24"/>
          <w:szCs w:val="24"/>
        </w:rPr>
        <w:t>Before</w:t>
      </w:r>
    </w:p>
    <w:p w14:paraId="603F3782" w14:textId="06B74D68" w:rsidR="00E83510" w:rsidRPr="00750F0A" w:rsidRDefault="00A83977" w:rsidP="001B7E2B">
      <w:pPr>
        <w:jc w:val="center"/>
        <w:rPr>
          <w:rFonts w:ascii="Book Antiqua" w:hAnsi="Book Antiqua" w:cs="Arial"/>
          <w:b/>
          <w:color w:val="000000"/>
          <w:sz w:val="24"/>
          <w:szCs w:val="24"/>
        </w:rPr>
      </w:pPr>
      <w:r w:rsidRPr="00750F0A">
        <w:rPr>
          <w:rFonts w:ascii="Book Antiqua" w:hAnsi="Book Antiqua" w:cs="Arial"/>
          <w:b/>
          <w:color w:val="000000"/>
          <w:sz w:val="24"/>
          <w:szCs w:val="24"/>
        </w:rPr>
        <w:t xml:space="preserve">UPPER TRIBUNAL JUDGE </w:t>
      </w:r>
      <w:r w:rsidR="006052E7" w:rsidRPr="00750F0A">
        <w:rPr>
          <w:rFonts w:ascii="Book Antiqua" w:hAnsi="Book Antiqua" w:cs="Arial"/>
          <w:b/>
          <w:color w:val="000000"/>
          <w:sz w:val="24"/>
          <w:szCs w:val="24"/>
        </w:rPr>
        <w:t>PICKUP</w:t>
      </w:r>
    </w:p>
    <w:p w14:paraId="74415A54" w14:textId="77777777" w:rsidR="00F35BC4" w:rsidRPr="00750F0A" w:rsidRDefault="00F35BC4" w:rsidP="00F35BC4">
      <w:pPr>
        <w:jc w:val="center"/>
        <w:rPr>
          <w:rFonts w:ascii="Book Antiqua" w:hAnsi="Book Antiqua" w:cs="Arial"/>
          <w:b/>
          <w:sz w:val="24"/>
          <w:szCs w:val="24"/>
        </w:rPr>
      </w:pPr>
      <w:r w:rsidRPr="00750F0A">
        <w:rPr>
          <w:rFonts w:ascii="Book Antiqua" w:hAnsi="Book Antiqua" w:cs="Arial"/>
          <w:b/>
          <w:sz w:val="24"/>
          <w:szCs w:val="24"/>
        </w:rPr>
        <w:t>Between</w:t>
      </w:r>
    </w:p>
    <w:p w14:paraId="0A333C22" w14:textId="003B6BA8" w:rsidR="00F35BC4" w:rsidRPr="00750F0A" w:rsidRDefault="00090CF5" w:rsidP="00750F0A">
      <w:pPr>
        <w:spacing w:after="0" w:line="240" w:lineRule="auto"/>
        <w:jc w:val="center"/>
        <w:rPr>
          <w:rFonts w:ascii="Book Antiqua" w:hAnsi="Book Antiqua" w:cs="Arial"/>
          <w:b/>
          <w:sz w:val="24"/>
          <w:szCs w:val="24"/>
        </w:rPr>
      </w:pPr>
      <w:r w:rsidRPr="00750F0A">
        <w:rPr>
          <w:rFonts w:ascii="Book Antiqua" w:hAnsi="Book Antiqua" w:cs="Arial"/>
          <w:b/>
          <w:sz w:val="24"/>
          <w:szCs w:val="24"/>
        </w:rPr>
        <w:t>RAFIA ZAMAN</w:t>
      </w:r>
    </w:p>
    <w:p w14:paraId="2FDDDF95" w14:textId="2E6B35C3" w:rsidR="00F35BC4" w:rsidRPr="00750F0A" w:rsidRDefault="00F35BC4" w:rsidP="00750F0A">
      <w:pPr>
        <w:spacing w:after="0" w:line="240" w:lineRule="auto"/>
        <w:jc w:val="center"/>
        <w:rPr>
          <w:rFonts w:ascii="Book Antiqua" w:hAnsi="Book Antiqua" w:cs="Arial"/>
          <w:caps/>
          <w:sz w:val="24"/>
          <w:szCs w:val="24"/>
        </w:rPr>
      </w:pPr>
      <w:r w:rsidRPr="00750F0A">
        <w:rPr>
          <w:rFonts w:ascii="Book Antiqua" w:hAnsi="Book Antiqua" w:cs="Arial"/>
          <w:caps/>
          <w:sz w:val="24"/>
          <w:szCs w:val="24"/>
        </w:rPr>
        <w:t xml:space="preserve"> (</w:t>
      </w:r>
      <w:r w:rsidR="00A83977" w:rsidRPr="00750F0A">
        <w:rPr>
          <w:rFonts w:ascii="Book Antiqua" w:hAnsi="Book Antiqua" w:cs="Arial"/>
          <w:caps/>
          <w:sz w:val="24"/>
          <w:szCs w:val="24"/>
        </w:rPr>
        <w:t xml:space="preserve">ANONYMITY ORDER </w:t>
      </w:r>
      <w:r w:rsidR="00090CF5" w:rsidRPr="00750F0A">
        <w:rPr>
          <w:rFonts w:ascii="Book Antiqua" w:hAnsi="Book Antiqua" w:cs="Arial"/>
          <w:caps/>
          <w:sz w:val="24"/>
          <w:szCs w:val="24"/>
        </w:rPr>
        <w:t xml:space="preserve">NOT </w:t>
      </w:r>
      <w:r w:rsidR="00A83977" w:rsidRPr="00750F0A">
        <w:rPr>
          <w:rFonts w:ascii="Book Antiqua" w:hAnsi="Book Antiqua" w:cs="Arial"/>
          <w:caps/>
          <w:sz w:val="24"/>
          <w:szCs w:val="24"/>
        </w:rPr>
        <w:t>MADE</w:t>
      </w:r>
      <w:r w:rsidRPr="00750F0A">
        <w:rPr>
          <w:rFonts w:ascii="Book Antiqua" w:hAnsi="Book Antiqua" w:cs="Arial"/>
          <w:caps/>
          <w:sz w:val="24"/>
          <w:szCs w:val="24"/>
        </w:rPr>
        <w:t>)</w:t>
      </w:r>
    </w:p>
    <w:p w14:paraId="6DD72F04" w14:textId="77777777" w:rsidR="00F35BC4" w:rsidRPr="00750F0A" w:rsidRDefault="00F35BC4" w:rsidP="00F35BC4">
      <w:pPr>
        <w:jc w:val="right"/>
        <w:rPr>
          <w:rFonts w:ascii="Book Antiqua" w:hAnsi="Book Antiqua" w:cs="Arial"/>
          <w:sz w:val="24"/>
          <w:szCs w:val="24"/>
          <w:u w:val="single"/>
        </w:rPr>
      </w:pPr>
      <w:r w:rsidRPr="00750F0A">
        <w:rPr>
          <w:rFonts w:ascii="Book Antiqua" w:hAnsi="Book Antiqua" w:cs="Arial"/>
          <w:sz w:val="24"/>
          <w:szCs w:val="24"/>
          <w:u w:val="single"/>
        </w:rPr>
        <w:t>Appellant</w:t>
      </w:r>
    </w:p>
    <w:p w14:paraId="20D25670" w14:textId="366D122F" w:rsidR="00F35BC4" w:rsidRPr="00750F0A" w:rsidRDefault="00F35BC4" w:rsidP="001B7E2B">
      <w:pPr>
        <w:jc w:val="center"/>
        <w:rPr>
          <w:rFonts w:ascii="Book Antiqua" w:hAnsi="Book Antiqua" w:cs="Arial"/>
          <w:b/>
          <w:sz w:val="24"/>
          <w:szCs w:val="24"/>
        </w:rPr>
      </w:pPr>
      <w:r w:rsidRPr="00750F0A">
        <w:rPr>
          <w:rFonts w:ascii="Book Antiqua" w:hAnsi="Book Antiqua" w:cs="Arial"/>
          <w:b/>
          <w:sz w:val="24"/>
          <w:szCs w:val="24"/>
        </w:rPr>
        <w:t>and</w:t>
      </w:r>
    </w:p>
    <w:p w14:paraId="404ACB3F" w14:textId="77777777" w:rsidR="00F35BC4" w:rsidRPr="00750F0A" w:rsidRDefault="00F35BC4" w:rsidP="00F35BC4">
      <w:pPr>
        <w:jc w:val="center"/>
        <w:rPr>
          <w:rFonts w:ascii="Book Antiqua" w:hAnsi="Book Antiqua" w:cs="Arial"/>
          <w:b/>
          <w:sz w:val="24"/>
          <w:szCs w:val="24"/>
        </w:rPr>
      </w:pPr>
      <w:r w:rsidRPr="00750F0A">
        <w:rPr>
          <w:rFonts w:ascii="Book Antiqua" w:hAnsi="Book Antiqua" w:cs="Arial"/>
          <w:b/>
          <w:sz w:val="24"/>
          <w:szCs w:val="24"/>
        </w:rPr>
        <w:t>SECRETARY OF STATE FOR THE HOME DEPARTMENT</w:t>
      </w:r>
    </w:p>
    <w:p w14:paraId="5DA5BEF4" w14:textId="65216561" w:rsidR="009D2B85" w:rsidRPr="00750F0A" w:rsidRDefault="00F35BC4" w:rsidP="001B7E2B">
      <w:pPr>
        <w:jc w:val="right"/>
        <w:rPr>
          <w:rFonts w:ascii="Book Antiqua" w:hAnsi="Book Antiqua" w:cs="Arial"/>
          <w:b/>
          <w:sz w:val="24"/>
          <w:szCs w:val="24"/>
          <w:u w:val="single"/>
        </w:rPr>
      </w:pPr>
      <w:r w:rsidRPr="00750F0A">
        <w:rPr>
          <w:rFonts w:ascii="Book Antiqua" w:hAnsi="Book Antiqua" w:cs="Arial"/>
          <w:sz w:val="24"/>
          <w:szCs w:val="24"/>
          <w:u w:val="single"/>
        </w:rPr>
        <w:t>Respondent</w:t>
      </w:r>
    </w:p>
    <w:p w14:paraId="22326354" w14:textId="614A3174" w:rsidR="00750F0A" w:rsidRPr="00750F0A" w:rsidRDefault="00750F0A" w:rsidP="00750F0A">
      <w:pPr>
        <w:tabs>
          <w:tab w:val="left" w:pos="2520"/>
        </w:tabs>
        <w:rPr>
          <w:rFonts w:ascii="Book Antiqua" w:hAnsi="Book Antiqua" w:cs="Arial"/>
          <w:b/>
          <w:sz w:val="24"/>
          <w:szCs w:val="24"/>
          <w:u w:val="single"/>
        </w:rPr>
      </w:pPr>
      <w:r>
        <w:rPr>
          <w:rFonts w:ascii="Book Antiqua" w:hAnsi="Book Antiqua" w:cs="Arial"/>
          <w:b/>
          <w:sz w:val="24"/>
          <w:szCs w:val="24"/>
          <w:u w:val="single"/>
        </w:rPr>
        <w:t>Representation:</w:t>
      </w:r>
    </w:p>
    <w:p w14:paraId="6BAE5564" w14:textId="565CABEC" w:rsidR="000E0EC3" w:rsidRPr="00750F0A" w:rsidRDefault="000E0EC3" w:rsidP="00750F0A">
      <w:pPr>
        <w:spacing w:after="0" w:line="240" w:lineRule="auto"/>
        <w:jc w:val="both"/>
        <w:rPr>
          <w:rFonts w:ascii="Book Antiqua" w:hAnsi="Book Antiqua"/>
          <w:sz w:val="24"/>
          <w:szCs w:val="24"/>
        </w:rPr>
      </w:pPr>
      <w:r w:rsidRPr="00750F0A">
        <w:rPr>
          <w:rFonts w:ascii="Book Antiqua" w:hAnsi="Book Antiqua"/>
          <w:sz w:val="24"/>
          <w:szCs w:val="24"/>
        </w:rPr>
        <w:t>For the appellant</w:t>
      </w:r>
      <w:r w:rsidR="00662D4B" w:rsidRPr="00750F0A">
        <w:rPr>
          <w:rFonts w:ascii="Book Antiqua" w:hAnsi="Book Antiqua"/>
          <w:sz w:val="24"/>
          <w:szCs w:val="24"/>
        </w:rPr>
        <w:t>:</w:t>
      </w:r>
      <w:r w:rsidRPr="00750F0A">
        <w:rPr>
          <w:rFonts w:ascii="Book Antiqua" w:hAnsi="Book Antiqua"/>
          <w:sz w:val="24"/>
          <w:szCs w:val="24"/>
        </w:rPr>
        <w:t xml:space="preserve"> </w:t>
      </w:r>
      <w:r w:rsidR="00750F0A">
        <w:rPr>
          <w:rFonts w:ascii="Book Antiqua" w:hAnsi="Book Antiqua"/>
          <w:sz w:val="24"/>
          <w:szCs w:val="24"/>
        </w:rPr>
        <w:t xml:space="preserve">       </w:t>
      </w:r>
      <w:r w:rsidRPr="00750F0A">
        <w:rPr>
          <w:rFonts w:ascii="Book Antiqua" w:hAnsi="Book Antiqua"/>
          <w:sz w:val="24"/>
          <w:szCs w:val="24"/>
        </w:rPr>
        <w:t>Mr</w:t>
      </w:r>
      <w:r w:rsidR="00FA4B61" w:rsidRPr="00750F0A">
        <w:rPr>
          <w:rFonts w:ascii="Book Antiqua" w:hAnsi="Book Antiqua"/>
          <w:sz w:val="24"/>
          <w:szCs w:val="24"/>
        </w:rPr>
        <w:t xml:space="preserve"> Z Malik</w:t>
      </w:r>
      <w:r w:rsidR="00034B72" w:rsidRPr="00750F0A">
        <w:rPr>
          <w:rFonts w:ascii="Book Antiqua" w:hAnsi="Book Antiqua"/>
          <w:sz w:val="24"/>
          <w:szCs w:val="24"/>
        </w:rPr>
        <w:t xml:space="preserve"> of counsel, instructed by K &amp;A Solicitors</w:t>
      </w:r>
    </w:p>
    <w:p w14:paraId="3A83AA84" w14:textId="24339AEA" w:rsidR="00662D4B" w:rsidRPr="00750F0A" w:rsidRDefault="000E0EC3" w:rsidP="00750F0A">
      <w:pPr>
        <w:spacing w:after="0" w:line="240" w:lineRule="auto"/>
        <w:jc w:val="both"/>
        <w:rPr>
          <w:rFonts w:ascii="Book Antiqua" w:hAnsi="Book Antiqua"/>
          <w:sz w:val="24"/>
          <w:szCs w:val="24"/>
        </w:rPr>
      </w:pPr>
      <w:r w:rsidRPr="00750F0A">
        <w:rPr>
          <w:rFonts w:ascii="Book Antiqua" w:hAnsi="Book Antiqua"/>
          <w:sz w:val="24"/>
          <w:szCs w:val="24"/>
        </w:rPr>
        <w:t>For the Respondent</w:t>
      </w:r>
      <w:r w:rsidR="00662D4B" w:rsidRPr="00750F0A">
        <w:rPr>
          <w:rFonts w:ascii="Book Antiqua" w:hAnsi="Book Antiqua"/>
          <w:sz w:val="24"/>
          <w:szCs w:val="24"/>
        </w:rPr>
        <w:t>:</w:t>
      </w:r>
      <w:r w:rsidRPr="00750F0A">
        <w:rPr>
          <w:rFonts w:ascii="Book Antiqua" w:hAnsi="Book Antiqua"/>
          <w:sz w:val="24"/>
          <w:szCs w:val="24"/>
        </w:rPr>
        <w:t xml:space="preserve"> </w:t>
      </w:r>
      <w:r w:rsidR="00750F0A">
        <w:rPr>
          <w:rFonts w:ascii="Book Antiqua" w:hAnsi="Book Antiqua"/>
          <w:sz w:val="24"/>
          <w:szCs w:val="24"/>
        </w:rPr>
        <w:t xml:space="preserve">   </w:t>
      </w:r>
      <w:r w:rsidRPr="00750F0A">
        <w:rPr>
          <w:rFonts w:ascii="Book Antiqua" w:hAnsi="Book Antiqua"/>
          <w:sz w:val="24"/>
          <w:szCs w:val="24"/>
        </w:rPr>
        <w:t>M</w:t>
      </w:r>
      <w:r w:rsidR="00FA4B61" w:rsidRPr="00750F0A">
        <w:rPr>
          <w:rFonts w:ascii="Book Antiqua" w:hAnsi="Book Antiqua"/>
          <w:sz w:val="24"/>
          <w:szCs w:val="24"/>
        </w:rPr>
        <w:t>s R Pe</w:t>
      </w:r>
      <w:r w:rsidR="00457CB9" w:rsidRPr="00750F0A">
        <w:rPr>
          <w:rFonts w:ascii="Book Antiqua" w:hAnsi="Book Antiqua"/>
          <w:sz w:val="24"/>
          <w:szCs w:val="24"/>
        </w:rPr>
        <w:t>ttersen</w:t>
      </w:r>
      <w:r w:rsidR="008F6038" w:rsidRPr="00750F0A">
        <w:rPr>
          <w:rFonts w:ascii="Book Antiqua" w:hAnsi="Book Antiqua"/>
          <w:sz w:val="24"/>
          <w:szCs w:val="24"/>
        </w:rPr>
        <w:t>, Senior Presenting Officer</w:t>
      </w:r>
    </w:p>
    <w:p w14:paraId="22F010AD" w14:textId="77777777" w:rsidR="00750F0A" w:rsidRDefault="00750F0A" w:rsidP="00750F0A">
      <w:pPr>
        <w:tabs>
          <w:tab w:val="left" w:pos="2520"/>
        </w:tabs>
        <w:rPr>
          <w:rFonts w:ascii="Book Antiqua" w:eastAsia="Times New Roman" w:hAnsi="Book Antiqua"/>
          <w:color w:val="000000"/>
          <w:sz w:val="24"/>
          <w:szCs w:val="24"/>
          <w:lang w:eastAsia="en-GB"/>
        </w:rPr>
      </w:pPr>
    </w:p>
    <w:p w14:paraId="5D66D2AD" w14:textId="6CD78401" w:rsidR="00750F0A" w:rsidRDefault="009E207A" w:rsidP="00750F0A">
      <w:pPr>
        <w:tabs>
          <w:tab w:val="left" w:pos="2520"/>
        </w:tabs>
        <w:jc w:val="both"/>
        <w:rPr>
          <w:rFonts w:ascii="Book Antiqua" w:eastAsia="Times New Roman" w:hAnsi="Book Antiqua"/>
          <w:color w:val="000000"/>
          <w:sz w:val="24"/>
          <w:szCs w:val="24"/>
          <w:lang w:eastAsia="en-GB"/>
        </w:rPr>
      </w:pPr>
      <w:r w:rsidRPr="00750F0A">
        <w:rPr>
          <w:rFonts w:ascii="Book Antiqua" w:eastAsia="Times New Roman" w:hAnsi="Book Antiqua"/>
          <w:color w:val="000000"/>
          <w:sz w:val="24"/>
          <w:szCs w:val="24"/>
          <w:lang w:eastAsia="en-GB"/>
        </w:rPr>
        <w:t xml:space="preserve">This has been a remote hearing which has been consented to by the parties. The form of remote hearing was video by Skype (V). A face to face hearing was not held because it was not </w:t>
      </w:r>
      <w:proofErr w:type="gramStart"/>
      <w:r w:rsidRPr="00750F0A">
        <w:rPr>
          <w:rFonts w:ascii="Book Antiqua" w:eastAsia="Times New Roman" w:hAnsi="Book Antiqua"/>
          <w:color w:val="000000"/>
          <w:sz w:val="24"/>
          <w:szCs w:val="24"/>
          <w:lang w:eastAsia="en-GB"/>
        </w:rPr>
        <w:t>practicable</w:t>
      </w:r>
      <w:proofErr w:type="gramEnd"/>
      <w:r w:rsidRPr="00750F0A">
        <w:rPr>
          <w:rFonts w:ascii="Book Antiqua" w:eastAsia="Times New Roman" w:hAnsi="Book Antiqua"/>
          <w:color w:val="000000"/>
          <w:sz w:val="24"/>
          <w:szCs w:val="24"/>
          <w:lang w:eastAsia="en-GB"/>
        </w:rPr>
        <w:t xml:space="preserve"> and all issues could be determined in a remote hearing.</w:t>
      </w:r>
      <w:r w:rsidR="00457CB9" w:rsidRPr="00750F0A">
        <w:rPr>
          <w:rFonts w:ascii="Book Antiqua" w:eastAsia="Times New Roman" w:hAnsi="Book Antiqua"/>
          <w:color w:val="000000"/>
          <w:sz w:val="24"/>
          <w:szCs w:val="24"/>
          <w:lang w:eastAsia="en-GB"/>
        </w:rPr>
        <w:t xml:space="preserve"> </w:t>
      </w:r>
      <w:r w:rsidRPr="00750F0A">
        <w:rPr>
          <w:rFonts w:ascii="Book Antiqua" w:eastAsia="Times New Roman" w:hAnsi="Book Antiqua"/>
          <w:color w:val="000000"/>
          <w:sz w:val="24"/>
          <w:szCs w:val="24"/>
          <w:lang w:eastAsia="en-GB"/>
        </w:rPr>
        <w:t>The order made is described at the end of these reasons. </w:t>
      </w:r>
    </w:p>
    <w:p w14:paraId="13139599" w14:textId="4CAD2B10" w:rsidR="00750F0A" w:rsidRDefault="00750F0A" w:rsidP="00750F0A">
      <w:pPr>
        <w:tabs>
          <w:tab w:val="left" w:pos="2520"/>
        </w:tabs>
        <w:jc w:val="center"/>
        <w:rPr>
          <w:rFonts w:ascii="Book Antiqua" w:hAnsi="Book Antiqua" w:cs="Arial"/>
          <w:b/>
          <w:sz w:val="24"/>
          <w:szCs w:val="24"/>
          <w:u w:val="single"/>
        </w:rPr>
      </w:pPr>
      <w:r w:rsidRPr="00750F0A">
        <w:rPr>
          <w:rFonts w:ascii="Book Antiqua" w:hAnsi="Book Antiqua" w:cs="Arial"/>
          <w:b/>
          <w:sz w:val="24"/>
          <w:szCs w:val="24"/>
          <w:u w:val="single"/>
        </w:rPr>
        <w:t>DECISION AND REASONS (P)</w:t>
      </w:r>
    </w:p>
    <w:p w14:paraId="6C217E13" w14:textId="6614CB8E" w:rsidR="00734691" w:rsidRPr="00750F0A" w:rsidRDefault="00734691" w:rsidP="0023211E">
      <w:pPr>
        <w:pStyle w:val="ListParagraph"/>
        <w:numPr>
          <w:ilvl w:val="0"/>
          <w:numId w:val="1"/>
        </w:numPr>
        <w:jc w:val="both"/>
        <w:rPr>
          <w:rFonts w:ascii="Book Antiqua" w:hAnsi="Book Antiqua"/>
          <w:sz w:val="24"/>
          <w:szCs w:val="24"/>
        </w:rPr>
      </w:pPr>
      <w:r w:rsidRPr="00750F0A">
        <w:rPr>
          <w:rFonts w:ascii="Book Antiqua" w:hAnsi="Book Antiqua"/>
          <w:sz w:val="24"/>
          <w:szCs w:val="24"/>
        </w:rPr>
        <w:t>The appellant</w:t>
      </w:r>
      <w:r w:rsidR="00032087" w:rsidRPr="00750F0A">
        <w:rPr>
          <w:rFonts w:ascii="Book Antiqua" w:hAnsi="Book Antiqua"/>
          <w:sz w:val="24"/>
          <w:szCs w:val="24"/>
        </w:rPr>
        <w:t xml:space="preserve">, </w:t>
      </w:r>
      <w:r w:rsidR="00E65F56" w:rsidRPr="00750F0A">
        <w:rPr>
          <w:rFonts w:ascii="Book Antiqua" w:hAnsi="Book Antiqua"/>
          <w:sz w:val="24"/>
          <w:szCs w:val="24"/>
        </w:rPr>
        <w:t xml:space="preserve">who </w:t>
      </w:r>
      <w:r w:rsidR="0053231A" w:rsidRPr="00750F0A">
        <w:rPr>
          <w:rFonts w:ascii="Book Antiqua" w:hAnsi="Book Antiqua"/>
          <w:sz w:val="24"/>
          <w:szCs w:val="24"/>
        </w:rPr>
        <w:t xml:space="preserve">is </w:t>
      </w:r>
      <w:r w:rsidR="00E65F56" w:rsidRPr="00750F0A">
        <w:rPr>
          <w:rFonts w:ascii="Book Antiqua" w:hAnsi="Book Antiqua"/>
          <w:sz w:val="24"/>
          <w:szCs w:val="24"/>
        </w:rPr>
        <w:t xml:space="preserve">a </w:t>
      </w:r>
      <w:r w:rsidR="00F85A0F" w:rsidRPr="00750F0A">
        <w:rPr>
          <w:rFonts w:ascii="Book Antiqua" w:hAnsi="Book Antiqua"/>
          <w:sz w:val="24"/>
          <w:szCs w:val="24"/>
        </w:rPr>
        <w:t>Pakistani</w:t>
      </w:r>
      <w:r w:rsidR="0053231A" w:rsidRPr="00750F0A">
        <w:rPr>
          <w:rFonts w:ascii="Book Antiqua" w:hAnsi="Book Antiqua"/>
          <w:sz w:val="24"/>
          <w:szCs w:val="24"/>
        </w:rPr>
        <w:t xml:space="preserve"> </w:t>
      </w:r>
      <w:r w:rsidR="00E65F56" w:rsidRPr="00750F0A">
        <w:rPr>
          <w:rFonts w:ascii="Book Antiqua" w:hAnsi="Book Antiqua"/>
          <w:sz w:val="24"/>
          <w:szCs w:val="24"/>
        </w:rPr>
        <w:t>national bor</w:t>
      </w:r>
      <w:r w:rsidR="00F023EA" w:rsidRPr="00750F0A">
        <w:rPr>
          <w:rFonts w:ascii="Book Antiqua" w:hAnsi="Book Antiqua"/>
          <w:sz w:val="24"/>
          <w:szCs w:val="24"/>
        </w:rPr>
        <w:t xml:space="preserve">n on </w:t>
      </w:r>
      <w:r w:rsidR="00F85A0F" w:rsidRPr="00750F0A">
        <w:rPr>
          <w:rFonts w:ascii="Book Antiqua" w:hAnsi="Book Antiqua"/>
          <w:sz w:val="24"/>
          <w:szCs w:val="24"/>
        </w:rPr>
        <w:t>11.3.88</w:t>
      </w:r>
      <w:r w:rsidR="00F023EA" w:rsidRPr="00750F0A">
        <w:rPr>
          <w:rFonts w:ascii="Book Antiqua" w:hAnsi="Book Antiqua"/>
          <w:sz w:val="24"/>
          <w:szCs w:val="24"/>
        </w:rPr>
        <w:t xml:space="preserve">, </w:t>
      </w:r>
      <w:r w:rsidRPr="00750F0A">
        <w:rPr>
          <w:rFonts w:ascii="Book Antiqua" w:hAnsi="Book Antiqua"/>
          <w:sz w:val="24"/>
          <w:szCs w:val="24"/>
        </w:rPr>
        <w:t xml:space="preserve">has appealed </w:t>
      </w:r>
      <w:r w:rsidR="00F85A0F" w:rsidRPr="00750F0A">
        <w:rPr>
          <w:rFonts w:ascii="Book Antiqua" w:hAnsi="Book Antiqua"/>
          <w:sz w:val="24"/>
          <w:szCs w:val="24"/>
        </w:rPr>
        <w:t xml:space="preserve">with permission </w:t>
      </w:r>
      <w:r w:rsidRPr="00750F0A">
        <w:rPr>
          <w:rFonts w:ascii="Book Antiqua" w:hAnsi="Book Antiqua"/>
          <w:sz w:val="24"/>
          <w:szCs w:val="24"/>
        </w:rPr>
        <w:t xml:space="preserve">to the Upper Tribunal against the decision of the First-tier Tribunal </w:t>
      </w:r>
      <w:r w:rsidR="00E73154" w:rsidRPr="00750F0A">
        <w:rPr>
          <w:rFonts w:ascii="Book Antiqua" w:hAnsi="Book Antiqua"/>
          <w:sz w:val="24"/>
          <w:szCs w:val="24"/>
        </w:rPr>
        <w:t xml:space="preserve">promulgated </w:t>
      </w:r>
      <w:r w:rsidR="00F85A0F" w:rsidRPr="00750F0A">
        <w:rPr>
          <w:rFonts w:ascii="Book Antiqua" w:hAnsi="Book Antiqua"/>
          <w:sz w:val="24"/>
          <w:szCs w:val="24"/>
        </w:rPr>
        <w:t>11.12.19</w:t>
      </w:r>
      <w:r w:rsidR="00617657" w:rsidRPr="00750F0A">
        <w:rPr>
          <w:rFonts w:ascii="Book Antiqua" w:hAnsi="Book Antiqua"/>
          <w:sz w:val="24"/>
          <w:szCs w:val="24"/>
        </w:rPr>
        <w:t xml:space="preserve">, dismissing </w:t>
      </w:r>
      <w:r w:rsidR="00F85A0F" w:rsidRPr="00750F0A">
        <w:rPr>
          <w:rFonts w:ascii="Book Antiqua" w:hAnsi="Book Antiqua"/>
          <w:sz w:val="24"/>
          <w:szCs w:val="24"/>
        </w:rPr>
        <w:t>her</w:t>
      </w:r>
      <w:r w:rsidR="00617657" w:rsidRPr="00750F0A">
        <w:rPr>
          <w:rFonts w:ascii="Book Antiqua" w:hAnsi="Book Antiqua"/>
          <w:sz w:val="24"/>
          <w:szCs w:val="24"/>
        </w:rPr>
        <w:t xml:space="preserve"> appeal against the decision of the Secretary of State, dated </w:t>
      </w:r>
      <w:r w:rsidR="008704E8" w:rsidRPr="00750F0A">
        <w:rPr>
          <w:rFonts w:ascii="Book Antiqua" w:hAnsi="Book Antiqua"/>
          <w:sz w:val="24"/>
          <w:szCs w:val="24"/>
        </w:rPr>
        <w:t>5.7.19</w:t>
      </w:r>
      <w:r w:rsidR="00617657" w:rsidRPr="00750F0A">
        <w:rPr>
          <w:rFonts w:ascii="Book Antiqua" w:hAnsi="Book Antiqua"/>
          <w:sz w:val="24"/>
          <w:szCs w:val="24"/>
        </w:rPr>
        <w:t>, to refuse h</w:t>
      </w:r>
      <w:r w:rsidR="008704E8" w:rsidRPr="00750F0A">
        <w:rPr>
          <w:rFonts w:ascii="Book Antiqua" w:hAnsi="Book Antiqua"/>
          <w:sz w:val="24"/>
          <w:szCs w:val="24"/>
        </w:rPr>
        <w:t>er application made on 6.3.19 for an EEA Residence Card as the</w:t>
      </w:r>
      <w:r w:rsidR="00F62328" w:rsidRPr="00750F0A">
        <w:rPr>
          <w:rFonts w:ascii="Book Antiqua" w:hAnsi="Book Antiqua"/>
          <w:sz w:val="24"/>
          <w:szCs w:val="24"/>
        </w:rPr>
        <w:t xml:space="preserve"> Extended Family Member (EFM) (niece) of Irfan Ramzan </w:t>
      </w:r>
      <w:r w:rsidR="00F62328" w:rsidRPr="00750F0A">
        <w:rPr>
          <w:rFonts w:ascii="Book Antiqua" w:hAnsi="Book Antiqua"/>
          <w:sz w:val="24"/>
          <w:szCs w:val="24"/>
        </w:rPr>
        <w:lastRenderedPageBreak/>
        <w:t>Chaudhary, a Spanish citizen exercising Treaty rights in the UK</w:t>
      </w:r>
      <w:r w:rsidR="00973BBA" w:rsidRPr="00750F0A">
        <w:rPr>
          <w:rFonts w:ascii="Book Antiqua" w:hAnsi="Book Antiqua"/>
          <w:sz w:val="24"/>
          <w:szCs w:val="24"/>
        </w:rPr>
        <w:t>, pursuant to Regulation 8 of the Immigration (EEA) Regulations 2016.</w:t>
      </w:r>
      <w:r w:rsidR="00617657" w:rsidRPr="00750F0A">
        <w:rPr>
          <w:rFonts w:ascii="Book Antiqua" w:hAnsi="Book Antiqua"/>
          <w:sz w:val="24"/>
          <w:szCs w:val="24"/>
        </w:rPr>
        <w:t xml:space="preserve"> </w:t>
      </w:r>
    </w:p>
    <w:p w14:paraId="46D1E9CA" w14:textId="77777777" w:rsidR="00A2158B" w:rsidRPr="00750F0A" w:rsidRDefault="00A2158B" w:rsidP="00A2158B">
      <w:pPr>
        <w:pStyle w:val="ListParagraph"/>
        <w:ind w:left="360"/>
        <w:jc w:val="both"/>
        <w:rPr>
          <w:rFonts w:ascii="Book Antiqua" w:hAnsi="Book Antiqua"/>
          <w:sz w:val="24"/>
          <w:szCs w:val="24"/>
        </w:rPr>
      </w:pPr>
    </w:p>
    <w:p w14:paraId="770A99F3" w14:textId="49A44ACD" w:rsidR="00E1322C" w:rsidRPr="00750F0A" w:rsidRDefault="00A77C09" w:rsidP="00E1322C">
      <w:pPr>
        <w:pStyle w:val="ListParagraph"/>
        <w:numPr>
          <w:ilvl w:val="0"/>
          <w:numId w:val="1"/>
        </w:numPr>
        <w:jc w:val="both"/>
        <w:rPr>
          <w:rFonts w:ascii="Book Antiqua" w:hAnsi="Book Antiqua"/>
          <w:sz w:val="24"/>
          <w:szCs w:val="24"/>
        </w:rPr>
      </w:pPr>
      <w:r w:rsidRPr="00750F0A">
        <w:rPr>
          <w:rFonts w:ascii="Book Antiqua" w:hAnsi="Book Antiqua"/>
          <w:sz w:val="24"/>
          <w:szCs w:val="24"/>
        </w:rPr>
        <w:t xml:space="preserve">The First-tier Tribunal </w:t>
      </w:r>
      <w:r w:rsidR="0088102D" w:rsidRPr="00750F0A">
        <w:rPr>
          <w:rFonts w:ascii="Book Antiqua" w:hAnsi="Book Antiqua"/>
          <w:sz w:val="24"/>
          <w:szCs w:val="24"/>
        </w:rPr>
        <w:t xml:space="preserve">accepted at [20] of the decision that the sponsor was exercising Treaty rights in the UK and at </w:t>
      </w:r>
      <w:r w:rsidR="007365A7" w:rsidRPr="00750F0A">
        <w:rPr>
          <w:rFonts w:ascii="Book Antiqua" w:hAnsi="Book Antiqua"/>
          <w:sz w:val="24"/>
          <w:szCs w:val="24"/>
        </w:rPr>
        <w:t xml:space="preserve">[21] </w:t>
      </w:r>
      <w:r w:rsidR="0088102D" w:rsidRPr="00750F0A">
        <w:rPr>
          <w:rFonts w:ascii="Book Antiqua" w:hAnsi="Book Antiqua"/>
          <w:sz w:val="24"/>
          <w:szCs w:val="24"/>
        </w:rPr>
        <w:t xml:space="preserve">that the appellant </w:t>
      </w:r>
      <w:r w:rsidR="007365A7" w:rsidRPr="00750F0A">
        <w:rPr>
          <w:rFonts w:ascii="Book Antiqua" w:hAnsi="Book Antiqua"/>
          <w:sz w:val="24"/>
          <w:szCs w:val="24"/>
        </w:rPr>
        <w:t>and her family are part of the sponsor’s household in the UK and dependent on him</w:t>
      </w:r>
      <w:r w:rsidR="00596BD7" w:rsidRPr="00750F0A">
        <w:rPr>
          <w:rFonts w:ascii="Book Antiqua" w:hAnsi="Book Antiqua"/>
          <w:sz w:val="24"/>
          <w:szCs w:val="24"/>
        </w:rPr>
        <w:t xml:space="preserve">. However, the judge did not accept that the appellant was a member of the sponsor’s household during the time that she lived in Pakistan </w:t>
      </w:r>
      <w:r w:rsidR="00011B71" w:rsidRPr="00750F0A">
        <w:rPr>
          <w:rFonts w:ascii="Book Antiqua" w:hAnsi="Book Antiqua"/>
          <w:sz w:val="24"/>
          <w:szCs w:val="24"/>
        </w:rPr>
        <w:t>before entering the UK in April 2012</w:t>
      </w:r>
      <w:r w:rsidR="00D20384" w:rsidRPr="00750F0A">
        <w:rPr>
          <w:rFonts w:ascii="Book Antiqua" w:hAnsi="Book Antiqua"/>
          <w:sz w:val="24"/>
          <w:szCs w:val="24"/>
        </w:rPr>
        <w:t xml:space="preserve"> (as a student migrant)</w:t>
      </w:r>
      <w:r w:rsidR="00011B71" w:rsidRPr="00750F0A">
        <w:rPr>
          <w:rFonts w:ascii="Book Antiqua" w:hAnsi="Book Antiqua"/>
          <w:sz w:val="24"/>
          <w:szCs w:val="24"/>
        </w:rPr>
        <w:t>. Nor was it accepted that she was dependent on the sponsor whilst in Pakistan</w:t>
      </w:r>
      <w:r w:rsidR="001C347A" w:rsidRPr="00750F0A">
        <w:rPr>
          <w:rFonts w:ascii="Book Antiqua" w:hAnsi="Book Antiqua"/>
          <w:sz w:val="24"/>
          <w:szCs w:val="24"/>
        </w:rPr>
        <w:t xml:space="preserve">. The </w:t>
      </w:r>
      <w:r w:rsidR="00A16CAA" w:rsidRPr="00750F0A">
        <w:rPr>
          <w:rFonts w:ascii="Book Antiqua" w:hAnsi="Book Antiqua"/>
          <w:sz w:val="24"/>
          <w:szCs w:val="24"/>
        </w:rPr>
        <w:t xml:space="preserve">judge found that the </w:t>
      </w:r>
      <w:r w:rsidR="001C347A" w:rsidRPr="00750F0A">
        <w:rPr>
          <w:rFonts w:ascii="Book Antiqua" w:hAnsi="Book Antiqua"/>
          <w:sz w:val="24"/>
          <w:szCs w:val="24"/>
        </w:rPr>
        <w:t>evidence was</w:t>
      </w:r>
      <w:r w:rsidR="00D20384" w:rsidRPr="00750F0A">
        <w:rPr>
          <w:rFonts w:ascii="Book Antiqua" w:hAnsi="Book Antiqua"/>
          <w:sz w:val="24"/>
          <w:szCs w:val="24"/>
        </w:rPr>
        <w:t xml:space="preserve"> </w:t>
      </w:r>
      <w:r w:rsidR="001C347A" w:rsidRPr="00750F0A">
        <w:rPr>
          <w:rFonts w:ascii="Book Antiqua" w:hAnsi="Book Antiqua"/>
          <w:sz w:val="24"/>
          <w:szCs w:val="24"/>
        </w:rPr>
        <w:t>that s</w:t>
      </w:r>
      <w:r w:rsidR="00D20384" w:rsidRPr="00750F0A">
        <w:rPr>
          <w:rFonts w:ascii="Book Antiqua" w:hAnsi="Book Antiqua"/>
          <w:sz w:val="24"/>
          <w:szCs w:val="24"/>
        </w:rPr>
        <w:t xml:space="preserve">he lived in a </w:t>
      </w:r>
      <w:r w:rsidR="00AD32B0" w:rsidRPr="00750F0A">
        <w:rPr>
          <w:rFonts w:ascii="Book Antiqua" w:hAnsi="Book Antiqua"/>
          <w:sz w:val="24"/>
          <w:szCs w:val="24"/>
        </w:rPr>
        <w:t>joint family unit in the household of her grandfather, along with her parents, the sponsor, and other family members</w:t>
      </w:r>
      <w:r w:rsidR="001C347A" w:rsidRPr="00750F0A">
        <w:rPr>
          <w:rFonts w:ascii="Book Antiqua" w:hAnsi="Book Antiqua"/>
          <w:sz w:val="24"/>
          <w:szCs w:val="24"/>
        </w:rPr>
        <w:t>, and that</w:t>
      </w:r>
      <w:r w:rsidR="000653C0" w:rsidRPr="00750F0A">
        <w:rPr>
          <w:rFonts w:ascii="Book Antiqua" w:hAnsi="Book Antiqua"/>
          <w:sz w:val="24"/>
          <w:szCs w:val="24"/>
        </w:rPr>
        <w:t>,</w:t>
      </w:r>
      <w:r w:rsidR="001C347A" w:rsidRPr="00750F0A">
        <w:rPr>
          <w:rFonts w:ascii="Book Antiqua" w:hAnsi="Book Antiqua"/>
          <w:sz w:val="24"/>
          <w:szCs w:val="24"/>
        </w:rPr>
        <w:t xml:space="preserve"> whilst the sponsor made financial remittances to the </w:t>
      </w:r>
      <w:r w:rsidR="00220E19" w:rsidRPr="00750F0A">
        <w:rPr>
          <w:rFonts w:ascii="Book Antiqua" w:hAnsi="Book Antiqua"/>
          <w:sz w:val="24"/>
          <w:szCs w:val="24"/>
        </w:rPr>
        <w:t>family</w:t>
      </w:r>
      <w:r w:rsidR="000653C0" w:rsidRPr="00750F0A">
        <w:rPr>
          <w:rFonts w:ascii="Book Antiqua" w:hAnsi="Book Antiqua"/>
          <w:sz w:val="24"/>
          <w:szCs w:val="24"/>
        </w:rPr>
        <w:t xml:space="preserve"> after leaving Pakistan in 1997 to work in Spain, </w:t>
      </w:r>
      <w:r w:rsidR="00A16CAA" w:rsidRPr="00750F0A">
        <w:rPr>
          <w:rFonts w:ascii="Book Antiqua" w:hAnsi="Book Antiqua"/>
          <w:sz w:val="24"/>
          <w:szCs w:val="24"/>
        </w:rPr>
        <w:t>there was no specific sums earmarked for the appellant</w:t>
      </w:r>
      <w:r w:rsidR="0079429E" w:rsidRPr="00750F0A">
        <w:rPr>
          <w:rFonts w:ascii="Book Antiqua" w:hAnsi="Book Antiqua"/>
          <w:sz w:val="24"/>
          <w:szCs w:val="24"/>
        </w:rPr>
        <w:t xml:space="preserve"> rather than the household as a whole</w:t>
      </w:r>
      <w:r w:rsidR="00E1322C" w:rsidRPr="00750F0A">
        <w:rPr>
          <w:rFonts w:ascii="Book Antiqua" w:hAnsi="Book Antiqua"/>
          <w:sz w:val="24"/>
          <w:szCs w:val="24"/>
        </w:rPr>
        <w:t xml:space="preserve">, so that she could not be said to be dependent on him. </w:t>
      </w:r>
    </w:p>
    <w:p w14:paraId="4674F900" w14:textId="77777777" w:rsidR="00E1322C" w:rsidRPr="00750F0A" w:rsidRDefault="00E1322C" w:rsidP="00E1322C">
      <w:pPr>
        <w:pStyle w:val="ListParagraph"/>
        <w:ind w:left="360"/>
        <w:jc w:val="both"/>
        <w:rPr>
          <w:rFonts w:ascii="Book Antiqua" w:hAnsi="Book Antiqua"/>
          <w:sz w:val="24"/>
          <w:szCs w:val="24"/>
        </w:rPr>
      </w:pPr>
    </w:p>
    <w:p w14:paraId="32421EE4" w14:textId="77777777" w:rsidR="009808AE" w:rsidRPr="00750F0A" w:rsidRDefault="009808AE" w:rsidP="00E1322C">
      <w:pPr>
        <w:pStyle w:val="ListParagraph"/>
        <w:numPr>
          <w:ilvl w:val="0"/>
          <w:numId w:val="1"/>
        </w:numPr>
        <w:jc w:val="both"/>
        <w:rPr>
          <w:rFonts w:ascii="Book Antiqua" w:hAnsi="Book Antiqua"/>
          <w:sz w:val="24"/>
          <w:szCs w:val="24"/>
        </w:rPr>
      </w:pPr>
      <w:r w:rsidRPr="00750F0A">
        <w:rPr>
          <w:rFonts w:ascii="Book Antiqua" w:hAnsi="Book Antiqua"/>
          <w:sz w:val="24"/>
          <w:szCs w:val="24"/>
        </w:rPr>
        <w:t xml:space="preserve">Permission to appeal was granted on limited grounds by First-tier Tribunal Judge Bulpitt on 5.5.20. </w:t>
      </w:r>
    </w:p>
    <w:p w14:paraId="2DA7EBA5" w14:textId="77777777" w:rsidR="009808AE" w:rsidRPr="00750F0A" w:rsidRDefault="009808AE" w:rsidP="009808AE">
      <w:pPr>
        <w:pStyle w:val="ListParagraph"/>
        <w:rPr>
          <w:rFonts w:ascii="Book Antiqua" w:hAnsi="Book Antiqua"/>
          <w:sz w:val="24"/>
          <w:szCs w:val="24"/>
        </w:rPr>
      </w:pPr>
    </w:p>
    <w:p w14:paraId="52821451" w14:textId="5E158A56" w:rsidR="00193199" w:rsidRPr="00750F0A" w:rsidRDefault="009F40E0" w:rsidP="00E1322C">
      <w:pPr>
        <w:pStyle w:val="ListParagraph"/>
        <w:numPr>
          <w:ilvl w:val="0"/>
          <w:numId w:val="1"/>
        </w:numPr>
        <w:jc w:val="both"/>
        <w:rPr>
          <w:rFonts w:ascii="Book Antiqua" w:hAnsi="Book Antiqua"/>
          <w:sz w:val="24"/>
          <w:szCs w:val="24"/>
        </w:rPr>
      </w:pPr>
      <w:r w:rsidRPr="00750F0A">
        <w:rPr>
          <w:rFonts w:ascii="Book Antiqua" w:hAnsi="Book Antiqua"/>
          <w:sz w:val="24"/>
          <w:szCs w:val="24"/>
        </w:rPr>
        <w:t xml:space="preserve">The grounds as drafted </w:t>
      </w:r>
      <w:r w:rsidR="00BC5E13" w:rsidRPr="00750F0A">
        <w:rPr>
          <w:rFonts w:ascii="Book Antiqua" w:hAnsi="Book Antiqua"/>
          <w:sz w:val="24"/>
          <w:szCs w:val="24"/>
        </w:rPr>
        <w:t>were</w:t>
      </w:r>
      <w:r w:rsidRPr="00750F0A">
        <w:rPr>
          <w:rFonts w:ascii="Book Antiqua" w:hAnsi="Book Antiqua"/>
          <w:sz w:val="24"/>
          <w:szCs w:val="24"/>
        </w:rPr>
        <w:t xml:space="preserve"> first, that as the judge found the appellant </w:t>
      </w:r>
      <w:r w:rsidR="00FF4EE3" w:rsidRPr="00750F0A">
        <w:rPr>
          <w:rFonts w:ascii="Book Antiqua" w:hAnsi="Book Antiqua"/>
          <w:sz w:val="24"/>
          <w:szCs w:val="24"/>
        </w:rPr>
        <w:t xml:space="preserve">and her family are part of the sponsor’s household in the UK and dependent on him, Regulation 8 is met. Permission </w:t>
      </w:r>
      <w:r w:rsidR="00561B93" w:rsidRPr="00750F0A">
        <w:rPr>
          <w:rFonts w:ascii="Book Antiqua" w:hAnsi="Book Antiqua"/>
          <w:sz w:val="24"/>
          <w:szCs w:val="24"/>
        </w:rPr>
        <w:t>was refused on this ground as it is founded in a misunderstanding of the requirements under Regulation 8</w:t>
      </w:r>
      <w:r w:rsidR="007168CD" w:rsidRPr="00750F0A">
        <w:rPr>
          <w:rFonts w:ascii="Book Antiqua" w:hAnsi="Book Antiqua"/>
          <w:sz w:val="24"/>
          <w:szCs w:val="24"/>
        </w:rPr>
        <w:t xml:space="preserve">. As Judge </w:t>
      </w:r>
      <w:proofErr w:type="spellStart"/>
      <w:r w:rsidR="007168CD" w:rsidRPr="00750F0A">
        <w:rPr>
          <w:rFonts w:ascii="Book Antiqua" w:hAnsi="Book Antiqua"/>
          <w:sz w:val="24"/>
          <w:szCs w:val="24"/>
        </w:rPr>
        <w:t>Bulpitt</w:t>
      </w:r>
      <w:proofErr w:type="spellEnd"/>
      <w:r w:rsidR="007168CD" w:rsidRPr="00750F0A">
        <w:rPr>
          <w:rFonts w:ascii="Book Antiqua" w:hAnsi="Book Antiqua"/>
          <w:sz w:val="24"/>
          <w:szCs w:val="24"/>
        </w:rPr>
        <w:t xml:space="preserve"> pointed out</w:t>
      </w:r>
      <w:r w:rsidR="00B74F77" w:rsidRPr="00750F0A">
        <w:rPr>
          <w:rFonts w:ascii="Book Antiqua" w:hAnsi="Book Antiqua"/>
          <w:sz w:val="24"/>
          <w:szCs w:val="24"/>
        </w:rPr>
        <w:t>,</w:t>
      </w:r>
      <w:r w:rsidR="007168CD" w:rsidRPr="00750F0A">
        <w:rPr>
          <w:rFonts w:ascii="Book Antiqua" w:hAnsi="Book Antiqua"/>
          <w:sz w:val="24"/>
          <w:szCs w:val="24"/>
        </w:rPr>
        <w:t xml:space="preserve"> </w:t>
      </w:r>
      <w:proofErr w:type="spellStart"/>
      <w:r w:rsidR="007168CD" w:rsidRPr="00750F0A">
        <w:rPr>
          <w:rFonts w:ascii="Book Antiqua" w:hAnsi="Book Antiqua"/>
          <w:sz w:val="24"/>
          <w:szCs w:val="24"/>
          <w:u w:val="single"/>
        </w:rPr>
        <w:t>Dauhoo</w:t>
      </w:r>
      <w:proofErr w:type="spellEnd"/>
      <w:r w:rsidR="007168CD" w:rsidRPr="00750F0A">
        <w:rPr>
          <w:rFonts w:ascii="Book Antiqua" w:hAnsi="Book Antiqua"/>
          <w:sz w:val="24"/>
          <w:szCs w:val="24"/>
          <w:u w:val="single"/>
        </w:rPr>
        <w:t xml:space="preserve"> (EEA Regulations – reg 8(2)</w:t>
      </w:r>
      <w:r w:rsidR="00B74F77" w:rsidRPr="00750F0A">
        <w:rPr>
          <w:rFonts w:ascii="Book Antiqua" w:hAnsi="Book Antiqua"/>
          <w:sz w:val="24"/>
          <w:szCs w:val="24"/>
          <w:u w:val="single"/>
        </w:rPr>
        <w:t>)</w:t>
      </w:r>
      <w:r w:rsidR="00B74F77" w:rsidRPr="00750F0A">
        <w:rPr>
          <w:rFonts w:ascii="Book Antiqua" w:hAnsi="Book Antiqua"/>
          <w:sz w:val="24"/>
          <w:szCs w:val="24"/>
        </w:rPr>
        <w:t xml:space="preserve"> [2012] UKUT 79 (IAC) held that it is necessary to prove both</w:t>
      </w:r>
      <w:r w:rsidR="00FD1888" w:rsidRPr="00750F0A">
        <w:rPr>
          <w:rFonts w:ascii="Book Antiqua" w:hAnsi="Book Antiqua"/>
          <w:sz w:val="24"/>
          <w:szCs w:val="24"/>
        </w:rPr>
        <w:t xml:space="preserve"> </w:t>
      </w:r>
      <w:r w:rsidR="00FD1888" w:rsidRPr="00750F0A">
        <w:rPr>
          <w:rFonts w:ascii="Book Antiqua" w:hAnsi="Book Antiqua"/>
          <w:i/>
          <w:iCs/>
          <w:sz w:val="24"/>
          <w:szCs w:val="24"/>
        </w:rPr>
        <w:t xml:space="preserve">present </w:t>
      </w:r>
      <w:r w:rsidR="00FD1888" w:rsidRPr="00750F0A">
        <w:rPr>
          <w:rFonts w:ascii="Book Antiqua" w:hAnsi="Book Antiqua"/>
          <w:sz w:val="24"/>
          <w:szCs w:val="24"/>
        </w:rPr>
        <w:t xml:space="preserve">membership of a household or dependency, and </w:t>
      </w:r>
      <w:r w:rsidR="00193199" w:rsidRPr="00750F0A">
        <w:rPr>
          <w:rFonts w:ascii="Book Antiqua" w:hAnsi="Book Antiqua"/>
          <w:i/>
          <w:iCs/>
          <w:sz w:val="24"/>
          <w:szCs w:val="24"/>
        </w:rPr>
        <w:t>prior</w:t>
      </w:r>
      <w:r w:rsidR="00193199" w:rsidRPr="00750F0A">
        <w:rPr>
          <w:rFonts w:ascii="Book Antiqua" w:hAnsi="Book Antiqua"/>
          <w:sz w:val="24"/>
          <w:szCs w:val="24"/>
        </w:rPr>
        <w:t xml:space="preserve"> membership of a household or dependency. </w:t>
      </w:r>
    </w:p>
    <w:p w14:paraId="7E758B27" w14:textId="3A677C88" w:rsidR="002307D8" w:rsidRPr="00750F0A" w:rsidRDefault="00193199" w:rsidP="009808AE">
      <w:pPr>
        <w:numPr>
          <w:ilvl w:val="0"/>
          <w:numId w:val="1"/>
        </w:numPr>
        <w:jc w:val="both"/>
        <w:rPr>
          <w:rFonts w:ascii="Book Antiqua" w:hAnsi="Book Antiqua"/>
          <w:sz w:val="24"/>
          <w:szCs w:val="24"/>
        </w:rPr>
      </w:pPr>
      <w:r w:rsidRPr="00750F0A">
        <w:rPr>
          <w:rFonts w:ascii="Book Antiqua" w:hAnsi="Book Antiqua"/>
          <w:sz w:val="24"/>
          <w:szCs w:val="24"/>
        </w:rPr>
        <w:t xml:space="preserve">However, Judge Bulpitt considered it arguable that </w:t>
      </w:r>
      <w:r w:rsidR="008A32D2" w:rsidRPr="00750F0A">
        <w:rPr>
          <w:rFonts w:ascii="Book Antiqua" w:hAnsi="Book Antiqua"/>
          <w:sz w:val="24"/>
          <w:szCs w:val="24"/>
        </w:rPr>
        <w:t xml:space="preserve">in relying on the </w:t>
      </w:r>
      <w:r w:rsidR="002307D8" w:rsidRPr="00750F0A">
        <w:rPr>
          <w:rFonts w:ascii="Book Antiqua" w:hAnsi="Book Antiqua"/>
          <w:sz w:val="24"/>
          <w:szCs w:val="24"/>
        </w:rPr>
        <w:t>j</w:t>
      </w:r>
      <w:r w:rsidR="008A32D2" w:rsidRPr="00750F0A">
        <w:rPr>
          <w:rFonts w:ascii="Book Antiqua" w:hAnsi="Book Antiqua"/>
          <w:sz w:val="24"/>
          <w:szCs w:val="24"/>
        </w:rPr>
        <w:t>udge’s understanding of Pakistani inheritance law</w:t>
      </w:r>
      <w:r w:rsidR="001418C2" w:rsidRPr="00750F0A">
        <w:rPr>
          <w:rFonts w:ascii="Book Antiqua" w:hAnsi="Book Antiqua"/>
          <w:sz w:val="24"/>
          <w:szCs w:val="24"/>
        </w:rPr>
        <w:t xml:space="preserve"> in order to find that the appellant was not part of the sponsor’s household in Pakistan</w:t>
      </w:r>
      <w:r w:rsidR="00BD4FCC" w:rsidRPr="00750F0A">
        <w:rPr>
          <w:rFonts w:ascii="Book Antiqua" w:hAnsi="Book Antiqua"/>
          <w:sz w:val="24"/>
          <w:szCs w:val="24"/>
        </w:rPr>
        <w:t xml:space="preserve">, which consideration was not raised with the appellant or her representative at the hearing, </w:t>
      </w:r>
      <w:r w:rsidR="002307D8" w:rsidRPr="00750F0A">
        <w:rPr>
          <w:rFonts w:ascii="Book Antiqua" w:hAnsi="Book Antiqua"/>
          <w:sz w:val="24"/>
          <w:szCs w:val="24"/>
        </w:rPr>
        <w:t>gave rise to material procedural unfairness.</w:t>
      </w:r>
    </w:p>
    <w:p w14:paraId="46C4942E" w14:textId="2FC5ADBB" w:rsidR="002307D8" w:rsidRPr="00750F0A" w:rsidRDefault="00F21BA7" w:rsidP="0023211E">
      <w:pPr>
        <w:pStyle w:val="ListParagraph"/>
        <w:numPr>
          <w:ilvl w:val="0"/>
          <w:numId w:val="1"/>
        </w:numPr>
        <w:jc w:val="both"/>
        <w:rPr>
          <w:rFonts w:ascii="Book Antiqua" w:hAnsi="Book Antiqua"/>
          <w:sz w:val="24"/>
          <w:szCs w:val="24"/>
        </w:rPr>
      </w:pPr>
      <w:r w:rsidRPr="00750F0A">
        <w:rPr>
          <w:rFonts w:ascii="Book Antiqua" w:hAnsi="Book Antiqua"/>
          <w:sz w:val="24"/>
          <w:szCs w:val="24"/>
        </w:rPr>
        <w:t xml:space="preserve">Judge Bulpitt also considered it arguable that findings as to prior dependency were inconsistent with the finding at </w:t>
      </w:r>
      <w:r w:rsidR="00DA3949" w:rsidRPr="00750F0A">
        <w:rPr>
          <w:rFonts w:ascii="Book Antiqua" w:hAnsi="Book Antiqua"/>
          <w:sz w:val="24"/>
          <w:szCs w:val="24"/>
        </w:rPr>
        <w:t xml:space="preserve">[17] that both </w:t>
      </w:r>
      <w:r w:rsidR="00EE39EF" w:rsidRPr="00750F0A">
        <w:rPr>
          <w:rFonts w:ascii="Book Antiqua" w:hAnsi="Book Antiqua"/>
          <w:sz w:val="24"/>
          <w:szCs w:val="24"/>
        </w:rPr>
        <w:t>the appellant and the sponsor</w:t>
      </w:r>
      <w:r w:rsidR="00DA3949" w:rsidRPr="00750F0A">
        <w:rPr>
          <w:rFonts w:ascii="Book Antiqua" w:hAnsi="Book Antiqua"/>
          <w:sz w:val="24"/>
          <w:szCs w:val="24"/>
        </w:rPr>
        <w:t xml:space="preserve"> had told the truth</w:t>
      </w:r>
      <w:r w:rsidR="00EE39EF" w:rsidRPr="00750F0A">
        <w:rPr>
          <w:rFonts w:ascii="Book Antiqua" w:hAnsi="Book Antiqua"/>
          <w:sz w:val="24"/>
          <w:szCs w:val="24"/>
        </w:rPr>
        <w:t xml:space="preserve"> and at [18] that the written and oral evidence was credible.</w:t>
      </w:r>
    </w:p>
    <w:p w14:paraId="180D649E" w14:textId="3321EDFF" w:rsidR="00057FCE" w:rsidRPr="00750F0A" w:rsidRDefault="00057FCE" w:rsidP="003D4C06">
      <w:pPr>
        <w:numPr>
          <w:ilvl w:val="0"/>
          <w:numId w:val="1"/>
        </w:numPr>
        <w:jc w:val="both"/>
        <w:rPr>
          <w:rFonts w:ascii="Book Antiqua" w:hAnsi="Book Antiqua"/>
          <w:sz w:val="24"/>
          <w:szCs w:val="24"/>
        </w:rPr>
      </w:pPr>
      <w:r w:rsidRPr="00750F0A">
        <w:rPr>
          <w:rFonts w:ascii="Book Antiqua" w:hAnsi="Book Antiqua"/>
          <w:sz w:val="24"/>
          <w:szCs w:val="24"/>
        </w:rPr>
        <w:t>On 12.8.20, the Upper Tribunal received the respondent’s written submissions</w:t>
      </w:r>
      <w:r w:rsidR="006A7E14" w:rsidRPr="00750F0A">
        <w:rPr>
          <w:rFonts w:ascii="Book Antiqua" w:hAnsi="Book Antiqua"/>
          <w:sz w:val="24"/>
          <w:szCs w:val="24"/>
        </w:rPr>
        <w:t xml:space="preserve">, which I have </w:t>
      </w:r>
      <w:proofErr w:type="gramStart"/>
      <w:r w:rsidR="006A7E14" w:rsidRPr="00750F0A">
        <w:rPr>
          <w:rFonts w:ascii="Book Antiqua" w:hAnsi="Book Antiqua"/>
          <w:sz w:val="24"/>
          <w:szCs w:val="24"/>
        </w:rPr>
        <w:t>taken into account</w:t>
      </w:r>
      <w:proofErr w:type="gramEnd"/>
      <w:r w:rsidR="006A7E14" w:rsidRPr="00750F0A">
        <w:rPr>
          <w:rFonts w:ascii="Book Antiqua" w:hAnsi="Book Antiqua"/>
          <w:sz w:val="24"/>
          <w:szCs w:val="24"/>
        </w:rPr>
        <w:t xml:space="preserve">, along with the oral submissions made to me in the remote hearing. </w:t>
      </w:r>
      <w:r w:rsidR="00606C88" w:rsidRPr="00750F0A">
        <w:rPr>
          <w:rFonts w:ascii="Book Antiqua" w:hAnsi="Book Antiqua"/>
          <w:sz w:val="24"/>
          <w:szCs w:val="24"/>
        </w:rPr>
        <w:t xml:space="preserve">At the conclusion of the hearing I </w:t>
      </w:r>
      <w:r w:rsidR="008D2DED" w:rsidRPr="00750F0A">
        <w:rPr>
          <w:rFonts w:ascii="Book Antiqua" w:hAnsi="Book Antiqua"/>
          <w:sz w:val="24"/>
          <w:szCs w:val="24"/>
        </w:rPr>
        <w:t xml:space="preserve">reserved my decision and reasons, which I now give. </w:t>
      </w:r>
    </w:p>
    <w:p w14:paraId="3F00B5A5" w14:textId="1A1F741B" w:rsidR="002656C5" w:rsidRPr="00750F0A" w:rsidRDefault="002656C5" w:rsidP="003D4C06">
      <w:pPr>
        <w:numPr>
          <w:ilvl w:val="0"/>
          <w:numId w:val="1"/>
        </w:numPr>
        <w:jc w:val="both"/>
        <w:rPr>
          <w:rFonts w:ascii="Book Antiqua" w:hAnsi="Book Antiqua"/>
          <w:sz w:val="24"/>
          <w:szCs w:val="24"/>
        </w:rPr>
      </w:pPr>
      <w:r w:rsidRPr="00750F0A">
        <w:rPr>
          <w:rFonts w:ascii="Book Antiqua" w:hAnsi="Book Antiqua"/>
          <w:sz w:val="24"/>
          <w:szCs w:val="24"/>
        </w:rPr>
        <w:t>Mr Malik made three succinct points</w:t>
      </w:r>
      <w:r w:rsidR="00DB3CE5" w:rsidRPr="00750F0A">
        <w:rPr>
          <w:rFonts w:ascii="Book Antiqua" w:hAnsi="Book Antiqua"/>
          <w:sz w:val="24"/>
          <w:szCs w:val="24"/>
        </w:rPr>
        <w:t xml:space="preserve">. First that the findings at [17] and [18] were inconsistent with the earlier findings that the appellant and the sponsor had been truthful and the written and oral evidence credible. Second, that the judge acted procedurally unfairly in relation to what is said about both inheritance law and the </w:t>
      </w:r>
      <w:r w:rsidR="00DB3CE5" w:rsidRPr="00750F0A">
        <w:rPr>
          <w:rFonts w:ascii="Book Antiqua" w:hAnsi="Book Antiqua"/>
          <w:sz w:val="24"/>
          <w:szCs w:val="24"/>
        </w:rPr>
        <w:lastRenderedPageBreak/>
        <w:t>appellant’s student visa application.</w:t>
      </w:r>
      <w:r w:rsidR="009218BE" w:rsidRPr="00750F0A">
        <w:rPr>
          <w:rFonts w:ascii="Book Antiqua" w:hAnsi="Book Antiqua"/>
          <w:sz w:val="24"/>
          <w:szCs w:val="24"/>
        </w:rPr>
        <w:t xml:space="preserve"> </w:t>
      </w:r>
      <w:r w:rsidR="00802787" w:rsidRPr="00750F0A">
        <w:rPr>
          <w:rFonts w:ascii="Book Antiqua" w:hAnsi="Book Antiqua"/>
          <w:sz w:val="24"/>
          <w:szCs w:val="24"/>
        </w:rPr>
        <w:t xml:space="preserve">Third, that the judge’s approach to ‘household’ </w:t>
      </w:r>
      <w:r w:rsidR="00C362DB" w:rsidRPr="00750F0A">
        <w:rPr>
          <w:rFonts w:ascii="Book Antiqua" w:hAnsi="Book Antiqua"/>
          <w:sz w:val="24"/>
          <w:szCs w:val="24"/>
        </w:rPr>
        <w:t xml:space="preserve">referring to </w:t>
      </w:r>
      <w:r w:rsidR="00DF553B" w:rsidRPr="00750F0A">
        <w:rPr>
          <w:rFonts w:ascii="Book Antiqua" w:hAnsi="Book Antiqua"/>
          <w:sz w:val="24"/>
          <w:szCs w:val="24"/>
        </w:rPr>
        <w:t>‘</w:t>
      </w:r>
      <w:r w:rsidR="00C362DB" w:rsidRPr="00750F0A">
        <w:rPr>
          <w:rFonts w:ascii="Book Antiqua" w:hAnsi="Book Antiqua"/>
          <w:sz w:val="24"/>
          <w:szCs w:val="24"/>
        </w:rPr>
        <w:t>head of household</w:t>
      </w:r>
      <w:r w:rsidR="00DF553B" w:rsidRPr="00750F0A">
        <w:rPr>
          <w:rFonts w:ascii="Book Antiqua" w:hAnsi="Book Antiqua"/>
          <w:sz w:val="24"/>
          <w:szCs w:val="24"/>
        </w:rPr>
        <w:t>’</w:t>
      </w:r>
      <w:r w:rsidR="00C362DB" w:rsidRPr="00750F0A">
        <w:rPr>
          <w:rFonts w:ascii="Book Antiqua" w:hAnsi="Book Antiqua"/>
          <w:sz w:val="24"/>
          <w:szCs w:val="24"/>
        </w:rPr>
        <w:t xml:space="preserve"> </w:t>
      </w:r>
      <w:r w:rsidR="00802787" w:rsidRPr="00750F0A">
        <w:rPr>
          <w:rFonts w:ascii="Book Antiqua" w:hAnsi="Book Antiqua"/>
          <w:sz w:val="24"/>
          <w:szCs w:val="24"/>
        </w:rPr>
        <w:t xml:space="preserve">was legally </w:t>
      </w:r>
      <w:r w:rsidR="00C362DB" w:rsidRPr="00750F0A">
        <w:rPr>
          <w:rFonts w:ascii="Book Antiqua" w:hAnsi="Book Antiqua"/>
          <w:sz w:val="24"/>
          <w:szCs w:val="24"/>
        </w:rPr>
        <w:t xml:space="preserve">flawed as the Regulations do not require the sponsor to be the head of household. </w:t>
      </w:r>
    </w:p>
    <w:p w14:paraId="67699A0F" w14:textId="36EC0BFB" w:rsidR="00276B41" w:rsidRPr="00750F0A" w:rsidRDefault="00276B41" w:rsidP="00953F52">
      <w:pPr>
        <w:numPr>
          <w:ilvl w:val="0"/>
          <w:numId w:val="1"/>
        </w:numPr>
        <w:jc w:val="both"/>
        <w:rPr>
          <w:rFonts w:ascii="Book Antiqua" w:hAnsi="Book Antiqua"/>
          <w:sz w:val="24"/>
          <w:szCs w:val="24"/>
        </w:rPr>
      </w:pPr>
      <w:r w:rsidRPr="00750F0A">
        <w:rPr>
          <w:rFonts w:ascii="Book Antiqua" w:hAnsi="Book Antiqua"/>
          <w:sz w:val="24"/>
          <w:szCs w:val="24"/>
        </w:rPr>
        <w:t xml:space="preserve">Mr Malik also opposed the </w:t>
      </w:r>
      <w:r w:rsidR="00800C6A" w:rsidRPr="00750F0A">
        <w:rPr>
          <w:rFonts w:ascii="Book Antiqua" w:hAnsi="Book Antiqua"/>
          <w:sz w:val="24"/>
          <w:szCs w:val="24"/>
        </w:rPr>
        <w:t xml:space="preserve">late introduction by Ms Pettersen of a </w:t>
      </w:r>
      <w:r w:rsidRPr="00750F0A">
        <w:rPr>
          <w:rFonts w:ascii="Book Antiqua" w:hAnsi="Book Antiqua"/>
          <w:sz w:val="24"/>
          <w:szCs w:val="24"/>
        </w:rPr>
        <w:t xml:space="preserve">new issue of </w:t>
      </w:r>
      <w:r w:rsidR="00DF553B" w:rsidRPr="00750F0A">
        <w:rPr>
          <w:rFonts w:ascii="Book Antiqua" w:hAnsi="Book Antiqua"/>
          <w:sz w:val="24"/>
          <w:szCs w:val="24"/>
        </w:rPr>
        <w:t>‘</w:t>
      </w:r>
      <w:r w:rsidRPr="00750F0A">
        <w:rPr>
          <w:rFonts w:ascii="Book Antiqua" w:hAnsi="Book Antiqua"/>
          <w:sz w:val="24"/>
          <w:szCs w:val="24"/>
        </w:rPr>
        <w:t>continuity of support</w:t>
      </w:r>
      <w:r w:rsidR="00DF553B" w:rsidRPr="00750F0A">
        <w:rPr>
          <w:rFonts w:ascii="Book Antiqua" w:hAnsi="Book Antiqua"/>
          <w:sz w:val="24"/>
          <w:szCs w:val="24"/>
        </w:rPr>
        <w:t>’</w:t>
      </w:r>
      <w:r w:rsidRPr="00750F0A">
        <w:rPr>
          <w:rFonts w:ascii="Book Antiqua" w:hAnsi="Book Antiqua"/>
          <w:sz w:val="24"/>
          <w:szCs w:val="24"/>
        </w:rPr>
        <w:t xml:space="preserve"> </w:t>
      </w:r>
      <w:r w:rsidR="00800C6A" w:rsidRPr="00750F0A">
        <w:rPr>
          <w:rFonts w:ascii="Book Antiqua" w:hAnsi="Book Antiqua"/>
          <w:sz w:val="24"/>
          <w:szCs w:val="24"/>
        </w:rPr>
        <w:t>as set out in</w:t>
      </w:r>
      <w:r w:rsidRPr="00750F0A">
        <w:rPr>
          <w:rFonts w:ascii="Book Antiqua" w:hAnsi="Book Antiqua"/>
          <w:sz w:val="24"/>
          <w:szCs w:val="24"/>
        </w:rPr>
        <w:t xml:space="preserve"> her email received </w:t>
      </w:r>
      <w:r w:rsidR="00800C6A" w:rsidRPr="00750F0A">
        <w:rPr>
          <w:rFonts w:ascii="Book Antiqua" w:hAnsi="Book Antiqua"/>
          <w:sz w:val="24"/>
          <w:szCs w:val="24"/>
        </w:rPr>
        <w:t xml:space="preserve">by the Tribunal </w:t>
      </w:r>
      <w:r w:rsidRPr="00750F0A">
        <w:rPr>
          <w:rFonts w:ascii="Book Antiqua" w:hAnsi="Book Antiqua"/>
          <w:sz w:val="24"/>
          <w:szCs w:val="24"/>
        </w:rPr>
        <w:t>on 12.8.20</w:t>
      </w:r>
      <w:r w:rsidR="00C57707" w:rsidRPr="00750F0A">
        <w:rPr>
          <w:rFonts w:ascii="Book Antiqua" w:hAnsi="Book Antiqua"/>
          <w:sz w:val="24"/>
          <w:szCs w:val="24"/>
        </w:rPr>
        <w:t xml:space="preserve"> in reliance on the recent decision of the Upper Tribunal in </w:t>
      </w:r>
      <w:r w:rsidR="00C57707" w:rsidRPr="00750F0A">
        <w:rPr>
          <w:rFonts w:ascii="Book Antiqua" w:hAnsi="Book Antiqua"/>
          <w:sz w:val="24"/>
          <w:szCs w:val="24"/>
          <w:u w:val="single"/>
        </w:rPr>
        <w:t xml:space="preserve">Chowdhury (Extended family members: dependency) </w:t>
      </w:r>
      <w:r w:rsidR="00C57707" w:rsidRPr="00750F0A">
        <w:rPr>
          <w:rFonts w:ascii="Book Antiqua" w:hAnsi="Book Antiqua"/>
          <w:sz w:val="24"/>
          <w:szCs w:val="24"/>
        </w:rPr>
        <w:t xml:space="preserve">[2020] UKUT 188 (IAC). Whilst this decision made clear that </w:t>
      </w:r>
      <w:r w:rsidR="00953F52" w:rsidRPr="00750F0A">
        <w:rPr>
          <w:rFonts w:ascii="Book Antiqua" w:hAnsi="Book Antiqua"/>
          <w:sz w:val="24"/>
          <w:szCs w:val="24"/>
        </w:rPr>
        <w:t>the Regulations require</w:t>
      </w:r>
      <w:r w:rsidR="00C57707" w:rsidRPr="00750F0A">
        <w:rPr>
          <w:rFonts w:ascii="Book Antiqua" w:hAnsi="Book Antiqua"/>
          <w:sz w:val="24"/>
          <w:szCs w:val="24"/>
        </w:rPr>
        <w:t xml:space="preserve"> a continuity of support</w:t>
      </w:r>
      <w:r w:rsidR="00953F52" w:rsidRPr="00750F0A">
        <w:rPr>
          <w:rFonts w:ascii="Book Antiqua" w:hAnsi="Book Antiqua"/>
          <w:sz w:val="24"/>
          <w:szCs w:val="24"/>
        </w:rPr>
        <w:t xml:space="preserve"> between prior and present dependency, that was not an issue raised at the First-tier Tribunal. </w:t>
      </w:r>
      <w:r w:rsidR="00081FBB" w:rsidRPr="00750F0A">
        <w:rPr>
          <w:rFonts w:ascii="Book Antiqua" w:hAnsi="Book Antiqua"/>
          <w:sz w:val="24"/>
          <w:szCs w:val="24"/>
        </w:rPr>
        <w:t xml:space="preserve">Whilst </w:t>
      </w:r>
      <w:r w:rsidR="00406E02" w:rsidRPr="00750F0A">
        <w:rPr>
          <w:rFonts w:ascii="Book Antiqua" w:hAnsi="Book Antiqua"/>
          <w:sz w:val="24"/>
          <w:szCs w:val="24"/>
        </w:rPr>
        <w:t xml:space="preserve">on the facts of this case </w:t>
      </w:r>
      <w:r w:rsidR="00081FBB" w:rsidRPr="00750F0A">
        <w:rPr>
          <w:rFonts w:ascii="Book Antiqua" w:hAnsi="Book Antiqua"/>
          <w:sz w:val="24"/>
          <w:szCs w:val="24"/>
        </w:rPr>
        <w:t xml:space="preserve">this issue </w:t>
      </w:r>
      <w:r w:rsidR="00406E02" w:rsidRPr="00750F0A">
        <w:rPr>
          <w:rFonts w:ascii="Book Antiqua" w:hAnsi="Book Antiqua"/>
          <w:sz w:val="24"/>
          <w:szCs w:val="24"/>
        </w:rPr>
        <w:t xml:space="preserve">may be highly relevant if there is to be a </w:t>
      </w:r>
      <w:r w:rsidR="00F62944" w:rsidRPr="00750F0A">
        <w:rPr>
          <w:rFonts w:ascii="Book Antiqua" w:hAnsi="Book Antiqua"/>
          <w:sz w:val="24"/>
          <w:szCs w:val="24"/>
        </w:rPr>
        <w:t xml:space="preserve">remaking of the decision, </w:t>
      </w:r>
      <w:r w:rsidR="00600DFC" w:rsidRPr="00750F0A">
        <w:rPr>
          <w:rFonts w:ascii="Book Antiqua" w:hAnsi="Book Antiqua"/>
          <w:sz w:val="24"/>
          <w:szCs w:val="24"/>
        </w:rPr>
        <w:t xml:space="preserve">as the appellant left Pakistan in 2012 to come to the UK as a student, and the sponsor left Pakistan in 1997 to work in Spain and did not come to the UK until 2015, </w:t>
      </w:r>
      <w:r w:rsidR="00081FBB" w:rsidRPr="00750F0A">
        <w:rPr>
          <w:rFonts w:ascii="Book Antiqua" w:hAnsi="Book Antiqua"/>
          <w:sz w:val="24"/>
          <w:szCs w:val="24"/>
        </w:rPr>
        <w:t xml:space="preserve">so that </w:t>
      </w:r>
      <w:r w:rsidR="00600DFC" w:rsidRPr="00750F0A">
        <w:rPr>
          <w:rFonts w:ascii="Book Antiqua" w:hAnsi="Book Antiqua"/>
          <w:sz w:val="24"/>
          <w:szCs w:val="24"/>
        </w:rPr>
        <w:t>there was a</w:t>
      </w:r>
      <w:r w:rsidR="00081FBB" w:rsidRPr="00750F0A">
        <w:rPr>
          <w:rFonts w:ascii="Book Antiqua" w:hAnsi="Book Antiqua"/>
          <w:sz w:val="24"/>
          <w:szCs w:val="24"/>
        </w:rPr>
        <w:t>n apparent</w:t>
      </w:r>
      <w:r w:rsidR="00600DFC" w:rsidRPr="00750F0A">
        <w:rPr>
          <w:rFonts w:ascii="Book Antiqua" w:hAnsi="Book Antiqua"/>
          <w:sz w:val="24"/>
          <w:szCs w:val="24"/>
        </w:rPr>
        <w:t xml:space="preserve"> gap in the continuity of any alleged dependency</w:t>
      </w:r>
      <w:r w:rsidR="00081FBB" w:rsidRPr="00750F0A">
        <w:rPr>
          <w:rFonts w:ascii="Book Antiqua" w:hAnsi="Book Antiqua"/>
          <w:sz w:val="24"/>
          <w:szCs w:val="24"/>
        </w:rPr>
        <w:t xml:space="preserve">. </w:t>
      </w:r>
      <w:r w:rsidR="00600DFC" w:rsidRPr="00750F0A">
        <w:rPr>
          <w:rFonts w:ascii="Book Antiqua" w:hAnsi="Book Antiqua"/>
          <w:sz w:val="24"/>
          <w:szCs w:val="24"/>
        </w:rPr>
        <w:t xml:space="preserve"> </w:t>
      </w:r>
      <w:r w:rsidR="00081FBB" w:rsidRPr="00750F0A">
        <w:rPr>
          <w:rFonts w:ascii="Book Antiqua" w:hAnsi="Book Antiqua"/>
          <w:sz w:val="24"/>
          <w:szCs w:val="24"/>
        </w:rPr>
        <w:t xml:space="preserve">However, Ms Pettersen </w:t>
      </w:r>
      <w:r w:rsidR="00DD4FE8" w:rsidRPr="00750F0A">
        <w:rPr>
          <w:rFonts w:ascii="Book Antiqua" w:hAnsi="Book Antiqua"/>
          <w:sz w:val="24"/>
          <w:szCs w:val="24"/>
        </w:rPr>
        <w:t xml:space="preserve">did not pursue </w:t>
      </w:r>
      <w:r w:rsidR="00C009EC" w:rsidRPr="00750F0A">
        <w:rPr>
          <w:rFonts w:ascii="Book Antiqua" w:hAnsi="Book Antiqua"/>
          <w:sz w:val="24"/>
          <w:szCs w:val="24"/>
        </w:rPr>
        <w:t xml:space="preserve">this point </w:t>
      </w:r>
      <w:r w:rsidR="00DD4FE8" w:rsidRPr="00750F0A">
        <w:rPr>
          <w:rFonts w:ascii="Book Antiqua" w:hAnsi="Book Antiqua"/>
          <w:sz w:val="24"/>
          <w:szCs w:val="24"/>
        </w:rPr>
        <w:t>with any vigour given that it was not raised at the First-tier Tribunal appeal hearing and could not properly</w:t>
      </w:r>
      <w:r w:rsidR="00953F52" w:rsidRPr="00750F0A">
        <w:rPr>
          <w:rFonts w:ascii="Book Antiqua" w:hAnsi="Book Antiqua"/>
          <w:sz w:val="24"/>
          <w:szCs w:val="24"/>
        </w:rPr>
        <w:t xml:space="preserve"> be </w:t>
      </w:r>
      <w:proofErr w:type="gramStart"/>
      <w:r w:rsidR="00953F52" w:rsidRPr="00750F0A">
        <w:rPr>
          <w:rFonts w:ascii="Book Antiqua" w:hAnsi="Book Antiqua"/>
          <w:sz w:val="24"/>
          <w:szCs w:val="24"/>
        </w:rPr>
        <w:t>taken into account</w:t>
      </w:r>
      <w:proofErr w:type="gramEnd"/>
      <w:r w:rsidR="00F62944" w:rsidRPr="00750F0A">
        <w:rPr>
          <w:rFonts w:ascii="Book Antiqua" w:hAnsi="Book Antiqua"/>
          <w:sz w:val="24"/>
          <w:szCs w:val="24"/>
        </w:rPr>
        <w:t xml:space="preserve"> in the error of law consideration. For the purposes of this hearing, I ignore that issue. </w:t>
      </w:r>
      <w:r w:rsidR="00953F52" w:rsidRPr="00750F0A">
        <w:rPr>
          <w:rFonts w:ascii="Book Antiqua" w:hAnsi="Book Antiqua"/>
          <w:sz w:val="24"/>
          <w:szCs w:val="24"/>
        </w:rPr>
        <w:t xml:space="preserve"> </w:t>
      </w:r>
      <w:r w:rsidR="00C009EC" w:rsidRPr="00750F0A">
        <w:rPr>
          <w:rFonts w:ascii="Book Antiqua" w:hAnsi="Book Antiqua"/>
          <w:sz w:val="24"/>
          <w:szCs w:val="24"/>
        </w:rPr>
        <w:t xml:space="preserve"> </w:t>
      </w:r>
    </w:p>
    <w:p w14:paraId="5F2F0F22" w14:textId="619F274E" w:rsidR="00C902B9" w:rsidRPr="00750F0A" w:rsidRDefault="00802787" w:rsidP="003D4C06">
      <w:pPr>
        <w:numPr>
          <w:ilvl w:val="0"/>
          <w:numId w:val="1"/>
        </w:numPr>
        <w:jc w:val="both"/>
        <w:rPr>
          <w:rFonts w:ascii="Book Antiqua" w:hAnsi="Book Antiqua"/>
          <w:sz w:val="24"/>
          <w:szCs w:val="24"/>
        </w:rPr>
      </w:pPr>
      <w:r w:rsidRPr="00750F0A">
        <w:rPr>
          <w:rFonts w:ascii="Book Antiqua" w:hAnsi="Book Antiqua"/>
          <w:sz w:val="24"/>
          <w:szCs w:val="24"/>
        </w:rPr>
        <w:t xml:space="preserve">In relation to </w:t>
      </w:r>
      <w:r w:rsidR="00F62944" w:rsidRPr="00750F0A">
        <w:rPr>
          <w:rFonts w:ascii="Book Antiqua" w:hAnsi="Book Antiqua"/>
          <w:sz w:val="24"/>
          <w:szCs w:val="24"/>
        </w:rPr>
        <w:t xml:space="preserve">the </w:t>
      </w:r>
      <w:r w:rsidR="00954BDB" w:rsidRPr="00750F0A">
        <w:rPr>
          <w:rFonts w:ascii="Book Antiqua" w:hAnsi="Book Antiqua"/>
          <w:sz w:val="24"/>
          <w:szCs w:val="24"/>
        </w:rPr>
        <w:t xml:space="preserve">issue of </w:t>
      </w:r>
      <w:r w:rsidR="00F62944" w:rsidRPr="00750F0A">
        <w:rPr>
          <w:rFonts w:ascii="Book Antiqua" w:hAnsi="Book Antiqua"/>
          <w:sz w:val="24"/>
          <w:szCs w:val="24"/>
        </w:rPr>
        <w:t xml:space="preserve">judge’s </w:t>
      </w:r>
      <w:r w:rsidR="00954BDB" w:rsidRPr="00750F0A">
        <w:rPr>
          <w:rFonts w:ascii="Book Antiqua" w:hAnsi="Book Antiqua"/>
          <w:sz w:val="24"/>
          <w:szCs w:val="24"/>
        </w:rPr>
        <w:t xml:space="preserve">unfortunate and inexpert assertions as to </w:t>
      </w:r>
      <w:r w:rsidRPr="00750F0A">
        <w:rPr>
          <w:rFonts w:ascii="Book Antiqua" w:hAnsi="Book Antiqua"/>
          <w:sz w:val="24"/>
          <w:szCs w:val="24"/>
        </w:rPr>
        <w:t xml:space="preserve">inheritance </w:t>
      </w:r>
      <w:r w:rsidR="00C902B9" w:rsidRPr="00750F0A">
        <w:rPr>
          <w:rFonts w:ascii="Book Antiqua" w:hAnsi="Book Antiqua"/>
          <w:sz w:val="24"/>
          <w:szCs w:val="24"/>
        </w:rPr>
        <w:t>law in Pakistan</w:t>
      </w:r>
      <w:r w:rsidR="00954BDB" w:rsidRPr="00750F0A">
        <w:rPr>
          <w:rFonts w:ascii="Book Antiqua" w:hAnsi="Book Antiqua"/>
          <w:sz w:val="24"/>
          <w:szCs w:val="24"/>
        </w:rPr>
        <w:t xml:space="preserve">, </w:t>
      </w:r>
      <w:r w:rsidR="00C902B9" w:rsidRPr="00750F0A">
        <w:rPr>
          <w:rFonts w:ascii="Book Antiqua" w:hAnsi="Book Antiqua"/>
          <w:sz w:val="24"/>
          <w:szCs w:val="24"/>
        </w:rPr>
        <w:t xml:space="preserve">for the reasons set out below, </w:t>
      </w:r>
      <w:r w:rsidR="00954BDB" w:rsidRPr="00750F0A">
        <w:rPr>
          <w:rFonts w:ascii="Book Antiqua" w:hAnsi="Book Antiqua"/>
          <w:sz w:val="24"/>
          <w:szCs w:val="24"/>
        </w:rPr>
        <w:t xml:space="preserve">I do not find </w:t>
      </w:r>
      <w:r w:rsidR="007626C2" w:rsidRPr="00750F0A">
        <w:rPr>
          <w:rFonts w:ascii="Book Antiqua" w:hAnsi="Book Antiqua"/>
          <w:sz w:val="24"/>
          <w:szCs w:val="24"/>
        </w:rPr>
        <w:t>any</w:t>
      </w:r>
      <w:r w:rsidR="00954BDB" w:rsidRPr="00750F0A">
        <w:rPr>
          <w:rFonts w:ascii="Book Antiqua" w:hAnsi="Book Antiqua"/>
          <w:sz w:val="24"/>
          <w:szCs w:val="24"/>
        </w:rPr>
        <w:t xml:space="preserve"> error of law</w:t>
      </w:r>
      <w:r w:rsidR="00DD4FE8" w:rsidRPr="00750F0A">
        <w:rPr>
          <w:rFonts w:ascii="Book Antiqua" w:hAnsi="Book Antiqua"/>
          <w:sz w:val="24"/>
          <w:szCs w:val="24"/>
        </w:rPr>
        <w:t xml:space="preserve"> material to the outcome of the appeal</w:t>
      </w:r>
      <w:r w:rsidR="00954BDB" w:rsidRPr="00750F0A">
        <w:rPr>
          <w:rFonts w:ascii="Book Antiqua" w:hAnsi="Book Antiqua"/>
          <w:sz w:val="24"/>
          <w:szCs w:val="24"/>
        </w:rPr>
        <w:t>.</w:t>
      </w:r>
      <w:r w:rsidRPr="00750F0A">
        <w:rPr>
          <w:rFonts w:ascii="Book Antiqua" w:hAnsi="Book Antiqua"/>
          <w:sz w:val="24"/>
          <w:szCs w:val="24"/>
        </w:rPr>
        <w:t xml:space="preserve"> </w:t>
      </w:r>
    </w:p>
    <w:p w14:paraId="2923388C" w14:textId="18C088F2" w:rsidR="00E51C2B" w:rsidRPr="00750F0A" w:rsidRDefault="003B5C63" w:rsidP="003D4C06">
      <w:pPr>
        <w:numPr>
          <w:ilvl w:val="0"/>
          <w:numId w:val="1"/>
        </w:numPr>
        <w:jc w:val="both"/>
        <w:rPr>
          <w:rFonts w:ascii="Book Antiqua" w:hAnsi="Book Antiqua"/>
          <w:sz w:val="24"/>
          <w:szCs w:val="24"/>
        </w:rPr>
      </w:pPr>
      <w:r w:rsidRPr="00750F0A">
        <w:rPr>
          <w:rFonts w:ascii="Book Antiqua" w:hAnsi="Book Antiqua"/>
          <w:sz w:val="24"/>
          <w:szCs w:val="24"/>
        </w:rPr>
        <w:t>I bear in mind that the</w:t>
      </w:r>
      <w:r w:rsidR="00532E6A" w:rsidRPr="00750F0A">
        <w:rPr>
          <w:rFonts w:ascii="Book Antiqua" w:hAnsi="Book Antiqua"/>
          <w:sz w:val="24"/>
          <w:szCs w:val="24"/>
        </w:rPr>
        <w:t xml:space="preserve"> recent authority of </w:t>
      </w:r>
      <w:r w:rsidR="00532E6A" w:rsidRPr="00750F0A">
        <w:rPr>
          <w:rFonts w:ascii="Book Antiqua" w:hAnsi="Book Antiqua"/>
          <w:sz w:val="24"/>
          <w:szCs w:val="24"/>
          <w:u w:val="single"/>
        </w:rPr>
        <w:t>Hussein and another</w:t>
      </w:r>
      <w:r w:rsidR="00DA6A26" w:rsidRPr="00750F0A">
        <w:rPr>
          <w:rFonts w:ascii="Book Antiqua" w:hAnsi="Book Antiqua"/>
          <w:sz w:val="24"/>
          <w:szCs w:val="24"/>
          <w:u w:val="single"/>
        </w:rPr>
        <w:t xml:space="preserve"> (Status of passports: foreign law)</w:t>
      </w:r>
      <w:r w:rsidR="00DA6A26" w:rsidRPr="00750F0A">
        <w:rPr>
          <w:rFonts w:ascii="Book Antiqua" w:hAnsi="Book Antiqua"/>
          <w:sz w:val="24"/>
          <w:szCs w:val="24"/>
        </w:rPr>
        <w:t xml:space="preserve"> [2020] UKUT 250 (IAC) </w:t>
      </w:r>
      <w:r w:rsidR="00532E6A" w:rsidRPr="00750F0A">
        <w:rPr>
          <w:rFonts w:ascii="Book Antiqua" w:hAnsi="Book Antiqua"/>
          <w:sz w:val="24"/>
          <w:szCs w:val="24"/>
        </w:rPr>
        <w:t xml:space="preserve">has confirmed that foreign law is a matter </w:t>
      </w:r>
      <w:r w:rsidR="00C902B9" w:rsidRPr="00750F0A">
        <w:rPr>
          <w:rFonts w:ascii="Book Antiqua" w:hAnsi="Book Antiqua"/>
          <w:sz w:val="24"/>
          <w:szCs w:val="24"/>
        </w:rPr>
        <w:t xml:space="preserve">of evidence, to be proved by </w:t>
      </w:r>
      <w:r w:rsidR="00532E6A" w:rsidRPr="00750F0A">
        <w:rPr>
          <w:rFonts w:ascii="Book Antiqua" w:hAnsi="Book Antiqua"/>
          <w:sz w:val="24"/>
          <w:szCs w:val="24"/>
        </w:rPr>
        <w:t>expert evidence</w:t>
      </w:r>
      <w:r w:rsidR="00C902B9" w:rsidRPr="00750F0A">
        <w:rPr>
          <w:rFonts w:ascii="Book Antiqua" w:hAnsi="Book Antiqua"/>
          <w:sz w:val="24"/>
          <w:szCs w:val="24"/>
        </w:rPr>
        <w:t xml:space="preserve"> directed specifically to the point in issue. However,</w:t>
      </w:r>
      <w:r w:rsidR="00532E6A" w:rsidRPr="00750F0A">
        <w:rPr>
          <w:rFonts w:ascii="Book Antiqua" w:hAnsi="Book Antiqua"/>
          <w:sz w:val="24"/>
          <w:szCs w:val="24"/>
        </w:rPr>
        <w:t xml:space="preserve"> </w:t>
      </w:r>
      <w:r w:rsidR="00B46978" w:rsidRPr="00750F0A">
        <w:rPr>
          <w:rFonts w:ascii="Book Antiqua" w:hAnsi="Book Antiqua"/>
          <w:sz w:val="24"/>
          <w:szCs w:val="24"/>
        </w:rPr>
        <w:t xml:space="preserve">for the reasons set out below, </w:t>
      </w:r>
      <w:r w:rsidR="007212F0" w:rsidRPr="00750F0A">
        <w:rPr>
          <w:rFonts w:ascii="Book Antiqua" w:hAnsi="Book Antiqua"/>
          <w:sz w:val="24"/>
          <w:szCs w:val="24"/>
        </w:rPr>
        <w:t xml:space="preserve">I am satisfied that </w:t>
      </w:r>
      <w:proofErr w:type="gramStart"/>
      <w:r w:rsidR="007212F0" w:rsidRPr="00750F0A">
        <w:rPr>
          <w:rFonts w:ascii="Book Antiqua" w:hAnsi="Book Antiqua"/>
          <w:sz w:val="24"/>
          <w:szCs w:val="24"/>
        </w:rPr>
        <w:t>w</w:t>
      </w:r>
      <w:r w:rsidR="00C55D12" w:rsidRPr="00750F0A">
        <w:rPr>
          <w:rFonts w:ascii="Book Antiqua" w:hAnsi="Book Antiqua"/>
          <w:sz w:val="24"/>
          <w:szCs w:val="24"/>
        </w:rPr>
        <w:t>hether or not</w:t>
      </w:r>
      <w:proofErr w:type="gramEnd"/>
      <w:r w:rsidR="00C55D12" w:rsidRPr="00750F0A">
        <w:rPr>
          <w:rFonts w:ascii="Book Antiqua" w:hAnsi="Book Antiqua"/>
          <w:sz w:val="24"/>
          <w:szCs w:val="24"/>
        </w:rPr>
        <w:t xml:space="preserve"> he was right, t</w:t>
      </w:r>
      <w:r w:rsidR="006A7E14" w:rsidRPr="00750F0A">
        <w:rPr>
          <w:rFonts w:ascii="Book Antiqua" w:hAnsi="Book Antiqua"/>
          <w:sz w:val="24"/>
          <w:szCs w:val="24"/>
        </w:rPr>
        <w:t xml:space="preserve">he judge’s </w:t>
      </w:r>
      <w:r w:rsidR="00C55D12" w:rsidRPr="00750F0A">
        <w:rPr>
          <w:rFonts w:ascii="Book Antiqua" w:hAnsi="Book Antiqua"/>
          <w:sz w:val="24"/>
          <w:szCs w:val="24"/>
        </w:rPr>
        <w:t xml:space="preserve">understanding of Pakistani inheritance law </w:t>
      </w:r>
      <w:r w:rsidR="000B72B3" w:rsidRPr="00750F0A">
        <w:rPr>
          <w:rFonts w:ascii="Book Antiqua" w:hAnsi="Book Antiqua"/>
          <w:sz w:val="24"/>
          <w:szCs w:val="24"/>
        </w:rPr>
        <w:t xml:space="preserve">as expressed at [23] of the decision </w:t>
      </w:r>
      <w:r w:rsidR="00C55D12" w:rsidRPr="00750F0A">
        <w:rPr>
          <w:rFonts w:ascii="Book Antiqua" w:hAnsi="Book Antiqua"/>
          <w:sz w:val="24"/>
          <w:szCs w:val="24"/>
        </w:rPr>
        <w:t xml:space="preserve">was </w:t>
      </w:r>
      <w:r w:rsidR="00B46978" w:rsidRPr="00750F0A">
        <w:rPr>
          <w:rFonts w:ascii="Book Antiqua" w:hAnsi="Book Antiqua"/>
          <w:sz w:val="24"/>
          <w:szCs w:val="24"/>
        </w:rPr>
        <w:t xml:space="preserve">either </w:t>
      </w:r>
      <w:r w:rsidR="00E51C2B" w:rsidRPr="00750F0A">
        <w:rPr>
          <w:rFonts w:ascii="Book Antiqua" w:hAnsi="Book Antiqua"/>
          <w:sz w:val="24"/>
          <w:szCs w:val="24"/>
        </w:rPr>
        <w:t xml:space="preserve">a mere observation </w:t>
      </w:r>
      <w:r w:rsidR="00B46978" w:rsidRPr="00750F0A">
        <w:rPr>
          <w:rFonts w:ascii="Book Antiqua" w:hAnsi="Book Antiqua"/>
          <w:sz w:val="24"/>
          <w:szCs w:val="24"/>
        </w:rPr>
        <w:t xml:space="preserve">or an alternative consideration and, therefore, </w:t>
      </w:r>
      <w:r w:rsidR="00C55D12" w:rsidRPr="00750F0A">
        <w:rPr>
          <w:rFonts w:ascii="Book Antiqua" w:hAnsi="Book Antiqua"/>
          <w:sz w:val="24"/>
          <w:szCs w:val="24"/>
        </w:rPr>
        <w:t xml:space="preserve">not material to the outcome of the appeal. </w:t>
      </w:r>
    </w:p>
    <w:p w14:paraId="2ED7FA6B" w14:textId="0104DE0E" w:rsidR="00952F15" w:rsidRPr="00750F0A" w:rsidRDefault="0032747B" w:rsidP="00952F15">
      <w:pPr>
        <w:numPr>
          <w:ilvl w:val="0"/>
          <w:numId w:val="1"/>
        </w:numPr>
        <w:jc w:val="both"/>
        <w:rPr>
          <w:rFonts w:ascii="Book Antiqua" w:hAnsi="Book Antiqua"/>
          <w:sz w:val="24"/>
          <w:szCs w:val="24"/>
        </w:rPr>
      </w:pPr>
      <w:r w:rsidRPr="00750F0A">
        <w:rPr>
          <w:rFonts w:ascii="Book Antiqua" w:hAnsi="Book Antiqua"/>
          <w:sz w:val="24"/>
          <w:szCs w:val="24"/>
        </w:rPr>
        <w:t xml:space="preserve">In relation to prior household membership, </w:t>
      </w:r>
      <w:r w:rsidR="00952F15" w:rsidRPr="00750F0A">
        <w:rPr>
          <w:rFonts w:ascii="Book Antiqua" w:hAnsi="Book Antiqua"/>
          <w:sz w:val="24"/>
          <w:szCs w:val="24"/>
        </w:rPr>
        <w:t>Article 3 of the Citizens Directive provides</w:t>
      </w:r>
      <w:r w:rsidR="003E169C" w:rsidRPr="00750F0A">
        <w:rPr>
          <w:rFonts w:ascii="Book Antiqua" w:hAnsi="Book Antiqua"/>
          <w:sz w:val="24"/>
          <w:szCs w:val="24"/>
        </w:rPr>
        <w:t xml:space="preserve"> that </w:t>
      </w:r>
      <w:r w:rsidRPr="00750F0A">
        <w:rPr>
          <w:rFonts w:ascii="Book Antiqua" w:hAnsi="Book Antiqua"/>
          <w:sz w:val="24"/>
          <w:szCs w:val="24"/>
        </w:rPr>
        <w:t>the ‘other family member’</w:t>
      </w:r>
      <w:r w:rsidR="003E169C" w:rsidRPr="00750F0A">
        <w:rPr>
          <w:rFonts w:ascii="Book Antiqua" w:hAnsi="Book Antiqua"/>
          <w:sz w:val="24"/>
          <w:szCs w:val="24"/>
        </w:rPr>
        <w:t xml:space="preserve"> </w:t>
      </w:r>
      <w:r w:rsidRPr="00750F0A">
        <w:rPr>
          <w:rFonts w:ascii="Book Antiqua" w:hAnsi="Book Antiqua"/>
          <w:sz w:val="24"/>
          <w:szCs w:val="24"/>
        </w:rPr>
        <w:t xml:space="preserve">must be </w:t>
      </w:r>
      <w:r w:rsidR="009C60FD" w:rsidRPr="00750F0A">
        <w:rPr>
          <w:rFonts w:ascii="Book Antiqua" w:hAnsi="Book Antiqua"/>
          <w:sz w:val="24"/>
          <w:szCs w:val="24"/>
        </w:rPr>
        <w:t>“</w:t>
      </w:r>
      <w:r w:rsidR="009C60FD" w:rsidRPr="00750F0A">
        <w:rPr>
          <w:rFonts w:ascii="Book Antiqua" w:hAnsi="Book Antiqua"/>
          <w:i/>
          <w:iCs/>
          <w:sz w:val="24"/>
          <w:szCs w:val="24"/>
        </w:rPr>
        <w:t>members of the household of the Union citizen</w:t>
      </w:r>
      <w:r w:rsidR="009C60FD" w:rsidRPr="00750F0A">
        <w:rPr>
          <w:rFonts w:ascii="Book Antiqua" w:hAnsi="Book Antiqua"/>
          <w:sz w:val="24"/>
          <w:szCs w:val="24"/>
        </w:rPr>
        <w:t>”</w:t>
      </w:r>
      <w:r w:rsidR="00952F15" w:rsidRPr="00750F0A">
        <w:rPr>
          <w:rFonts w:ascii="Book Antiqua" w:hAnsi="Book Antiqua"/>
          <w:sz w:val="24"/>
          <w:szCs w:val="24"/>
        </w:rPr>
        <w:t>:</w:t>
      </w:r>
    </w:p>
    <w:p w14:paraId="2EAE9AA3" w14:textId="77777777" w:rsidR="00952F15" w:rsidRPr="00750F0A" w:rsidRDefault="00952F15" w:rsidP="00952F15">
      <w:pPr>
        <w:ind w:left="720"/>
        <w:jc w:val="both"/>
        <w:rPr>
          <w:rFonts w:ascii="Book Antiqua" w:hAnsi="Book Antiqua"/>
          <w:i/>
          <w:iCs/>
          <w:sz w:val="24"/>
          <w:szCs w:val="24"/>
        </w:rPr>
      </w:pPr>
      <w:r w:rsidRPr="00750F0A">
        <w:rPr>
          <w:rFonts w:ascii="Book Antiqua" w:hAnsi="Book Antiqua"/>
          <w:i/>
          <w:iCs/>
          <w:sz w:val="24"/>
          <w:szCs w:val="24"/>
        </w:rPr>
        <w:t>"1. This Directive shall apply to all Union citizens who move to or reside in a Member State other than that of which they are a national, and to their family members as defined in point 2 of Article 2 who accompany or join them. </w:t>
      </w:r>
    </w:p>
    <w:p w14:paraId="7B6F28CB" w14:textId="77777777" w:rsidR="00952F15" w:rsidRPr="00750F0A" w:rsidRDefault="00952F15" w:rsidP="00952F15">
      <w:pPr>
        <w:ind w:left="720"/>
        <w:jc w:val="both"/>
        <w:rPr>
          <w:rFonts w:ascii="Book Antiqua" w:hAnsi="Book Antiqua"/>
          <w:i/>
          <w:iCs/>
          <w:sz w:val="24"/>
          <w:szCs w:val="24"/>
        </w:rPr>
      </w:pPr>
      <w:r w:rsidRPr="00750F0A">
        <w:rPr>
          <w:rFonts w:ascii="Book Antiqua" w:hAnsi="Book Antiqua"/>
          <w:i/>
          <w:iCs/>
          <w:sz w:val="24"/>
          <w:szCs w:val="24"/>
        </w:rPr>
        <w:t xml:space="preserve">2. Without prejudice to any right to free movement and residence the persons concerned may </w:t>
      </w:r>
      <w:proofErr w:type="gramStart"/>
      <w:r w:rsidRPr="00750F0A">
        <w:rPr>
          <w:rFonts w:ascii="Book Antiqua" w:hAnsi="Book Antiqua"/>
          <w:i/>
          <w:iCs/>
          <w:sz w:val="24"/>
          <w:szCs w:val="24"/>
        </w:rPr>
        <w:t>have in their own right, the</w:t>
      </w:r>
      <w:proofErr w:type="gramEnd"/>
      <w:r w:rsidRPr="00750F0A">
        <w:rPr>
          <w:rFonts w:ascii="Book Antiqua" w:hAnsi="Book Antiqua"/>
          <w:i/>
          <w:iCs/>
          <w:sz w:val="24"/>
          <w:szCs w:val="24"/>
        </w:rPr>
        <w:t xml:space="preserve"> host Member State shall, in accordance with its national legislation, facilitate entry and residence for the following persons:</w:t>
      </w:r>
    </w:p>
    <w:p w14:paraId="727CDBD2" w14:textId="77777777" w:rsidR="00952F15" w:rsidRPr="00750F0A" w:rsidRDefault="00952F15" w:rsidP="00952F15">
      <w:pPr>
        <w:ind w:left="720"/>
        <w:jc w:val="both"/>
        <w:rPr>
          <w:rFonts w:ascii="Book Antiqua" w:hAnsi="Book Antiqua"/>
          <w:i/>
          <w:iCs/>
          <w:sz w:val="24"/>
          <w:szCs w:val="24"/>
        </w:rPr>
      </w:pPr>
      <w:r w:rsidRPr="00750F0A">
        <w:rPr>
          <w:rFonts w:ascii="Book Antiqua" w:hAnsi="Book Antiqua"/>
          <w:i/>
          <w:iCs/>
          <w:sz w:val="24"/>
          <w:szCs w:val="24"/>
        </w:rPr>
        <w:t>(a) any other family members, irrespective of their nationality, not falling under the definition in point 2 of Article 2 who, in the country from which they have come, are dependants or members of the household of the Union citizen having the primary right of residence, or where serious health grounds strictly require the personal care of the family member by the Union citizen; </w:t>
      </w:r>
    </w:p>
    <w:p w14:paraId="3B09ECAB" w14:textId="77777777" w:rsidR="00952F15" w:rsidRPr="00750F0A" w:rsidRDefault="00952F15" w:rsidP="00952F15">
      <w:pPr>
        <w:ind w:left="720"/>
        <w:jc w:val="both"/>
        <w:rPr>
          <w:rFonts w:ascii="Book Antiqua" w:hAnsi="Book Antiqua"/>
          <w:i/>
          <w:iCs/>
          <w:sz w:val="24"/>
          <w:szCs w:val="24"/>
        </w:rPr>
      </w:pPr>
      <w:r w:rsidRPr="00750F0A">
        <w:rPr>
          <w:rFonts w:ascii="Book Antiqua" w:hAnsi="Book Antiqua"/>
          <w:i/>
          <w:iCs/>
          <w:sz w:val="24"/>
          <w:szCs w:val="24"/>
        </w:rPr>
        <w:lastRenderedPageBreak/>
        <w:t>(b) the partner with whom the Union citizen has a durable relationship, duly attested.</w:t>
      </w:r>
    </w:p>
    <w:p w14:paraId="1954197D" w14:textId="746C89E1" w:rsidR="00952F15" w:rsidRPr="00750F0A" w:rsidRDefault="00274006" w:rsidP="003D4C06">
      <w:pPr>
        <w:numPr>
          <w:ilvl w:val="0"/>
          <w:numId w:val="1"/>
        </w:numPr>
        <w:jc w:val="both"/>
        <w:rPr>
          <w:rFonts w:ascii="Book Antiqua" w:hAnsi="Book Antiqua"/>
          <w:sz w:val="24"/>
          <w:szCs w:val="24"/>
        </w:rPr>
      </w:pPr>
      <w:r w:rsidRPr="00750F0A">
        <w:rPr>
          <w:rFonts w:ascii="Book Antiqua" w:hAnsi="Book Antiqua"/>
          <w:sz w:val="24"/>
          <w:szCs w:val="24"/>
        </w:rPr>
        <w:t>This requirement has been transferred into the Regulation</w:t>
      </w:r>
      <w:r w:rsidR="002D6BC2" w:rsidRPr="00750F0A">
        <w:rPr>
          <w:rFonts w:ascii="Book Antiqua" w:hAnsi="Book Antiqua"/>
          <w:sz w:val="24"/>
          <w:szCs w:val="24"/>
        </w:rPr>
        <w:t xml:space="preserve"> 8</w:t>
      </w:r>
      <w:r w:rsidR="00B7590E" w:rsidRPr="00750F0A">
        <w:rPr>
          <w:rFonts w:ascii="Book Antiqua" w:hAnsi="Book Antiqua"/>
          <w:sz w:val="24"/>
          <w:szCs w:val="24"/>
        </w:rPr>
        <w:t>(2)(a)</w:t>
      </w:r>
      <w:r w:rsidRPr="00750F0A">
        <w:rPr>
          <w:rFonts w:ascii="Book Antiqua" w:hAnsi="Book Antiqua"/>
          <w:sz w:val="24"/>
          <w:szCs w:val="24"/>
        </w:rPr>
        <w:t xml:space="preserve"> as </w:t>
      </w:r>
      <w:r w:rsidR="002D6BC2" w:rsidRPr="00750F0A">
        <w:rPr>
          <w:rFonts w:ascii="Book Antiqua" w:hAnsi="Book Antiqua"/>
          <w:sz w:val="24"/>
          <w:szCs w:val="24"/>
        </w:rPr>
        <w:t>“</w:t>
      </w:r>
      <w:r w:rsidR="002D6BC2" w:rsidRPr="00750F0A">
        <w:rPr>
          <w:rFonts w:ascii="Book Antiqua" w:hAnsi="Book Antiqua"/>
          <w:i/>
          <w:iCs/>
          <w:sz w:val="24"/>
          <w:szCs w:val="24"/>
        </w:rPr>
        <w:t>is dependent upon the EEA national or is a member of his household</w:t>
      </w:r>
      <w:r w:rsidR="002D6BC2" w:rsidRPr="00750F0A">
        <w:rPr>
          <w:rFonts w:ascii="Book Antiqua" w:hAnsi="Book Antiqua"/>
          <w:sz w:val="24"/>
          <w:szCs w:val="24"/>
        </w:rPr>
        <w:t>.”</w:t>
      </w:r>
    </w:p>
    <w:p w14:paraId="0C5FA0F0" w14:textId="4E47E6A3" w:rsidR="00AD62CC" w:rsidRPr="00750F0A" w:rsidRDefault="00DC7378" w:rsidP="003D4C06">
      <w:pPr>
        <w:numPr>
          <w:ilvl w:val="0"/>
          <w:numId w:val="1"/>
        </w:numPr>
        <w:jc w:val="both"/>
        <w:rPr>
          <w:rFonts w:ascii="Book Antiqua" w:hAnsi="Book Antiqua"/>
          <w:sz w:val="24"/>
          <w:szCs w:val="24"/>
        </w:rPr>
      </w:pPr>
      <w:r w:rsidRPr="00750F0A">
        <w:rPr>
          <w:rFonts w:ascii="Book Antiqua" w:hAnsi="Book Antiqua"/>
          <w:sz w:val="24"/>
          <w:szCs w:val="24"/>
        </w:rPr>
        <w:t>The relevant chronology is that</w:t>
      </w:r>
      <w:r w:rsidR="00534658" w:rsidRPr="00750F0A">
        <w:rPr>
          <w:rFonts w:ascii="Book Antiqua" w:hAnsi="Book Antiqua"/>
          <w:sz w:val="24"/>
          <w:szCs w:val="24"/>
        </w:rPr>
        <w:t xml:space="preserve"> </w:t>
      </w:r>
      <w:r w:rsidR="00086309" w:rsidRPr="00750F0A">
        <w:rPr>
          <w:rFonts w:ascii="Book Antiqua" w:hAnsi="Book Antiqua"/>
          <w:sz w:val="24"/>
          <w:szCs w:val="24"/>
        </w:rPr>
        <w:t xml:space="preserve">prior to </w:t>
      </w:r>
      <w:r w:rsidR="00B02E77" w:rsidRPr="00750F0A">
        <w:rPr>
          <w:rFonts w:ascii="Book Antiqua" w:hAnsi="Book Antiqua"/>
          <w:sz w:val="24"/>
          <w:szCs w:val="24"/>
        </w:rPr>
        <w:t xml:space="preserve">the sponsor leaving for Spain in 1997, both the appellant and the sponsor were living in </w:t>
      </w:r>
      <w:r w:rsidR="00086309" w:rsidRPr="00750F0A">
        <w:rPr>
          <w:rFonts w:ascii="Book Antiqua" w:hAnsi="Book Antiqua"/>
          <w:sz w:val="24"/>
          <w:szCs w:val="24"/>
        </w:rPr>
        <w:t xml:space="preserve">the home of </w:t>
      </w:r>
      <w:r w:rsidR="00B02E77" w:rsidRPr="00750F0A">
        <w:rPr>
          <w:rFonts w:ascii="Book Antiqua" w:hAnsi="Book Antiqua"/>
          <w:sz w:val="24"/>
          <w:szCs w:val="24"/>
        </w:rPr>
        <w:t>their</w:t>
      </w:r>
      <w:r w:rsidR="00086309" w:rsidRPr="00750F0A">
        <w:rPr>
          <w:rFonts w:ascii="Book Antiqua" w:hAnsi="Book Antiqua"/>
          <w:sz w:val="24"/>
          <w:szCs w:val="24"/>
        </w:rPr>
        <w:t xml:space="preserve"> grandfather</w:t>
      </w:r>
      <w:r w:rsidR="00AA236B" w:rsidRPr="00750F0A">
        <w:rPr>
          <w:rFonts w:ascii="Book Antiqua" w:hAnsi="Book Antiqua"/>
          <w:sz w:val="24"/>
          <w:szCs w:val="24"/>
        </w:rPr>
        <w:t>. The appellant was living with her parents and the sponsor with his</w:t>
      </w:r>
      <w:r w:rsidR="008A5857" w:rsidRPr="00750F0A">
        <w:rPr>
          <w:rFonts w:ascii="Book Antiqua" w:hAnsi="Book Antiqua"/>
          <w:sz w:val="24"/>
          <w:szCs w:val="24"/>
        </w:rPr>
        <w:t xml:space="preserve"> father, the appellant’s grandfather</w:t>
      </w:r>
      <w:r w:rsidR="00AA236B" w:rsidRPr="00750F0A">
        <w:rPr>
          <w:rFonts w:ascii="Book Antiqua" w:hAnsi="Book Antiqua"/>
          <w:sz w:val="24"/>
          <w:szCs w:val="24"/>
        </w:rPr>
        <w:t xml:space="preserve">. The grandfather died </w:t>
      </w:r>
      <w:r w:rsidR="000B72B3" w:rsidRPr="00750F0A">
        <w:rPr>
          <w:rFonts w:ascii="Book Antiqua" w:hAnsi="Book Antiqua"/>
          <w:sz w:val="24"/>
          <w:szCs w:val="24"/>
        </w:rPr>
        <w:t xml:space="preserve">two months after the appellant arrived in the UK in 2012. </w:t>
      </w:r>
      <w:r w:rsidR="00086309" w:rsidRPr="00750F0A">
        <w:rPr>
          <w:rFonts w:ascii="Book Antiqua" w:hAnsi="Book Antiqua"/>
          <w:sz w:val="24"/>
          <w:szCs w:val="24"/>
        </w:rPr>
        <w:t xml:space="preserve"> </w:t>
      </w:r>
      <w:r w:rsidR="00E17CCB" w:rsidRPr="00750F0A">
        <w:rPr>
          <w:rFonts w:ascii="Book Antiqua" w:hAnsi="Book Antiqua"/>
          <w:sz w:val="24"/>
          <w:szCs w:val="24"/>
        </w:rPr>
        <w:t xml:space="preserve">In his witness statement the sponsor describes it as his parents’ home, i.e. the home of the appellant’s grandparents. </w:t>
      </w:r>
      <w:r w:rsidR="00AD62CC" w:rsidRPr="00750F0A">
        <w:rPr>
          <w:rFonts w:ascii="Book Antiqua" w:hAnsi="Book Antiqua"/>
          <w:sz w:val="24"/>
          <w:szCs w:val="24"/>
        </w:rPr>
        <w:t>As worded, t</w:t>
      </w:r>
      <w:r w:rsidR="00011520" w:rsidRPr="00750F0A">
        <w:rPr>
          <w:rFonts w:ascii="Book Antiqua" w:hAnsi="Book Antiqua"/>
          <w:sz w:val="24"/>
          <w:szCs w:val="24"/>
        </w:rPr>
        <w:t>he</w:t>
      </w:r>
      <w:r w:rsidR="00FB6F39" w:rsidRPr="00750F0A">
        <w:rPr>
          <w:rFonts w:ascii="Book Antiqua" w:hAnsi="Book Antiqua"/>
          <w:sz w:val="24"/>
          <w:szCs w:val="24"/>
        </w:rPr>
        <w:t xml:space="preserve"> </w:t>
      </w:r>
      <w:r w:rsidR="00011520" w:rsidRPr="00750F0A">
        <w:rPr>
          <w:rFonts w:ascii="Book Antiqua" w:hAnsi="Book Antiqua"/>
          <w:sz w:val="24"/>
          <w:szCs w:val="24"/>
        </w:rPr>
        <w:t xml:space="preserve">requirement </w:t>
      </w:r>
      <w:r w:rsidR="00E17CCB" w:rsidRPr="00750F0A">
        <w:rPr>
          <w:rFonts w:ascii="Book Antiqua" w:hAnsi="Book Antiqua"/>
          <w:sz w:val="24"/>
          <w:szCs w:val="24"/>
        </w:rPr>
        <w:t xml:space="preserve">of Regulation 8(2) </w:t>
      </w:r>
      <w:r w:rsidR="00011520" w:rsidRPr="00750F0A">
        <w:rPr>
          <w:rFonts w:ascii="Book Antiqua" w:hAnsi="Book Antiqua"/>
          <w:sz w:val="24"/>
          <w:szCs w:val="24"/>
        </w:rPr>
        <w:t xml:space="preserve">is that the appellant be a member of the sponsor’s household, not that they were merely </w:t>
      </w:r>
      <w:r w:rsidR="00901D16" w:rsidRPr="00750F0A">
        <w:rPr>
          <w:rFonts w:ascii="Book Antiqua" w:hAnsi="Book Antiqua"/>
          <w:sz w:val="24"/>
          <w:szCs w:val="24"/>
        </w:rPr>
        <w:t xml:space="preserve">members of the </w:t>
      </w:r>
      <w:r w:rsidR="00011520" w:rsidRPr="00750F0A">
        <w:rPr>
          <w:rFonts w:ascii="Book Antiqua" w:hAnsi="Book Antiqua"/>
          <w:sz w:val="24"/>
          <w:szCs w:val="24"/>
        </w:rPr>
        <w:t>same household</w:t>
      </w:r>
      <w:r w:rsidR="002242DE" w:rsidRPr="00750F0A">
        <w:rPr>
          <w:rFonts w:ascii="Book Antiqua" w:hAnsi="Book Antiqua"/>
          <w:sz w:val="24"/>
          <w:szCs w:val="24"/>
        </w:rPr>
        <w:t>, as t</w:t>
      </w:r>
      <w:r w:rsidR="00965C4E" w:rsidRPr="00750F0A">
        <w:rPr>
          <w:rFonts w:ascii="Book Antiqua" w:hAnsi="Book Antiqua"/>
          <w:sz w:val="24"/>
          <w:szCs w:val="24"/>
        </w:rPr>
        <w:t xml:space="preserve">he words used in the regulation are “his household.” </w:t>
      </w:r>
      <w:r w:rsidR="00AD62CC" w:rsidRPr="00750F0A">
        <w:rPr>
          <w:rFonts w:ascii="Book Antiqua" w:hAnsi="Book Antiqua"/>
          <w:sz w:val="24"/>
          <w:szCs w:val="24"/>
        </w:rPr>
        <w:t xml:space="preserve">However, </w:t>
      </w:r>
      <w:r w:rsidR="00965C4E" w:rsidRPr="00750F0A">
        <w:rPr>
          <w:rFonts w:ascii="Book Antiqua" w:hAnsi="Book Antiqua"/>
          <w:sz w:val="24"/>
          <w:szCs w:val="24"/>
        </w:rPr>
        <w:t>Mr Malik submi</w:t>
      </w:r>
      <w:r w:rsidR="00C00397" w:rsidRPr="00750F0A">
        <w:rPr>
          <w:rFonts w:ascii="Book Antiqua" w:hAnsi="Book Antiqua"/>
          <w:sz w:val="24"/>
          <w:szCs w:val="24"/>
        </w:rPr>
        <w:t>tted</w:t>
      </w:r>
      <w:r w:rsidR="00965C4E" w:rsidRPr="00750F0A">
        <w:rPr>
          <w:rFonts w:ascii="Book Antiqua" w:hAnsi="Book Antiqua"/>
          <w:sz w:val="24"/>
          <w:szCs w:val="24"/>
        </w:rPr>
        <w:t xml:space="preserve"> that being in the same household as each other </w:t>
      </w:r>
      <w:r w:rsidR="00C00397" w:rsidRPr="00750F0A">
        <w:rPr>
          <w:rFonts w:ascii="Book Antiqua" w:hAnsi="Book Antiqua"/>
          <w:sz w:val="24"/>
          <w:szCs w:val="24"/>
        </w:rPr>
        <w:t>was</w:t>
      </w:r>
      <w:r w:rsidR="00965C4E" w:rsidRPr="00750F0A">
        <w:rPr>
          <w:rFonts w:ascii="Book Antiqua" w:hAnsi="Book Antiqua"/>
          <w:sz w:val="24"/>
          <w:szCs w:val="24"/>
        </w:rPr>
        <w:t xml:space="preserve"> </w:t>
      </w:r>
      <w:proofErr w:type="gramStart"/>
      <w:r w:rsidR="00965C4E" w:rsidRPr="00750F0A">
        <w:rPr>
          <w:rFonts w:ascii="Book Antiqua" w:hAnsi="Book Antiqua"/>
          <w:sz w:val="24"/>
          <w:szCs w:val="24"/>
        </w:rPr>
        <w:t>sufficient</w:t>
      </w:r>
      <w:proofErr w:type="gramEnd"/>
      <w:r w:rsidR="00965C4E" w:rsidRPr="00750F0A">
        <w:rPr>
          <w:rFonts w:ascii="Book Antiqua" w:hAnsi="Book Antiqua"/>
          <w:sz w:val="24"/>
          <w:szCs w:val="24"/>
        </w:rPr>
        <w:t xml:space="preserve">. </w:t>
      </w:r>
    </w:p>
    <w:p w14:paraId="1AB86B6C" w14:textId="3610D84A" w:rsidR="00C81B31" w:rsidRPr="00750F0A" w:rsidRDefault="00BF233A" w:rsidP="003D4C06">
      <w:pPr>
        <w:numPr>
          <w:ilvl w:val="0"/>
          <w:numId w:val="1"/>
        </w:numPr>
        <w:jc w:val="both"/>
        <w:rPr>
          <w:rFonts w:ascii="Book Antiqua" w:hAnsi="Book Antiqua"/>
          <w:sz w:val="24"/>
          <w:szCs w:val="24"/>
        </w:rPr>
      </w:pPr>
      <w:r w:rsidRPr="00750F0A">
        <w:rPr>
          <w:rFonts w:ascii="Book Antiqua" w:hAnsi="Book Antiqua"/>
          <w:sz w:val="24"/>
          <w:szCs w:val="24"/>
        </w:rPr>
        <w:t>I bear in mind that t</w:t>
      </w:r>
      <w:r w:rsidR="00965C4E" w:rsidRPr="00750F0A">
        <w:rPr>
          <w:rFonts w:ascii="Book Antiqua" w:hAnsi="Book Antiqua"/>
          <w:sz w:val="24"/>
          <w:szCs w:val="24"/>
        </w:rPr>
        <w:t xml:space="preserve">he purpose of the Regulations in applying EU law </w:t>
      </w:r>
      <w:r w:rsidR="00882A06" w:rsidRPr="00750F0A">
        <w:rPr>
          <w:rFonts w:ascii="Book Antiqua" w:hAnsi="Book Antiqua"/>
          <w:sz w:val="24"/>
          <w:szCs w:val="24"/>
        </w:rPr>
        <w:t>appears intended to</w:t>
      </w:r>
      <w:r w:rsidR="00965C4E" w:rsidRPr="00750F0A">
        <w:rPr>
          <w:rFonts w:ascii="Book Antiqua" w:hAnsi="Book Antiqua"/>
          <w:sz w:val="24"/>
          <w:szCs w:val="24"/>
        </w:rPr>
        <w:t xml:space="preserve"> </w:t>
      </w:r>
      <w:r w:rsidR="00882A06" w:rsidRPr="00750F0A">
        <w:rPr>
          <w:rFonts w:ascii="Book Antiqua" w:hAnsi="Book Antiqua"/>
          <w:sz w:val="24"/>
          <w:szCs w:val="24"/>
        </w:rPr>
        <w:t>facilitate the movement of</w:t>
      </w:r>
      <w:r w:rsidR="00965C4E" w:rsidRPr="00750F0A">
        <w:rPr>
          <w:rFonts w:ascii="Book Antiqua" w:hAnsi="Book Antiqua"/>
          <w:sz w:val="24"/>
          <w:szCs w:val="24"/>
        </w:rPr>
        <w:t xml:space="preserve"> those persons who were </w:t>
      </w:r>
      <w:r w:rsidR="002656C5" w:rsidRPr="00750F0A">
        <w:rPr>
          <w:rFonts w:ascii="Book Antiqua" w:hAnsi="Book Antiqua"/>
          <w:sz w:val="24"/>
          <w:szCs w:val="24"/>
        </w:rPr>
        <w:t xml:space="preserve">in a dependent </w:t>
      </w:r>
      <w:r w:rsidR="00E17CCB" w:rsidRPr="00750F0A">
        <w:rPr>
          <w:rFonts w:ascii="Book Antiqua" w:hAnsi="Book Antiqua"/>
          <w:sz w:val="24"/>
          <w:szCs w:val="24"/>
        </w:rPr>
        <w:t xml:space="preserve">or </w:t>
      </w:r>
      <w:r w:rsidR="00D65786" w:rsidRPr="00750F0A">
        <w:rPr>
          <w:rFonts w:ascii="Book Antiqua" w:hAnsi="Book Antiqua"/>
          <w:sz w:val="24"/>
          <w:szCs w:val="24"/>
        </w:rPr>
        <w:t xml:space="preserve">close family </w:t>
      </w:r>
      <w:r w:rsidR="002656C5" w:rsidRPr="00750F0A">
        <w:rPr>
          <w:rFonts w:ascii="Book Antiqua" w:hAnsi="Book Antiqua"/>
          <w:sz w:val="24"/>
          <w:szCs w:val="24"/>
        </w:rPr>
        <w:t>relationship</w:t>
      </w:r>
      <w:r w:rsidR="00ED5C49" w:rsidRPr="00750F0A">
        <w:rPr>
          <w:rFonts w:ascii="Book Antiqua" w:hAnsi="Book Antiqua"/>
          <w:sz w:val="24"/>
          <w:szCs w:val="24"/>
        </w:rPr>
        <w:t xml:space="preserve"> to the sponsor</w:t>
      </w:r>
      <w:r w:rsidR="00882A06" w:rsidRPr="00750F0A">
        <w:rPr>
          <w:rFonts w:ascii="Book Antiqua" w:hAnsi="Book Antiqua"/>
          <w:sz w:val="24"/>
          <w:szCs w:val="24"/>
        </w:rPr>
        <w:t xml:space="preserve"> prior to coming to the UK</w:t>
      </w:r>
      <w:r w:rsidR="002656C5" w:rsidRPr="00750F0A">
        <w:rPr>
          <w:rFonts w:ascii="Book Antiqua" w:hAnsi="Book Antiqua"/>
          <w:sz w:val="24"/>
          <w:szCs w:val="24"/>
        </w:rPr>
        <w:t xml:space="preserve">. </w:t>
      </w:r>
      <w:r w:rsidR="00FB6F39" w:rsidRPr="00750F0A">
        <w:rPr>
          <w:rFonts w:ascii="Book Antiqua" w:hAnsi="Book Antiqua"/>
          <w:sz w:val="24"/>
          <w:szCs w:val="24"/>
        </w:rPr>
        <w:t xml:space="preserve">It appears to me that </w:t>
      </w:r>
      <w:r w:rsidR="00D56848" w:rsidRPr="00750F0A">
        <w:rPr>
          <w:rFonts w:ascii="Book Antiqua" w:hAnsi="Book Antiqua"/>
          <w:sz w:val="24"/>
          <w:szCs w:val="24"/>
        </w:rPr>
        <w:t>the appellant</w:t>
      </w:r>
      <w:r w:rsidR="00306C92" w:rsidRPr="00750F0A">
        <w:rPr>
          <w:rFonts w:ascii="Book Antiqua" w:hAnsi="Book Antiqua"/>
          <w:sz w:val="24"/>
          <w:szCs w:val="24"/>
        </w:rPr>
        <w:t xml:space="preserve"> was </w:t>
      </w:r>
      <w:r w:rsidR="0077352F" w:rsidRPr="00750F0A">
        <w:rPr>
          <w:rFonts w:ascii="Book Antiqua" w:hAnsi="Book Antiqua"/>
          <w:sz w:val="24"/>
          <w:szCs w:val="24"/>
        </w:rPr>
        <w:t xml:space="preserve">either </w:t>
      </w:r>
      <w:r w:rsidR="00306C92" w:rsidRPr="00750F0A">
        <w:rPr>
          <w:rFonts w:ascii="Book Antiqua" w:hAnsi="Book Antiqua"/>
          <w:sz w:val="24"/>
          <w:szCs w:val="24"/>
        </w:rPr>
        <w:t>a member of either her grandfather’s</w:t>
      </w:r>
      <w:r w:rsidR="0077352F" w:rsidRPr="00750F0A">
        <w:rPr>
          <w:rFonts w:ascii="Book Antiqua" w:hAnsi="Book Antiqua"/>
          <w:sz w:val="24"/>
          <w:szCs w:val="24"/>
        </w:rPr>
        <w:t xml:space="preserve"> or grandparents’</w:t>
      </w:r>
      <w:r w:rsidR="00306C92" w:rsidRPr="00750F0A">
        <w:rPr>
          <w:rFonts w:ascii="Book Antiqua" w:hAnsi="Book Antiqua"/>
          <w:sz w:val="24"/>
          <w:szCs w:val="24"/>
        </w:rPr>
        <w:t xml:space="preserve"> household, or that of her own parents. </w:t>
      </w:r>
      <w:r w:rsidR="00FB6F39" w:rsidRPr="00750F0A">
        <w:rPr>
          <w:rFonts w:ascii="Book Antiqua" w:hAnsi="Book Antiqua"/>
          <w:sz w:val="24"/>
          <w:szCs w:val="24"/>
        </w:rPr>
        <w:t xml:space="preserve">Whether she </w:t>
      </w:r>
      <w:r w:rsidR="00F831C5" w:rsidRPr="00750F0A">
        <w:rPr>
          <w:rFonts w:ascii="Book Antiqua" w:hAnsi="Book Antiqua"/>
          <w:sz w:val="24"/>
          <w:szCs w:val="24"/>
        </w:rPr>
        <w:t xml:space="preserve">could be </w:t>
      </w:r>
      <w:r w:rsidR="00FB6F39" w:rsidRPr="00750F0A">
        <w:rPr>
          <w:rFonts w:ascii="Book Antiqua" w:hAnsi="Book Antiqua"/>
          <w:sz w:val="24"/>
          <w:szCs w:val="24"/>
        </w:rPr>
        <w:t>a member of the sponsor’s household</w:t>
      </w:r>
      <w:r w:rsidR="00B25891" w:rsidRPr="00750F0A">
        <w:rPr>
          <w:rFonts w:ascii="Book Antiqua" w:hAnsi="Book Antiqua"/>
          <w:sz w:val="24"/>
          <w:szCs w:val="24"/>
        </w:rPr>
        <w:t xml:space="preserve"> at any time depends on the</w:t>
      </w:r>
      <w:r w:rsidR="004A4211" w:rsidRPr="00750F0A">
        <w:rPr>
          <w:rFonts w:ascii="Book Antiqua" w:hAnsi="Book Antiqua"/>
          <w:sz w:val="24"/>
          <w:szCs w:val="24"/>
        </w:rPr>
        <w:t xml:space="preserve"> construction of </w:t>
      </w:r>
      <w:r w:rsidR="00B25891" w:rsidRPr="00750F0A">
        <w:rPr>
          <w:rFonts w:ascii="Book Antiqua" w:hAnsi="Book Antiqua"/>
          <w:sz w:val="24"/>
          <w:szCs w:val="24"/>
        </w:rPr>
        <w:t xml:space="preserve">the phrase </w:t>
      </w:r>
      <w:r w:rsidR="004A4211" w:rsidRPr="00750F0A">
        <w:rPr>
          <w:rFonts w:ascii="Book Antiqua" w:hAnsi="Book Antiqua"/>
          <w:sz w:val="24"/>
          <w:szCs w:val="24"/>
        </w:rPr>
        <w:t xml:space="preserve">“a member of </w:t>
      </w:r>
      <w:r w:rsidR="004A4211" w:rsidRPr="00750F0A">
        <w:rPr>
          <w:rFonts w:ascii="Book Antiqua" w:hAnsi="Book Antiqua"/>
          <w:i/>
          <w:iCs/>
          <w:sz w:val="24"/>
          <w:szCs w:val="24"/>
        </w:rPr>
        <w:t>his</w:t>
      </w:r>
      <w:r w:rsidR="004A4211" w:rsidRPr="00750F0A">
        <w:rPr>
          <w:rFonts w:ascii="Book Antiqua" w:hAnsi="Book Antiqua"/>
          <w:sz w:val="24"/>
          <w:szCs w:val="24"/>
        </w:rPr>
        <w:t xml:space="preserve"> household”. </w:t>
      </w:r>
      <w:r w:rsidR="00D56848" w:rsidRPr="00750F0A">
        <w:rPr>
          <w:rFonts w:ascii="Book Antiqua" w:hAnsi="Book Antiqua"/>
          <w:sz w:val="24"/>
          <w:szCs w:val="24"/>
        </w:rPr>
        <w:t xml:space="preserve">The judge reached a similar view, based on who was the </w:t>
      </w:r>
      <w:r w:rsidR="00B721A4" w:rsidRPr="00750F0A">
        <w:rPr>
          <w:rFonts w:ascii="Book Antiqua" w:hAnsi="Book Antiqua"/>
          <w:sz w:val="24"/>
          <w:szCs w:val="24"/>
        </w:rPr>
        <w:t xml:space="preserve">‘head’ of the household. </w:t>
      </w:r>
    </w:p>
    <w:p w14:paraId="37D6CCB9" w14:textId="77777777" w:rsidR="000F1175" w:rsidRPr="00750F0A" w:rsidRDefault="00C81B31" w:rsidP="003D4C06">
      <w:pPr>
        <w:numPr>
          <w:ilvl w:val="0"/>
          <w:numId w:val="1"/>
        </w:numPr>
        <w:jc w:val="both"/>
        <w:rPr>
          <w:rFonts w:ascii="Book Antiqua" w:hAnsi="Book Antiqua"/>
          <w:sz w:val="24"/>
          <w:szCs w:val="24"/>
        </w:rPr>
      </w:pPr>
      <w:r w:rsidRPr="00750F0A">
        <w:rPr>
          <w:rFonts w:ascii="Book Antiqua" w:hAnsi="Book Antiqua"/>
          <w:sz w:val="24"/>
          <w:szCs w:val="24"/>
        </w:rPr>
        <w:t>However, w</w:t>
      </w:r>
      <w:r w:rsidR="00A32A09" w:rsidRPr="00750F0A">
        <w:rPr>
          <w:rFonts w:ascii="Book Antiqua" w:hAnsi="Book Antiqua"/>
          <w:sz w:val="24"/>
          <w:szCs w:val="24"/>
        </w:rPr>
        <w:t xml:space="preserve">hether or not </w:t>
      </w:r>
      <w:r w:rsidR="00B721A4" w:rsidRPr="00750F0A">
        <w:rPr>
          <w:rFonts w:ascii="Book Antiqua" w:hAnsi="Book Antiqua"/>
          <w:sz w:val="24"/>
          <w:szCs w:val="24"/>
        </w:rPr>
        <w:t>either</w:t>
      </w:r>
      <w:r w:rsidR="00A32A09" w:rsidRPr="00750F0A">
        <w:rPr>
          <w:rFonts w:ascii="Book Antiqua" w:hAnsi="Book Antiqua"/>
          <w:sz w:val="24"/>
          <w:szCs w:val="24"/>
        </w:rPr>
        <w:t xml:space="preserve"> </w:t>
      </w:r>
      <w:r w:rsidR="00B721A4" w:rsidRPr="00750F0A">
        <w:rPr>
          <w:rFonts w:ascii="Book Antiqua" w:hAnsi="Book Antiqua"/>
          <w:sz w:val="24"/>
          <w:szCs w:val="24"/>
        </w:rPr>
        <w:t xml:space="preserve">of these </w:t>
      </w:r>
      <w:r w:rsidR="00A32A09" w:rsidRPr="00750F0A">
        <w:rPr>
          <w:rFonts w:ascii="Book Antiqua" w:hAnsi="Book Antiqua"/>
          <w:sz w:val="24"/>
          <w:szCs w:val="24"/>
        </w:rPr>
        <w:t>interpretation</w:t>
      </w:r>
      <w:r w:rsidR="00B721A4" w:rsidRPr="00750F0A">
        <w:rPr>
          <w:rFonts w:ascii="Book Antiqua" w:hAnsi="Book Antiqua"/>
          <w:sz w:val="24"/>
          <w:szCs w:val="24"/>
        </w:rPr>
        <w:t>s</w:t>
      </w:r>
      <w:r w:rsidR="00A32A09" w:rsidRPr="00750F0A">
        <w:rPr>
          <w:rFonts w:ascii="Book Antiqua" w:hAnsi="Book Antiqua"/>
          <w:sz w:val="24"/>
          <w:szCs w:val="24"/>
        </w:rPr>
        <w:t xml:space="preserve"> of the Regulations is correct, </w:t>
      </w:r>
      <w:r w:rsidR="00B721A4" w:rsidRPr="00750F0A">
        <w:rPr>
          <w:rFonts w:ascii="Book Antiqua" w:hAnsi="Book Antiqua"/>
          <w:sz w:val="24"/>
          <w:szCs w:val="24"/>
        </w:rPr>
        <w:t xml:space="preserve">in her submissions </w:t>
      </w:r>
      <w:r w:rsidR="008651BA" w:rsidRPr="00750F0A">
        <w:rPr>
          <w:rFonts w:ascii="Book Antiqua" w:hAnsi="Book Antiqua"/>
          <w:sz w:val="24"/>
          <w:szCs w:val="24"/>
        </w:rPr>
        <w:t xml:space="preserve">Ms Pettersen </w:t>
      </w:r>
      <w:r w:rsidR="00B721A4" w:rsidRPr="00750F0A">
        <w:rPr>
          <w:rFonts w:ascii="Book Antiqua" w:hAnsi="Book Antiqua"/>
          <w:sz w:val="24"/>
          <w:szCs w:val="24"/>
        </w:rPr>
        <w:t>pointed</w:t>
      </w:r>
      <w:r w:rsidR="008651BA" w:rsidRPr="00750F0A">
        <w:rPr>
          <w:rFonts w:ascii="Book Antiqua" w:hAnsi="Book Antiqua"/>
          <w:sz w:val="24"/>
          <w:szCs w:val="24"/>
        </w:rPr>
        <w:t xml:space="preserve"> </w:t>
      </w:r>
      <w:r w:rsidR="008D75B8" w:rsidRPr="00750F0A">
        <w:rPr>
          <w:rFonts w:ascii="Book Antiqua" w:hAnsi="Book Antiqua"/>
          <w:sz w:val="24"/>
          <w:szCs w:val="24"/>
        </w:rPr>
        <w:t>that</w:t>
      </w:r>
      <w:r w:rsidR="008651BA" w:rsidRPr="00750F0A">
        <w:rPr>
          <w:rFonts w:ascii="Book Antiqua" w:hAnsi="Book Antiqua"/>
          <w:sz w:val="24"/>
          <w:szCs w:val="24"/>
        </w:rPr>
        <w:t xml:space="preserve"> as the sponsor left the joint family household in 1997 to work in Spain, at which time the appellant was around 8-9 years of age</w:t>
      </w:r>
      <w:r w:rsidR="00173B5B" w:rsidRPr="00750F0A">
        <w:rPr>
          <w:rFonts w:ascii="Book Antiqua" w:hAnsi="Book Antiqua"/>
          <w:sz w:val="24"/>
          <w:szCs w:val="24"/>
        </w:rPr>
        <w:t xml:space="preserve"> and living with her own parents and other family members in a property owned by her grandfather</w:t>
      </w:r>
      <w:r w:rsidR="00A32A09" w:rsidRPr="00750F0A">
        <w:rPr>
          <w:rFonts w:ascii="Book Antiqua" w:hAnsi="Book Antiqua"/>
          <w:sz w:val="24"/>
          <w:szCs w:val="24"/>
        </w:rPr>
        <w:t xml:space="preserve">, the appellant could not </w:t>
      </w:r>
      <w:r w:rsidR="00164A82" w:rsidRPr="00750F0A">
        <w:rPr>
          <w:rFonts w:ascii="Book Antiqua" w:hAnsi="Book Antiqua"/>
          <w:sz w:val="24"/>
          <w:szCs w:val="24"/>
        </w:rPr>
        <w:t xml:space="preserve">properly </w:t>
      </w:r>
      <w:r w:rsidR="00A32A09" w:rsidRPr="00750F0A">
        <w:rPr>
          <w:rFonts w:ascii="Book Antiqua" w:hAnsi="Book Antiqua"/>
          <w:sz w:val="24"/>
          <w:szCs w:val="24"/>
        </w:rPr>
        <w:t xml:space="preserve">be described in the period between 1997 and </w:t>
      </w:r>
      <w:r w:rsidR="007506DB" w:rsidRPr="00750F0A">
        <w:rPr>
          <w:rFonts w:ascii="Book Antiqua" w:hAnsi="Book Antiqua"/>
          <w:sz w:val="24"/>
          <w:szCs w:val="24"/>
        </w:rPr>
        <w:t xml:space="preserve">when she left for the UK as a student in 2012 as a member of the sponsor’s household. </w:t>
      </w:r>
    </w:p>
    <w:p w14:paraId="0EC336BE" w14:textId="292F0B18" w:rsidR="00B25891" w:rsidRPr="00750F0A" w:rsidRDefault="00D67573" w:rsidP="003D4C06">
      <w:pPr>
        <w:numPr>
          <w:ilvl w:val="0"/>
          <w:numId w:val="1"/>
        </w:numPr>
        <w:jc w:val="both"/>
        <w:rPr>
          <w:rFonts w:ascii="Book Antiqua" w:hAnsi="Book Antiqua"/>
          <w:sz w:val="24"/>
          <w:szCs w:val="24"/>
        </w:rPr>
      </w:pPr>
      <w:r w:rsidRPr="00750F0A">
        <w:rPr>
          <w:rFonts w:ascii="Book Antiqua" w:hAnsi="Book Antiqua"/>
          <w:sz w:val="24"/>
          <w:szCs w:val="24"/>
        </w:rPr>
        <w:t xml:space="preserve">I accept that following </w:t>
      </w:r>
      <w:r w:rsidR="007A399B" w:rsidRPr="00750F0A">
        <w:rPr>
          <w:rFonts w:ascii="Book Antiqua" w:hAnsi="Book Antiqua"/>
          <w:sz w:val="24"/>
          <w:szCs w:val="24"/>
        </w:rPr>
        <w:t xml:space="preserve">the ruling of the CJEU in </w:t>
      </w:r>
      <w:r w:rsidR="007A399B" w:rsidRPr="00750F0A">
        <w:rPr>
          <w:rFonts w:ascii="Book Antiqua" w:hAnsi="Book Antiqua"/>
          <w:sz w:val="24"/>
          <w:szCs w:val="24"/>
          <w:u w:val="single"/>
        </w:rPr>
        <w:t>Rahman</w:t>
      </w:r>
      <w:r w:rsidR="007A399B" w:rsidRPr="00750F0A">
        <w:rPr>
          <w:rFonts w:ascii="Book Antiqua" w:hAnsi="Book Antiqua"/>
          <w:sz w:val="24"/>
          <w:szCs w:val="24"/>
        </w:rPr>
        <w:t xml:space="preserve">, </w:t>
      </w:r>
      <w:r w:rsidRPr="00750F0A">
        <w:rPr>
          <w:rFonts w:ascii="Book Antiqua" w:hAnsi="Book Antiqua"/>
          <w:sz w:val="24"/>
          <w:szCs w:val="24"/>
        </w:rPr>
        <w:t>it is not necessary in the dependency consideration</w:t>
      </w:r>
      <w:r w:rsidR="00570CAA" w:rsidRPr="00750F0A">
        <w:rPr>
          <w:rFonts w:ascii="Book Antiqua" w:hAnsi="Book Antiqua"/>
          <w:sz w:val="24"/>
          <w:szCs w:val="24"/>
        </w:rPr>
        <w:t xml:space="preserve"> for the EFM to live in the same country as the EEA national. </w:t>
      </w:r>
      <w:r w:rsidR="005F37E3" w:rsidRPr="00750F0A">
        <w:rPr>
          <w:rFonts w:ascii="Book Antiqua" w:hAnsi="Book Antiqua"/>
          <w:sz w:val="24"/>
          <w:szCs w:val="24"/>
        </w:rPr>
        <w:t xml:space="preserve">This is confirmed in the Home Office guidance on Extended Family Members v7.0 of 27.3.19. </w:t>
      </w:r>
      <w:r w:rsidR="00570CAA" w:rsidRPr="00750F0A">
        <w:rPr>
          <w:rFonts w:ascii="Book Antiqua" w:hAnsi="Book Antiqua"/>
          <w:sz w:val="24"/>
          <w:szCs w:val="24"/>
        </w:rPr>
        <w:t xml:space="preserve">However, </w:t>
      </w:r>
      <w:r w:rsidR="000F1175" w:rsidRPr="00750F0A">
        <w:rPr>
          <w:rFonts w:ascii="Book Antiqua" w:hAnsi="Book Antiqua"/>
          <w:sz w:val="24"/>
          <w:szCs w:val="24"/>
        </w:rPr>
        <w:t xml:space="preserve">the decision </w:t>
      </w:r>
      <w:r w:rsidR="005F59F2" w:rsidRPr="00750F0A">
        <w:rPr>
          <w:rFonts w:ascii="Book Antiqua" w:hAnsi="Book Antiqua"/>
          <w:sz w:val="24"/>
          <w:szCs w:val="24"/>
        </w:rPr>
        <w:t>did</w:t>
      </w:r>
      <w:r w:rsidR="000F1175" w:rsidRPr="00750F0A">
        <w:rPr>
          <w:rFonts w:ascii="Book Antiqua" w:hAnsi="Book Antiqua"/>
          <w:sz w:val="24"/>
          <w:szCs w:val="24"/>
        </w:rPr>
        <w:t xml:space="preserve"> not extend </w:t>
      </w:r>
      <w:r w:rsidR="005F59F2" w:rsidRPr="00750F0A">
        <w:rPr>
          <w:rFonts w:ascii="Book Antiqua" w:hAnsi="Book Antiqua"/>
          <w:sz w:val="24"/>
          <w:szCs w:val="24"/>
        </w:rPr>
        <w:t xml:space="preserve">that principle </w:t>
      </w:r>
      <w:r w:rsidR="000F1175" w:rsidRPr="00750F0A">
        <w:rPr>
          <w:rFonts w:ascii="Book Antiqua" w:hAnsi="Book Antiqua"/>
          <w:sz w:val="24"/>
          <w:szCs w:val="24"/>
        </w:rPr>
        <w:t xml:space="preserve">to </w:t>
      </w:r>
      <w:r w:rsidR="005F59F2" w:rsidRPr="00750F0A">
        <w:rPr>
          <w:rFonts w:ascii="Book Antiqua" w:hAnsi="Book Antiqua"/>
          <w:sz w:val="24"/>
          <w:szCs w:val="24"/>
        </w:rPr>
        <w:t xml:space="preserve">the issue of </w:t>
      </w:r>
      <w:r w:rsidR="000F1175" w:rsidRPr="00750F0A">
        <w:rPr>
          <w:rFonts w:ascii="Book Antiqua" w:hAnsi="Book Antiqua"/>
          <w:sz w:val="24"/>
          <w:szCs w:val="24"/>
        </w:rPr>
        <w:t>‘</w:t>
      </w:r>
      <w:r w:rsidR="005F59F2" w:rsidRPr="00750F0A">
        <w:rPr>
          <w:rFonts w:ascii="Book Antiqua" w:hAnsi="Book Antiqua"/>
          <w:sz w:val="24"/>
          <w:szCs w:val="24"/>
        </w:rPr>
        <w:t xml:space="preserve">membership of </w:t>
      </w:r>
      <w:r w:rsidR="000F1175" w:rsidRPr="00750F0A">
        <w:rPr>
          <w:rFonts w:ascii="Book Antiqua" w:hAnsi="Book Antiqua"/>
          <w:sz w:val="24"/>
          <w:szCs w:val="24"/>
        </w:rPr>
        <w:t xml:space="preserve">household’. </w:t>
      </w:r>
      <w:r w:rsidR="00CA2E1D" w:rsidRPr="00750F0A">
        <w:rPr>
          <w:rFonts w:ascii="Book Antiqua" w:hAnsi="Book Antiqua"/>
          <w:sz w:val="24"/>
          <w:szCs w:val="24"/>
        </w:rPr>
        <w:t xml:space="preserve">Even if membership of the same household is sufficient, </w:t>
      </w:r>
      <w:r w:rsidR="002B637F" w:rsidRPr="00750F0A">
        <w:rPr>
          <w:rFonts w:ascii="Book Antiqua" w:hAnsi="Book Antiqua"/>
          <w:sz w:val="24"/>
          <w:szCs w:val="24"/>
        </w:rPr>
        <w:t xml:space="preserve">as Mr Malik argued, </w:t>
      </w:r>
      <w:r w:rsidR="00CA2E1D" w:rsidRPr="00750F0A">
        <w:rPr>
          <w:rFonts w:ascii="Book Antiqua" w:hAnsi="Book Antiqua"/>
          <w:sz w:val="24"/>
          <w:szCs w:val="24"/>
        </w:rPr>
        <w:t>it is difficult to see how a</w:t>
      </w:r>
      <w:r w:rsidR="00130BA4" w:rsidRPr="00750F0A">
        <w:rPr>
          <w:rFonts w:ascii="Book Antiqua" w:hAnsi="Book Antiqua"/>
          <w:sz w:val="24"/>
          <w:szCs w:val="24"/>
        </w:rPr>
        <w:t>n</w:t>
      </w:r>
      <w:r w:rsidR="00CA2E1D" w:rsidRPr="00750F0A">
        <w:rPr>
          <w:rFonts w:ascii="Book Antiqua" w:hAnsi="Book Antiqua"/>
          <w:sz w:val="24"/>
          <w:szCs w:val="24"/>
        </w:rPr>
        <w:t xml:space="preserve"> </w:t>
      </w:r>
      <w:r w:rsidR="00130BA4" w:rsidRPr="00750F0A">
        <w:rPr>
          <w:rFonts w:ascii="Book Antiqua" w:hAnsi="Book Antiqua"/>
          <w:sz w:val="24"/>
          <w:szCs w:val="24"/>
        </w:rPr>
        <w:t>appellant</w:t>
      </w:r>
      <w:r w:rsidR="00CA2E1D" w:rsidRPr="00750F0A">
        <w:rPr>
          <w:rFonts w:ascii="Book Antiqua" w:hAnsi="Book Antiqua"/>
          <w:sz w:val="24"/>
          <w:szCs w:val="24"/>
        </w:rPr>
        <w:t xml:space="preserve"> can be</w:t>
      </w:r>
      <w:r w:rsidR="00130BA4" w:rsidRPr="00750F0A">
        <w:rPr>
          <w:rFonts w:ascii="Book Antiqua" w:hAnsi="Book Antiqua"/>
          <w:sz w:val="24"/>
          <w:szCs w:val="24"/>
        </w:rPr>
        <w:t xml:space="preserve"> a member of a sponsor’s household where that sponsor </w:t>
      </w:r>
      <w:r w:rsidR="002B637F" w:rsidRPr="00750F0A">
        <w:rPr>
          <w:rFonts w:ascii="Book Antiqua" w:hAnsi="Book Antiqua"/>
          <w:sz w:val="24"/>
          <w:szCs w:val="24"/>
        </w:rPr>
        <w:t>has lived</w:t>
      </w:r>
      <w:r w:rsidR="00130BA4" w:rsidRPr="00750F0A">
        <w:rPr>
          <w:rFonts w:ascii="Book Antiqua" w:hAnsi="Book Antiqua"/>
          <w:sz w:val="24"/>
          <w:szCs w:val="24"/>
        </w:rPr>
        <w:t xml:space="preserve"> in an entirely different household for years before the appellant leaves her country to come to the UK</w:t>
      </w:r>
      <w:r w:rsidR="001E36DB" w:rsidRPr="00750F0A">
        <w:rPr>
          <w:rFonts w:ascii="Book Antiqua" w:hAnsi="Book Antiqua"/>
          <w:sz w:val="24"/>
          <w:szCs w:val="24"/>
        </w:rPr>
        <w:t>, where</w:t>
      </w:r>
      <w:r w:rsidR="00DC493E" w:rsidRPr="00750F0A">
        <w:rPr>
          <w:rFonts w:ascii="Book Antiqua" w:hAnsi="Book Antiqua"/>
          <w:sz w:val="24"/>
          <w:szCs w:val="24"/>
        </w:rPr>
        <w:t>,</w:t>
      </w:r>
      <w:r w:rsidR="001E36DB" w:rsidRPr="00750F0A">
        <w:rPr>
          <w:rFonts w:ascii="Book Antiqua" w:hAnsi="Book Antiqua"/>
          <w:sz w:val="24"/>
          <w:szCs w:val="24"/>
        </w:rPr>
        <w:t xml:space="preserve"> even there, she was not part of his household for some three </w:t>
      </w:r>
      <w:r w:rsidR="00DC493E" w:rsidRPr="00750F0A">
        <w:rPr>
          <w:rFonts w:ascii="Book Antiqua" w:hAnsi="Book Antiqua"/>
          <w:sz w:val="24"/>
          <w:szCs w:val="24"/>
        </w:rPr>
        <w:t xml:space="preserve">further </w:t>
      </w:r>
      <w:r w:rsidR="001E36DB" w:rsidRPr="00750F0A">
        <w:rPr>
          <w:rFonts w:ascii="Book Antiqua" w:hAnsi="Book Antiqua"/>
          <w:sz w:val="24"/>
          <w:szCs w:val="24"/>
        </w:rPr>
        <w:t xml:space="preserve">years. I </w:t>
      </w:r>
      <w:r w:rsidR="006B0723" w:rsidRPr="00750F0A">
        <w:rPr>
          <w:rFonts w:ascii="Book Antiqua" w:hAnsi="Book Antiqua"/>
          <w:sz w:val="24"/>
          <w:szCs w:val="24"/>
        </w:rPr>
        <w:t xml:space="preserve">also </w:t>
      </w:r>
      <w:r w:rsidR="001E36DB" w:rsidRPr="00750F0A">
        <w:rPr>
          <w:rFonts w:ascii="Book Antiqua" w:hAnsi="Book Antiqua"/>
          <w:sz w:val="24"/>
          <w:szCs w:val="24"/>
        </w:rPr>
        <w:t>note that t</w:t>
      </w:r>
      <w:r w:rsidR="00570CAA" w:rsidRPr="00750F0A">
        <w:rPr>
          <w:rFonts w:ascii="Book Antiqua" w:hAnsi="Book Antiqua"/>
          <w:sz w:val="24"/>
          <w:szCs w:val="24"/>
        </w:rPr>
        <w:t xml:space="preserve">he </w:t>
      </w:r>
      <w:r w:rsidR="00A118F4" w:rsidRPr="00750F0A">
        <w:rPr>
          <w:rFonts w:ascii="Book Antiqua" w:hAnsi="Book Antiqua"/>
          <w:sz w:val="24"/>
          <w:szCs w:val="24"/>
        </w:rPr>
        <w:t>sponsor was not an EEA national when he left Pakistan in 1997</w:t>
      </w:r>
      <w:r w:rsidR="00DC493E" w:rsidRPr="00750F0A">
        <w:rPr>
          <w:rFonts w:ascii="Book Antiqua" w:hAnsi="Book Antiqua"/>
          <w:sz w:val="24"/>
          <w:szCs w:val="24"/>
        </w:rPr>
        <w:t>. I am satisfied that</w:t>
      </w:r>
      <w:r w:rsidR="00A118F4" w:rsidRPr="00750F0A">
        <w:rPr>
          <w:rFonts w:ascii="Book Antiqua" w:hAnsi="Book Antiqua"/>
          <w:sz w:val="24"/>
          <w:szCs w:val="24"/>
        </w:rPr>
        <w:t xml:space="preserve"> thereafter</w:t>
      </w:r>
      <w:r w:rsidR="006B0723" w:rsidRPr="00750F0A">
        <w:rPr>
          <w:rFonts w:ascii="Book Antiqua" w:hAnsi="Book Antiqua"/>
          <w:sz w:val="24"/>
          <w:szCs w:val="24"/>
        </w:rPr>
        <w:t>,</w:t>
      </w:r>
      <w:r w:rsidR="00A118F4" w:rsidRPr="00750F0A">
        <w:rPr>
          <w:rFonts w:ascii="Book Antiqua" w:hAnsi="Book Antiqua"/>
          <w:sz w:val="24"/>
          <w:szCs w:val="24"/>
        </w:rPr>
        <w:t xml:space="preserve"> </w:t>
      </w:r>
      <w:r w:rsidR="00DE5DEE" w:rsidRPr="00750F0A">
        <w:rPr>
          <w:rFonts w:ascii="Book Antiqua" w:hAnsi="Book Antiqua"/>
          <w:sz w:val="24"/>
          <w:szCs w:val="24"/>
        </w:rPr>
        <w:t>whilst remaining in Pakistan</w:t>
      </w:r>
      <w:r w:rsidR="006B0723" w:rsidRPr="00750F0A">
        <w:rPr>
          <w:rFonts w:ascii="Book Antiqua" w:hAnsi="Book Antiqua"/>
          <w:sz w:val="24"/>
          <w:szCs w:val="24"/>
        </w:rPr>
        <w:t>,</w:t>
      </w:r>
      <w:r w:rsidR="00DE5DEE" w:rsidRPr="00750F0A">
        <w:rPr>
          <w:rFonts w:ascii="Book Antiqua" w:hAnsi="Book Antiqua"/>
          <w:sz w:val="24"/>
          <w:szCs w:val="24"/>
        </w:rPr>
        <w:t xml:space="preserve"> </w:t>
      </w:r>
      <w:r w:rsidR="00A118F4" w:rsidRPr="00750F0A">
        <w:rPr>
          <w:rFonts w:ascii="Book Antiqua" w:hAnsi="Book Antiqua"/>
          <w:sz w:val="24"/>
          <w:szCs w:val="24"/>
        </w:rPr>
        <w:t xml:space="preserve">the appellant cannot have been a member of </w:t>
      </w:r>
      <w:r w:rsidR="007E74F0" w:rsidRPr="00750F0A">
        <w:rPr>
          <w:rFonts w:ascii="Book Antiqua" w:hAnsi="Book Antiqua"/>
          <w:sz w:val="24"/>
          <w:szCs w:val="24"/>
        </w:rPr>
        <w:t>the sponsor’s</w:t>
      </w:r>
      <w:r w:rsidR="00A118F4" w:rsidRPr="00750F0A">
        <w:rPr>
          <w:rFonts w:ascii="Book Antiqua" w:hAnsi="Book Antiqua"/>
          <w:sz w:val="24"/>
          <w:szCs w:val="24"/>
        </w:rPr>
        <w:t xml:space="preserve"> household</w:t>
      </w:r>
      <w:r w:rsidR="00435E6B" w:rsidRPr="00750F0A">
        <w:rPr>
          <w:rFonts w:ascii="Book Antiqua" w:hAnsi="Book Antiqua"/>
          <w:sz w:val="24"/>
          <w:szCs w:val="24"/>
        </w:rPr>
        <w:t>, in any sense of that word. He was living and working in Spain and did not return to live in Pakistan</w:t>
      </w:r>
      <w:r w:rsidR="007E74F0" w:rsidRPr="00750F0A">
        <w:rPr>
          <w:rFonts w:ascii="Book Antiqua" w:hAnsi="Book Antiqua"/>
          <w:sz w:val="24"/>
          <w:szCs w:val="24"/>
        </w:rPr>
        <w:t>, except on vacation</w:t>
      </w:r>
      <w:r w:rsidR="00435E6B" w:rsidRPr="00750F0A">
        <w:rPr>
          <w:rFonts w:ascii="Book Antiqua" w:hAnsi="Book Antiqua"/>
          <w:sz w:val="24"/>
          <w:szCs w:val="24"/>
        </w:rPr>
        <w:t xml:space="preserve">. Meanwhile, the appellant herself left for the UK in </w:t>
      </w:r>
      <w:r w:rsidR="00435E6B" w:rsidRPr="00750F0A">
        <w:rPr>
          <w:rFonts w:ascii="Book Antiqua" w:hAnsi="Book Antiqua"/>
          <w:sz w:val="24"/>
          <w:szCs w:val="24"/>
        </w:rPr>
        <w:lastRenderedPageBreak/>
        <w:t>2012</w:t>
      </w:r>
      <w:r w:rsidR="00127BEF" w:rsidRPr="00750F0A">
        <w:rPr>
          <w:rFonts w:ascii="Book Antiqua" w:hAnsi="Book Antiqua"/>
          <w:sz w:val="24"/>
          <w:szCs w:val="24"/>
        </w:rPr>
        <w:t xml:space="preserve">. </w:t>
      </w:r>
      <w:r w:rsidR="00414029" w:rsidRPr="00750F0A">
        <w:rPr>
          <w:rFonts w:ascii="Book Antiqua" w:hAnsi="Book Antiqua"/>
          <w:sz w:val="24"/>
          <w:szCs w:val="24"/>
        </w:rPr>
        <w:t xml:space="preserve">Even if Mr Malik’s interpretation of household is correct, it cannot be the case that the appellant remained a member of his household once he had settled in Spain. </w:t>
      </w:r>
      <w:r w:rsidR="006B0723" w:rsidRPr="00750F0A">
        <w:rPr>
          <w:rFonts w:ascii="Book Antiqua" w:hAnsi="Book Antiqua"/>
          <w:sz w:val="24"/>
          <w:szCs w:val="24"/>
        </w:rPr>
        <w:t xml:space="preserve">For that interpretation to be correct, </w:t>
      </w:r>
      <w:r w:rsidR="00A9688F" w:rsidRPr="00750F0A">
        <w:rPr>
          <w:rFonts w:ascii="Book Antiqua" w:hAnsi="Book Antiqua"/>
          <w:sz w:val="24"/>
          <w:szCs w:val="24"/>
        </w:rPr>
        <w:t xml:space="preserve">it would mean that living under the same household at any point in time prior to an appellant leaving her home country to come to an EEA Member State would be </w:t>
      </w:r>
      <w:proofErr w:type="gramStart"/>
      <w:r w:rsidR="00A9688F" w:rsidRPr="00750F0A">
        <w:rPr>
          <w:rFonts w:ascii="Book Antiqua" w:hAnsi="Book Antiqua"/>
          <w:sz w:val="24"/>
          <w:szCs w:val="24"/>
        </w:rPr>
        <w:t>sufficient</w:t>
      </w:r>
      <w:proofErr w:type="gramEnd"/>
      <w:r w:rsidR="00A9688F" w:rsidRPr="00750F0A">
        <w:rPr>
          <w:rFonts w:ascii="Book Antiqua" w:hAnsi="Book Antiqua"/>
          <w:sz w:val="24"/>
          <w:szCs w:val="24"/>
        </w:rPr>
        <w:t xml:space="preserve"> to meet the requirements. That cannot be right as it would make a nonsense of the Regulations. </w:t>
      </w:r>
    </w:p>
    <w:p w14:paraId="273392B2" w14:textId="4C5769AA" w:rsidR="006A7E14" w:rsidRPr="00750F0A" w:rsidRDefault="00314B68" w:rsidP="003D4C06">
      <w:pPr>
        <w:numPr>
          <w:ilvl w:val="0"/>
          <w:numId w:val="1"/>
        </w:numPr>
        <w:jc w:val="both"/>
        <w:rPr>
          <w:rFonts w:ascii="Book Antiqua" w:hAnsi="Book Antiqua"/>
          <w:sz w:val="24"/>
          <w:szCs w:val="24"/>
        </w:rPr>
      </w:pPr>
      <w:r w:rsidRPr="00750F0A">
        <w:rPr>
          <w:rFonts w:ascii="Book Antiqua" w:hAnsi="Book Antiqua"/>
          <w:sz w:val="24"/>
          <w:szCs w:val="24"/>
        </w:rPr>
        <w:t xml:space="preserve">It follows that the </w:t>
      </w:r>
      <w:r w:rsidR="00745BBD" w:rsidRPr="00750F0A">
        <w:rPr>
          <w:rFonts w:ascii="Book Antiqua" w:hAnsi="Book Antiqua"/>
          <w:sz w:val="24"/>
          <w:szCs w:val="24"/>
        </w:rPr>
        <w:t xml:space="preserve">judge’s </w:t>
      </w:r>
      <w:r w:rsidRPr="00750F0A">
        <w:rPr>
          <w:rFonts w:ascii="Book Antiqua" w:hAnsi="Book Antiqua"/>
          <w:sz w:val="24"/>
          <w:szCs w:val="24"/>
        </w:rPr>
        <w:t>reference to inheritance law is irrelevant and</w:t>
      </w:r>
      <w:r w:rsidR="00414029" w:rsidRPr="00750F0A">
        <w:rPr>
          <w:rFonts w:ascii="Book Antiqua" w:hAnsi="Book Antiqua"/>
          <w:sz w:val="24"/>
          <w:szCs w:val="24"/>
        </w:rPr>
        <w:t xml:space="preserve"> in any event, as pointed out above,</w:t>
      </w:r>
      <w:r w:rsidRPr="00750F0A">
        <w:rPr>
          <w:rFonts w:ascii="Book Antiqua" w:hAnsi="Book Antiqua"/>
          <w:sz w:val="24"/>
          <w:szCs w:val="24"/>
        </w:rPr>
        <w:t xml:space="preserve"> was </w:t>
      </w:r>
      <w:r w:rsidR="00472233" w:rsidRPr="00750F0A">
        <w:rPr>
          <w:rFonts w:ascii="Book Antiqua" w:hAnsi="Book Antiqua"/>
          <w:sz w:val="24"/>
          <w:szCs w:val="24"/>
        </w:rPr>
        <w:t xml:space="preserve">phrased </w:t>
      </w:r>
      <w:r w:rsidR="00414029" w:rsidRPr="00750F0A">
        <w:rPr>
          <w:rFonts w:ascii="Book Antiqua" w:hAnsi="Book Antiqua"/>
          <w:sz w:val="24"/>
          <w:szCs w:val="24"/>
        </w:rPr>
        <w:t xml:space="preserve">by the judge </w:t>
      </w:r>
      <w:r w:rsidR="00472233" w:rsidRPr="00750F0A">
        <w:rPr>
          <w:rFonts w:ascii="Book Antiqua" w:hAnsi="Book Antiqua"/>
          <w:sz w:val="24"/>
          <w:szCs w:val="24"/>
        </w:rPr>
        <w:t>at [17] of the decision as an alternative,</w:t>
      </w:r>
      <w:r w:rsidR="00745BBD" w:rsidRPr="00750F0A">
        <w:rPr>
          <w:rFonts w:ascii="Book Antiqua" w:hAnsi="Book Antiqua"/>
          <w:sz w:val="24"/>
          <w:szCs w:val="24"/>
        </w:rPr>
        <w:t xml:space="preserve"> stating,</w:t>
      </w:r>
      <w:r w:rsidR="00472233" w:rsidRPr="00750F0A">
        <w:rPr>
          <w:rFonts w:ascii="Book Antiqua" w:hAnsi="Book Antiqua"/>
          <w:sz w:val="24"/>
          <w:szCs w:val="24"/>
        </w:rPr>
        <w:t xml:space="preserve"> “if it be suggested </w:t>
      </w:r>
      <w:proofErr w:type="gramStart"/>
      <w:r w:rsidR="00472233" w:rsidRPr="00750F0A">
        <w:rPr>
          <w:rFonts w:ascii="Book Antiqua" w:hAnsi="Book Antiqua"/>
          <w:sz w:val="24"/>
          <w:szCs w:val="24"/>
        </w:rPr>
        <w:t>that..</w:t>
      </w:r>
      <w:proofErr w:type="gramEnd"/>
      <w:r w:rsidR="00472233" w:rsidRPr="00750F0A">
        <w:rPr>
          <w:rFonts w:ascii="Book Antiqua" w:hAnsi="Book Antiqua"/>
          <w:sz w:val="24"/>
          <w:szCs w:val="24"/>
        </w:rPr>
        <w:t xml:space="preserve">” It follows that no material error of law is disclosed by this ground.  </w:t>
      </w:r>
      <w:r w:rsidR="009D053B" w:rsidRPr="00750F0A">
        <w:rPr>
          <w:rFonts w:ascii="Book Antiqua" w:hAnsi="Book Antiqua"/>
          <w:sz w:val="24"/>
          <w:szCs w:val="24"/>
        </w:rPr>
        <w:t xml:space="preserve"> </w:t>
      </w:r>
      <w:r w:rsidR="00086309" w:rsidRPr="00750F0A">
        <w:rPr>
          <w:rFonts w:ascii="Book Antiqua" w:hAnsi="Book Antiqua"/>
          <w:sz w:val="24"/>
          <w:szCs w:val="24"/>
        </w:rPr>
        <w:t xml:space="preserve"> </w:t>
      </w:r>
    </w:p>
    <w:p w14:paraId="7D7BD195" w14:textId="556E2195" w:rsidR="00CE2445" w:rsidRPr="00750F0A" w:rsidRDefault="00987E87" w:rsidP="00987E87">
      <w:pPr>
        <w:numPr>
          <w:ilvl w:val="0"/>
          <w:numId w:val="1"/>
        </w:numPr>
        <w:jc w:val="both"/>
        <w:rPr>
          <w:rFonts w:ascii="Book Antiqua" w:hAnsi="Book Antiqua"/>
          <w:sz w:val="24"/>
          <w:szCs w:val="24"/>
        </w:rPr>
      </w:pPr>
      <w:r w:rsidRPr="00750F0A">
        <w:rPr>
          <w:rFonts w:ascii="Book Antiqua" w:hAnsi="Book Antiqua"/>
          <w:sz w:val="24"/>
          <w:szCs w:val="24"/>
        </w:rPr>
        <w:t xml:space="preserve">In relation to prior dependency, </w:t>
      </w:r>
      <w:r w:rsidR="00E01B3F" w:rsidRPr="00750F0A">
        <w:rPr>
          <w:rFonts w:ascii="Book Antiqua" w:hAnsi="Book Antiqua"/>
          <w:sz w:val="24"/>
          <w:szCs w:val="24"/>
        </w:rPr>
        <w:t xml:space="preserve">I am satisfied that </w:t>
      </w:r>
      <w:r w:rsidRPr="00750F0A">
        <w:rPr>
          <w:rFonts w:ascii="Book Antiqua" w:hAnsi="Book Antiqua"/>
          <w:sz w:val="24"/>
          <w:szCs w:val="24"/>
        </w:rPr>
        <w:t xml:space="preserve">on the evidence, the judge was entitled to conclude that the money the sponsor was sending to Pakistan from Spain was for the support of his parents’ household, including his own family and that of the appellant, as they were living in a joint family system. There was nothing to indicate that any of these monies were specifically earmarked for the appellant. Only in the most vague and general sense can it </w:t>
      </w:r>
      <w:r w:rsidR="00611E36" w:rsidRPr="00750F0A">
        <w:rPr>
          <w:rFonts w:ascii="Book Antiqua" w:hAnsi="Book Antiqua"/>
          <w:sz w:val="24"/>
          <w:szCs w:val="24"/>
        </w:rPr>
        <w:t>even be suggested</w:t>
      </w:r>
      <w:r w:rsidRPr="00750F0A">
        <w:rPr>
          <w:rFonts w:ascii="Book Antiqua" w:hAnsi="Book Antiqua"/>
          <w:sz w:val="24"/>
          <w:szCs w:val="24"/>
        </w:rPr>
        <w:t xml:space="preserve"> that the appellant was in any way dependent on or the beneficiary of monies sent to the joint family household by the sponsor from Spain. </w:t>
      </w:r>
      <w:r w:rsidR="00B4770D" w:rsidRPr="00750F0A">
        <w:rPr>
          <w:rFonts w:ascii="Book Antiqua" w:hAnsi="Book Antiqua"/>
          <w:sz w:val="24"/>
          <w:szCs w:val="24"/>
        </w:rPr>
        <w:t>The evidence to support that proposition was entirely inadequate. Further, as t</w:t>
      </w:r>
      <w:r w:rsidR="00080025" w:rsidRPr="00750F0A">
        <w:rPr>
          <w:rFonts w:ascii="Book Antiqua" w:hAnsi="Book Antiqua"/>
          <w:sz w:val="24"/>
          <w:szCs w:val="24"/>
        </w:rPr>
        <w:t>he</w:t>
      </w:r>
      <w:r w:rsidRPr="00750F0A">
        <w:rPr>
          <w:rFonts w:ascii="Book Antiqua" w:hAnsi="Book Antiqua"/>
          <w:sz w:val="24"/>
          <w:szCs w:val="24"/>
        </w:rPr>
        <w:t xml:space="preserve"> judge pointed out, there is no evidence that the sponsor funded the appellant’s visa application and education in the UK and the sponsor did not state that he did. </w:t>
      </w:r>
    </w:p>
    <w:p w14:paraId="291674FD" w14:textId="77777777" w:rsidR="00576366" w:rsidRPr="00750F0A" w:rsidRDefault="00CE2445" w:rsidP="00576366">
      <w:pPr>
        <w:numPr>
          <w:ilvl w:val="0"/>
          <w:numId w:val="1"/>
        </w:numPr>
        <w:jc w:val="both"/>
        <w:rPr>
          <w:rFonts w:ascii="Book Antiqua" w:hAnsi="Book Antiqua"/>
          <w:sz w:val="24"/>
          <w:szCs w:val="24"/>
        </w:rPr>
      </w:pPr>
      <w:r w:rsidRPr="00750F0A">
        <w:rPr>
          <w:rFonts w:ascii="Book Antiqua" w:hAnsi="Book Antiqua"/>
          <w:sz w:val="24"/>
          <w:szCs w:val="24"/>
        </w:rPr>
        <w:t xml:space="preserve">In this regard, I have carefully considered the appellant’s and the sponsor’s witness statement, which I find entirely insufficient to </w:t>
      </w:r>
      <w:r w:rsidR="000770BF" w:rsidRPr="00750F0A">
        <w:rPr>
          <w:rFonts w:ascii="Book Antiqua" w:hAnsi="Book Antiqua"/>
          <w:sz w:val="24"/>
          <w:szCs w:val="24"/>
        </w:rPr>
        <w:t>support the claim of</w:t>
      </w:r>
      <w:r w:rsidRPr="00750F0A">
        <w:rPr>
          <w:rFonts w:ascii="Book Antiqua" w:hAnsi="Book Antiqua"/>
          <w:sz w:val="24"/>
          <w:szCs w:val="24"/>
        </w:rPr>
        <w:t xml:space="preserve"> </w:t>
      </w:r>
      <w:r w:rsidR="000770BF" w:rsidRPr="00750F0A">
        <w:rPr>
          <w:rFonts w:ascii="Book Antiqua" w:hAnsi="Book Antiqua"/>
          <w:sz w:val="24"/>
          <w:szCs w:val="24"/>
        </w:rPr>
        <w:t xml:space="preserve">prior </w:t>
      </w:r>
      <w:r w:rsidRPr="00750F0A">
        <w:rPr>
          <w:rFonts w:ascii="Book Antiqua" w:hAnsi="Book Antiqua"/>
          <w:sz w:val="24"/>
          <w:szCs w:val="24"/>
        </w:rPr>
        <w:t xml:space="preserve">dependency in any meaningful sense. </w:t>
      </w:r>
      <w:r w:rsidR="000770BF" w:rsidRPr="00750F0A">
        <w:rPr>
          <w:rFonts w:ascii="Book Antiqua" w:hAnsi="Book Antiqua"/>
          <w:sz w:val="24"/>
          <w:szCs w:val="24"/>
        </w:rPr>
        <w:t>For example, t</w:t>
      </w:r>
      <w:r w:rsidR="00DE48B0" w:rsidRPr="00750F0A">
        <w:rPr>
          <w:rFonts w:ascii="Book Antiqua" w:hAnsi="Book Antiqua"/>
          <w:sz w:val="24"/>
          <w:szCs w:val="24"/>
        </w:rPr>
        <w:t xml:space="preserve">he sponsor stated that he insisted to his brother, the appellant’s father, that he ensure she was educated. </w:t>
      </w:r>
      <w:r w:rsidR="000770BF" w:rsidRPr="00750F0A">
        <w:rPr>
          <w:rFonts w:ascii="Book Antiqua" w:hAnsi="Book Antiqua"/>
          <w:sz w:val="24"/>
          <w:szCs w:val="24"/>
        </w:rPr>
        <w:t xml:space="preserve">If there ever was an </w:t>
      </w:r>
      <w:r w:rsidR="00DE48B0" w:rsidRPr="00750F0A">
        <w:rPr>
          <w:rFonts w:ascii="Book Antiqua" w:hAnsi="Book Antiqua"/>
          <w:sz w:val="24"/>
          <w:szCs w:val="24"/>
        </w:rPr>
        <w:t xml:space="preserve">opportunity for him to </w:t>
      </w:r>
      <w:r w:rsidR="000A38D5" w:rsidRPr="00750F0A">
        <w:rPr>
          <w:rFonts w:ascii="Book Antiqua" w:hAnsi="Book Antiqua"/>
          <w:sz w:val="24"/>
          <w:szCs w:val="24"/>
        </w:rPr>
        <w:t>state</w:t>
      </w:r>
      <w:r w:rsidR="00DE48B0" w:rsidRPr="00750F0A">
        <w:rPr>
          <w:rFonts w:ascii="Book Antiqua" w:hAnsi="Book Antiqua"/>
          <w:sz w:val="24"/>
          <w:szCs w:val="24"/>
        </w:rPr>
        <w:t xml:space="preserve"> that he provided funds for her education in Pakistan, or </w:t>
      </w:r>
      <w:r w:rsidR="004F574B" w:rsidRPr="00750F0A">
        <w:rPr>
          <w:rFonts w:ascii="Book Antiqua" w:hAnsi="Book Antiqua"/>
          <w:sz w:val="24"/>
          <w:szCs w:val="24"/>
        </w:rPr>
        <w:t>financed her visa application, or sponsored her to come to the UK as a student</w:t>
      </w:r>
      <w:r w:rsidR="000A38D5" w:rsidRPr="00750F0A">
        <w:rPr>
          <w:rFonts w:ascii="Book Antiqua" w:hAnsi="Book Antiqua"/>
          <w:sz w:val="24"/>
          <w:szCs w:val="24"/>
        </w:rPr>
        <w:t>, it was in that statement</w:t>
      </w:r>
      <w:r w:rsidR="004F574B" w:rsidRPr="00750F0A">
        <w:rPr>
          <w:rFonts w:ascii="Book Antiqua" w:hAnsi="Book Antiqua"/>
          <w:sz w:val="24"/>
          <w:szCs w:val="24"/>
        </w:rPr>
        <w:t xml:space="preserve">. Instead, the statement is </w:t>
      </w:r>
      <w:r w:rsidR="000A38D5" w:rsidRPr="00750F0A">
        <w:rPr>
          <w:rFonts w:ascii="Book Antiqua" w:hAnsi="Book Antiqua"/>
          <w:sz w:val="24"/>
          <w:szCs w:val="24"/>
        </w:rPr>
        <w:t xml:space="preserve">remarkably </w:t>
      </w:r>
      <w:r w:rsidR="004F574B" w:rsidRPr="00750F0A">
        <w:rPr>
          <w:rFonts w:ascii="Book Antiqua" w:hAnsi="Book Antiqua"/>
          <w:sz w:val="24"/>
          <w:szCs w:val="24"/>
        </w:rPr>
        <w:t xml:space="preserve">silent on all those issues. </w:t>
      </w:r>
    </w:p>
    <w:p w14:paraId="2DBCA607" w14:textId="77777777" w:rsidR="00080025" w:rsidRPr="00750F0A" w:rsidRDefault="00576366" w:rsidP="00576366">
      <w:pPr>
        <w:numPr>
          <w:ilvl w:val="0"/>
          <w:numId w:val="1"/>
        </w:numPr>
        <w:jc w:val="both"/>
        <w:rPr>
          <w:rFonts w:ascii="Book Antiqua" w:hAnsi="Book Antiqua"/>
          <w:sz w:val="24"/>
          <w:szCs w:val="24"/>
        </w:rPr>
      </w:pPr>
      <w:r w:rsidRPr="00750F0A">
        <w:rPr>
          <w:rFonts w:ascii="Book Antiqua" w:hAnsi="Book Antiqua"/>
          <w:sz w:val="24"/>
          <w:szCs w:val="24"/>
        </w:rPr>
        <w:t xml:space="preserve">The </w:t>
      </w:r>
      <w:proofErr w:type="gramStart"/>
      <w:r w:rsidRPr="00750F0A">
        <w:rPr>
          <w:rFonts w:ascii="Book Antiqua" w:hAnsi="Book Antiqua"/>
          <w:sz w:val="24"/>
          <w:szCs w:val="24"/>
        </w:rPr>
        <w:t>particular point</w:t>
      </w:r>
      <w:proofErr w:type="gramEnd"/>
      <w:r w:rsidRPr="00750F0A">
        <w:rPr>
          <w:rFonts w:ascii="Book Antiqua" w:hAnsi="Book Antiqua"/>
          <w:sz w:val="24"/>
          <w:szCs w:val="24"/>
        </w:rPr>
        <w:t xml:space="preserve"> argued in the grounds is that the conclusion that the appellant was not dependent on the sponsor is inconsistent with the judge’s acceptance of the evidence of the appellant and the sponsor as truthful and credible, and that this supposed inconsistency was not put to the appellant and the sponsor for response. </w:t>
      </w:r>
      <w:r w:rsidR="00080025" w:rsidRPr="00750F0A">
        <w:rPr>
          <w:rFonts w:ascii="Book Antiqua" w:hAnsi="Book Antiqua"/>
          <w:sz w:val="24"/>
          <w:szCs w:val="24"/>
        </w:rPr>
        <w:t xml:space="preserve">However, I am not satisfied that the findings are necessarily inconsistent. </w:t>
      </w:r>
    </w:p>
    <w:p w14:paraId="75941031" w14:textId="0B6E9E54" w:rsidR="00576366" w:rsidRPr="00750F0A" w:rsidRDefault="00576366" w:rsidP="00576366">
      <w:pPr>
        <w:numPr>
          <w:ilvl w:val="0"/>
          <w:numId w:val="1"/>
        </w:numPr>
        <w:jc w:val="both"/>
        <w:rPr>
          <w:rFonts w:ascii="Book Antiqua" w:hAnsi="Book Antiqua"/>
          <w:sz w:val="24"/>
          <w:szCs w:val="24"/>
        </w:rPr>
      </w:pPr>
      <w:r w:rsidRPr="00750F0A">
        <w:rPr>
          <w:rFonts w:ascii="Book Antiqua" w:hAnsi="Book Antiqua"/>
          <w:sz w:val="24"/>
          <w:szCs w:val="24"/>
        </w:rPr>
        <w:t>In her witness statement, the appellant said, “</w:t>
      </w:r>
      <w:r w:rsidRPr="00750F0A">
        <w:rPr>
          <w:rFonts w:ascii="Book Antiqua" w:hAnsi="Book Antiqua"/>
          <w:i/>
          <w:iCs/>
          <w:sz w:val="24"/>
          <w:szCs w:val="24"/>
        </w:rPr>
        <w:t xml:space="preserve">I was dependent on him when he was living in </w:t>
      </w:r>
      <w:proofErr w:type="gramStart"/>
      <w:r w:rsidRPr="00750F0A">
        <w:rPr>
          <w:rFonts w:ascii="Book Antiqua" w:hAnsi="Book Antiqua"/>
          <w:i/>
          <w:iCs/>
          <w:sz w:val="24"/>
          <w:szCs w:val="24"/>
        </w:rPr>
        <w:t>Pakistan</w:t>
      </w:r>
      <w:proofErr w:type="gramEnd"/>
      <w:r w:rsidRPr="00750F0A">
        <w:rPr>
          <w:rFonts w:ascii="Book Antiqua" w:hAnsi="Book Antiqua"/>
          <w:i/>
          <w:iCs/>
          <w:sz w:val="24"/>
          <w:szCs w:val="24"/>
        </w:rPr>
        <w:t xml:space="preserve"> I consider him as father figure in my life</w:t>
      </w:r>
      <w:r w:rsidRPr="00750F0A">
        <w:rPr>
          <w:rFonts w:ascii="Book Antiqua" w:hAnsi="Book Antiqua"/>
          <w:sz w:val="24"/>
          <w:szCs w:val="24"/>
        </w:rPr>
        <w:t xml:space="preserve">.” </w:t>
      </w:r>
      <w:r w:rsidR="00F7388B" w:rsidRPr="00750F0A">
        <w:rPr>
          <w:rFonts w:ascii="Book Antiqua" w:hAnsi="Book Antiqua"/>
          <w:sz w:val="24"/>
          <w:szCs w:val="24"/>
        </w:rPr>
        <w:t>However</w:t>
      </w:r>
      <w:r w:rsidRPr="00750F0A">
        <w:rPr>
          <w:rFonts w:ascii="Book Antiqua" w:hAnsi="Book Antiqua"/>
          <w:sz w:val="24"/>
          <w:szCs w:val="24"/>
        </w:rPr>
        <w:t>, the sponsor’s statement was that “</w:t>
      </w:r>
      <w:r w:rsidRPr="00750F0A">
        <w:rPr>
          <w:rFonts w:ascii="Book Antiqua" w:hAnsi="Book Antiqua"/>
          <w:i/>
          <w:iCs/>
          <w:sz w:val="24"/>
          <w:szCs w:val="24"/>
        </w:rPr>
        <w:t>I wished to see the appellant secure education future and I always insisted my brother to give opportunity to the appellant to get education.</w:t>
      </w:r>
      <w:r w:rsidRPr="00750F0A">
        <w:rPr>
          <w:rFonts w:ascii="Book Antiqua" w:hAnsi="Book Antiqua"/>
          <w:sz w:val="24"/>
          <w:szCs w:val="24"/>
        </w:rPr>
        <w:t xml:space="preserve">” He does not say that he in any way financed her education. </w:t>
      </w:r>
      <w:r w:rsidR="00981CAD" w:rsidRPr="00750F0A">
        <w:rPr>
          <w:rFonts w:ascii="Book Antiqua" w:hAnsi="Book Antiqua"/>
          <w:sz w:val="24"/>
          <w:szCs w:val="24"/>
        </w:rPr>
        <w:t>At</w:t>
      </w:r>
      <w:r w:rsidRPr="00750F0A">
        <w:rPr>
          <w:rFonts w:ascii="Book Antiqua" w:hAnsi="Book Antiqua"/>
          <w:sz w:val="24"/>
          <w:szCs w:val="24"/>
        </w:rPr>
        <w:t xml:space="preserve"> [5] of his witness statement the sponsor stated, “</w:t>
      </w:r>
      <w:r w:rsidRPr="00750F0A">
        <w:rPr>
          <w:rFonts w:ascii="Book Antiqua" w:hAnsi="Book Antiqua"/>
          <w:i/>
          <w:iCs/>
          <w:sz w:val="24"/>
          <w:szCs w:val="24"/>
        </w:rPr>
        <w:t xml:space="preserve">I submit that I visited Pakistan on various occasions to provide moral and financial support to the Appellant and her parents when I was in Spain. I was sending </w:t>
      </w:r>
      <w:r w:rsidRPr="00750F0A">
        <w:rPr>
          <w:rFonts w:ascii="Book Antiqua" w:hAnsi="Book Antiqua"/>
          <w:i/>
          <w:iCs/>
          <w:sz w:val="24"/>
          <w:szCs w:val="24"/>
        </w:rPr>
        <w:lastRenderedPageBreak/>
        <w:t>money from Spain to the Appellant’s family in Pakistan as I am a part of our joint family system</w:t>
      </w:r>
      <w:r w:rsidRPr="00750F0A">
        <w:rPr>
          <w:rFonts w:ascii="Book Antiqua" w:hAnsi="Book Antiqua"/>
          <w:sz w:val="24"/>
          <w:szCs w:val="24"/>
        </w:rPr>
        <w:t xml:space="preserve">.” </w:t>
      </w:r>
    </w:p>
    <w:p w14:paraId="0C52AB57" w14:textId="31FA390F" w:rsidR="00987E87" w:rsidRPr="00750F0A" w:rsidRDefault="000A38D5" w:rsidP="00C241AB">
      <w:pPr>
        <w:numPr>
          <w:ilvl w:val="0"/>
          <w:numId w:val="1"/>
        </w:numPr>
        <w:jc w:val="both"/>
        <w:rPr>
          <w:rFonts w:ascii="Book Antiqua" w:hAnsi="Book Antiqua"/>
          <w:sz w:val="24"/>
          <w:szCs w:val="24"/>
        </w:rPr>
      </w:pPr>
      <w:r w:rsidRPr="00750F0A">
        <w:rPr>
          <w:rFonts w:ascii="Book Antiqua" w:hAnsi="Book Antiqua"/>
          <w:sz w:val="24"/>
          <w:szCs w:val="24"/>
        </w:rPr>
        <w:t xml:space="preserve">At no point does the sponsor’s statement indicate that funds he remitted were earmarked </w:t>
      </w:r>
      <w:r w:rsidR="00981CAD" w:rsidRPr="00750F0A">
        <w:rPr>
          <w:rFonts w:ascii="Book Antiqua" w:hAnsi="Book Antiqua"/>
          <w:sz w:val="24"/>
          <w:szCs w:val="24"/>
        </w:rPr>
        <w:t xml:space="preserve">particularly </w:t>
      </w:r>
      <w:r w:rsidRPr="00750F0A">
        <w:rPr>
          <w:rFonts w:ascii="Book Antiqua" w:hAnsi="Book Antiqua"/>
          <w:sz w:val="24"/>
          <w:szCs w:val="24"/>
        </w:rPr>
        <w:t xml:space="preserve">for the appellant, rather than the whole household, including his parents and own wife and child. </w:t>
      </w:r>
      <w:r w:rsidR="0086564E" w:rsidRPr="00750F0A">
        <w:rPr>
          <w:rFonts w:ascii="Book Antiqua" w:hAnsi="Book Antiqua"/>
          <w:sz w:val="24"/>
          <w:szCs w:val="24"/>
        </w:rPr>
        <w:t xml:space="preserve">Whilst stating that she was dependent on the sponsor, </w:t>
      </w:r>
      <w:proofErr w:type="gramStart"/>
      <w:r w:rsidR="00C241AB" w:rsidRPr="00750F0A">
        <w:rPr>
          <w:rFonts w:ascii="Book Antiqua" w:hAnsi="Book Antiqua"/>
          <w:sz w:val="24"/>
          <w:szCs w:val="24"/>
        </w:rPr>
        <w:t xml:space="preserve">it can be seen that </w:t>
      </w:r>
      <w:r w:rsidRPr="00750F0A">
        <w:rPr>
          <w:rFonts w:ascii="Book Antiqua" w:hAnsi="Book Antiqua"/>
          <w:sz w:val="24"/>
          <w:szCs w:val="24"/>
        </w:rPr>
        <w:t>the</w:t>
      </w:r>
      <w:proofErr w:type="gramEnd"/>
      <w:r w:rsidRPr="00750F0A">
        <w:rPr>
          <w:rFonts w:ascii="Book Antiqua" w:hAnsi="Book Antiqua"/>
          <w:sz w:val="24"/>
          <w:szCs w:val="24"/>
        </w:rPr>
        <w:t xml:space="preserve"> appellant’s own statement</w:t>
      </w:r>
      <w:r w:rsidR="0086564E" w:rsidRPr="00750F0A">
        <w:rPr>
          <w:rFonts w:ascii="Book Antiqua" w:hAnsi="Book Antiqua"/>
          <w:sz w:val="24"/>
          <w:szCs w:val="24"/>
        </w:rPr>
        <w:t xml:space="preserve"> is expressed in the most vague and general terms, crying out for particulars. </w:t>
      </w:r>
    </w:p>
    <w:p w14:paraId="078BCA92" w14:textId="6A7B162F" w:rsidR="00422EB6" w:rsidRPr="00750F0A" w:rsidRDefault="00D34764" w:rsidP="00422EB6">
      <w:pPr>
        <w:numPr>
          <w:ilvl w:val="0"/>
          <w:numId w:val="1"/>
        </w:numPr>
        <w:jc w:val="both"/>
        <w:rPr>
          <w:rFonts w:ascii="Book Antiqua" w:hAnsi="Book Antiqua"/>
          <w:sz w:val="24"/>
          <w:szCs w:val="24"/>
        </w:rPr>
      </w:pPr>
      <w:r w:rsidRPr="00750F0A">
        <w:rPr>
          <w:rFonts w:ascii="Book Antiqua" w:hAnsi="Book Antiqua"/>
          <w:sz w:val="24"/>
          <w:szCs w:val="24"/>
        </w:rPr>
        <w:t>In relation to pr</w:t>
      </w:r>
      <w:r w:rsidR="00987E87" w:rsidRPr="00750F0A">
        <w:rPr>
          <w:rFonts w:ascii="Book Antiqua" w:hAnsi="Book Antiqua"/>
          <w:sz w:val="24"/>
          <w:szCs w:val="24"/>
        </w:rPr>
        <w:t>esent</w:t>
      </w:r>
      <w:r w:rsidRPr="00750F0A">
        <w:rPr>
          <w:rFonts w:ascii="Book Antiqua" w:hAnsi="Book Antiqua"/>
          <w:sz w:val="24"/>
          <w:szCs w:val="24"/>
        </w:rPr>
        <w:t xml:space="preserve"> dependency, the</w:t>
      </w:r>
      <w:r w:rsidR="00920699" w:rsidRPr="00750F0A">
        <w:rPr>
          <w:rFonts w:ascii="Book Antiqua" w:hAnsi="Book Antiqua"/>
          <w:sz w:val="24"/>
          <w:szCs w:val="24"/>
        </w:rPr>
        <w:t xml:space="preserve"> respondent </w:t>
      </w:r>
      <w:r w:rsidR="003E020D" w:rsidRPr="00750F0A">
        <w:rPr>
          <w:rFonts w:ascii="Book Antiqua" w:hAnsi="Book Antiqua"/>
          <w:sz w:val="24"/>
          <w:szCs w:val="24"/>
        </w:rPr>
        <w:t xml:space="preserve">again </w:t>
      </w:r>
      <w:r w:rsidRPr="00750F0A">
        <w:rPr>
          <w:rFonts w:ascii="Book Antiqua" w:hAnsi="Book Antiqua"/>
          <w:sz w:val="24"/>
          <w:szCs w:val="24"/>
        </w:rPr>
        <w:t xml:space="preserve">points out </w:t>
      </w:r>
      <w:r w:rsidR="00920699" w:rsidRPr="00750F0A">
        <w:rPr>
          <w:rFonts w:ascii="Book Antiqua" w:hAnsi="Book Antiqua"/>
          <w:sz w:val="24"/>
          <w:szCs w:val="24"/>
        </w:rPr>
        <w:t xml:space="preserve">that </w:t>
      </w:r>
      <w:r w:rsidR="004947B4" w:rsidRPr="00750F0A">
        <w:rPr>
          <w:rFonts w:ascii="Book Antiqua" w:hAnsi="Book Antiqua"/>
          <w:sz w:val="24"/>
          <w:szCs w:val="24"/>
        </w:rPr>
        <w:t>the appellant left Pakistan in 2012</w:t>
      </w:r>
      <w:r w:rsidR="000B69CD" w:rsidRPr="00750F0A">
        <w:rPr>
          <w:rFonts w:ascii="Book Antiqua" w:hAnsi="Book Antiqua"/>
          <w:sz w:val="24"/>
          <w:szCs w:val="24"/>
        </w:rPr>
        <w:t xml:space="preserve"> to come to the UK as a student</w:t>
      </w:r>
      <w:r w:rsidR="00344686" w:rsidRPr="00750F0A">
        <w:rPr>
          <w:rFonts w:ascii="Book Antiqua" w:hAnsi="Book Antiqua"/>
          <w:sz w:val="24"/>
          <w:szCs w:val="24"/>
        </w:rPr>
        <w:t>,</w:t>
      </w:r>
      <w:r w:rsidR="000B69CD" w:rsidRPr="00750F0A">
        <w:rPr>
          <w:rFonts w:ascii="Book Antiqua" w:hAnsi="Book Antiqua"/>
          <w:sz w:val="24"/>
          <w:szCs w:val="24"/>
        </w:rPr>
        <w:t xml:space="preserve"> and the sponsor left Pakistan in 1997 to work in Spain</w:t>
      </w:r>
      <w:r w:rsidR="00344686" w:rsidRPr="00750F0A">
        <w:rPr>
          <w:rFonts w:ascii="Book Antiqua" w:hAnsi="Book Antiqua"/>
          <w:sz w:val="24"/>
          <w:szCs w:val="24"/>
        </w:rPr>
        <w:t xml:space="preserve"> and did not come to the UK until 2015</w:t>
      </w:r>
      <w:r w:rsidR="00810661" w:rsidRPr="00750F0A">
        <w:rPr>
          <w:rFonts w:ascii="Book Antiqua" w:hAnsi="Book Antiqua"/>
          <w:sz w:val="24"/>
          <w:szCs w:val="24"/>
        </w:rPr>
        <w:t xml:space="preserve">. </w:t>
      </w:r>
      <w:r w:rsidR="00F54102" w:rsidRPr="00750F0A">
        <w:rPr>
          <w:rFonts w:ascii="Book Antiqua" w:hAnsi="Book Antiqua"/>
          <w:sz w:val="24"/>
          <w:szCs w:val="24"/>
        </w:rPr>
        <w:t>Leaving aside the issue of continuity of dependency, t</w:t>
      </w:r>
      <w:r w:rsidR="0008314B" w:rsidRPr="00750F0A">
        <w:rPr>
          <w:rFonts w:ascii="Book Antiqua" w:hAnsi="Book Antiqua"/>
          <w:sz w:val="24"/>
          <w:szCs w:val="24"/>
        </w:rPr>
        <w:t>he evidence that was before the First-tier Tribunal did not establish that the appellant</w:t>
      </w:r>
      <w:r w:rsidR="00491039" w:rsidRPr="00750F0A">
        <w:rPr>
          <w:rFonts w:ascii="Book Antiqua" w:hAnsi="Book Antiqua"/>
          <w:sz w:val="24"/>
          <w:szCs w:val="24"/>
        </w:rPr>
        <w:t xml:space="preserve"> had been dependent on the sponsor in the period between April 2012 and 2015. </w:t>
      </w:r>
      <w:r w:rsidR="00C27388" w:rsidRPr="00750F0A">
        <w:rPr>
          <w:rFonts w:ascii="Book Antiqua" w:hAnsi="Book Antiqua"/>
          <w:sz w:val="24"/>
          <w:szCs w:val="24"/>
        </w:rPr>
        <w:t>At [24] of the decision, t</w:t>
      </w:r>
      <w:r w:rsidR="00680C60" w:rsidRPr="00750F0A">
        <w:rPr>
          <w:rFonts w:ascii="Book Antiqua" w:hAnsi="Book Antiqua"/>
          <w:sz w:val="24"/>
          <w:szCs w:val="24"/>
        </w:rPr>
        <w:t>he judge</w:t>
      </w:r>
      <w:r w:rsidR="0067188C" w:rsidRPr="00750F0A">
        <w:rPr>
          <w:rFonts w:ascii="Book Antiqua" w:hAnsi="Book Antiqua"/>
          <w:sz w:val="24"/>
          <w:szCs w:val="24"/>
        </w:rPr>
        <w:t xml:space="preserve"> </w:t>
      </w:r>
      <w:r w:rsidR="003E020D" w:rsidRPr="00750F0A">
        <w:rPr>
          <w:rFonts w:ascii="Book Antiqua" w:hAnsi="Book Antiqua"/>
          <w:sz w:val="24"/>
          <w:szCs w:val="24"/>
        </w:rPr>
        <w:t xml:space="preserve">also </w:t>
      </w:r>
      <w:r w:rsidR="0067188C" w:rsidRPr="00750F0A">
        <w:rPr>
          <w:rFonts w:ascii="Book Antiqua" w:hAnsi="Book Antiqua"/>
          <w:sz w:val="24"/>
          <w:szCs w:val="24"/>
        </w:rPr>
        <w:t xml:space="preserve">observed that there was no mention of financial support from the sponsor in the appellant’s student application </w:t>
      </w:r>
      <w:r w:rsidR="008374B2" w:rsidRPr="00750F0A">
        <w:rPr>
          <w:rFonts w:ascii="Book Antiqua" w:hAnsi="Book Antiqua"/>
          <w:sz w:val="24"/>
          <w:szCs w:val="24"/>
        </w:rPr>
        <w:t xml:space="preserve">in 2012. </w:t>
      </w:r>
      <w:r w:rsidR="004C56A8" w:rsidRPr="00750F0A">
        <w:rPr>
          <w:rFonts w:ascii="Book Antiqua" w:hAnsi="Book Antiqua"/>
          <w:sz w:val="24"/>
          <w:szCs w:val="24"/>
        </w:rPr>
        <w:t>The statements of the appellant and the sponsor do not address how the appellant was being financed in the UK</w:t>
      </w:r>
      <w:r w:rsidR="000F5C88" w:rsidRPr="00750F0A">
        <w:rPr>
          <w:rFonts w:ascii="Book Antiqua" w:hAnsi="Book Antiqua"/>
          <w:sz w:val="24"/>
          <w:szCs w:val="24"/>
        </w:rPr>
        <w:t xml:space="preserve"> from 2012 until 2015</w:t>
      </w:r>
      <w:r w:rsidR="004C56A8" w:rsidRPr="00750F0A">
        <w:rPr>
          <w:rFonts w:ascii="Book Antiqua" w:hAnsi="Book Antiqua"/>
          <w:sz w:val="24"/>
          <w:szCs w:val="24"/>
        </w:rPr>
        <w:t xml:space="preserve">. </w:t>
      </w:r>
      <w:r w:rsidR="000F5C88" w:rsidRPr="00750F0A">
        <w:rPr>
          <w:rFonts w:ascii="Book Antiqua" w:hAnsi="Book Antiqua"/>
          <w:sz w:val="24"/>
          <w:szCs w:val="24"/>
        </w:rPr>
        <w:t xml:space="preserve">Obviously, she was living in the UK without him until he arrived in 2015. </w:t>
      </w:r>
      <w:r w:rsidR="00A30060" w:rsidRPr="00750F0A">
        <w:rPr>
          <w:rFonts w:ascii="Book Antiqua" w:hAnsi="Book Antiqua"/>
          <w:sz w:val="24"/>
          <w:szCs w:val="24"/>
        </w:rPr>
        <w:t>On the written and oral evidence</w:t>
      </w:r>
      <w:r w:rsidR="003E020D" w:rsidRPr="00750F0A">
        <w:rPr>
          <w:rFonts w:ascii="Book Antiqua" w:hAnsi="Book Antiqua"/>
          <w:sz w:val="24"/>
          <w:szCs w:val="24"/>
        </w:rPr>
        <w:t>,</w:t>
      </w:r>
      <w:r w:rsidR="00A30060" w:rsidRPr="00750F0A">
        <w:rPr>
          <w:rFonts w:ascii="Book Antiqua" w:hAnsi="Book Antiqua"/>
          <w:sz w:val="24"/>
          <w:szCs w:val="24"/>
        </w:rPr>
        <w:t xml:space="preserve"> </w:t>
      </w:r>
      <w:r w:rsidR="001815A2" w:rsidRPr="00750F0A">
        <w:rPr>
          <w:rFonts w:ascii="Book Antiqua" w:hAnsi="Book Antiqua"/>
          <w:sz w:val="24"/>
          <w:szCs w:val="24"/>
        </w:rPr>
        <w:t>the sponsor</w:t>
      </w:r>
      <w:r w:rsidR="00A30060" w:rsidRPr="00750F0A">
        <w:rPr>
          <w:rFonts w:ascii="Book Antiqua" w:hAnsi="Book Antiqua"/>
          <w:sz w:val="24"/>
          <w:szCs w:val="24"/>
        </w:rPr>
        <w:t xml:space="preserve"> was sending money from Spain to Pakistan but there </w:t>
      </w:r>
      <w:r w:rsidR="000F5C88" w:rsidRPr="00750F0A">
        <w:rPr>
          <w:rFonts w:ascii="Book Antiqua" w:hAnsi="Book Antiqua"/>
          <w:sz w:val="24"/>
          <w:szCs w:val="24"/>
        </w:rPr>
        <w:t>was</w:t>
      </w:r>
      <w:r w:rsidR="00A30060" w:rsidRPr="00750F0A">
        <w:rPr>
          <w:rFonts w:ascii="Book Antiqua" w:hAnsi="Book Antiqua"/>
          <w:sz w:val="24"/>
          <w:szCs w:val="24"/>
        </w:rPr>
        <w:t xml:space="preserve"> no evidence </w:t>
      </w:r>
      <w:r w:rsidR="000F5C88" w:rsidRPr="00750F0A">
        <w:rPr>
          <w:rFonts w:ascii="Book Antiqua" w:hAnsi="Book Antiqua"/>
          <w:sz w:val="24"/>
          <w:szCs w:val="24"/>
        </w:rPr>
        <w:t xml:space="preserve">at all before the Tribunal that </w:t>
      </w:r>
      <w:r w:rsidR="00A30060" w:rsidRPr="00750F0A">
        <w:rPr>
          <w:rFonts w:ascii="Book Antiqua" w:hAnsi="Book Antiqua"/>
          <w:sz w:val="24"/>
          <w:szCs w:val="24"/>
        </w:rPr>
        <w:t>he sent any money to the appellant in the UK. In the circumstances, t</w:t>
      </w:r>
      <w:r w:rsidR="008374B2" w:rsidRPr="00750F0A">
        <w:rPr>
          <w:rFonts w:ascii="Book Antiqua" w:hAnsi="Book Antiqua"/>
          <w:sz w:val="24"/>
          <w:szCs w:val="24"/>
        </w:rPr>
        <w:t xml:space="preserve">he judge was entitled to conclude that he was not supporting her financially at that time and </w:t>
      </w:r>
      <w:r w:rsidR="00A31F45" w:rsidRPr="00750F0A">
        <w:rPr>
          <w:rFonts w:ascii="Book Antiqua" w:hAnsi="Book Antiqua"/>
          <w:sz w:val="24"/>
          <w:szCs w:val="24"/>
        </w:rPr>
        <w:t>not paying for her education in the UK.</w:t>
      </w:r>
      <w:r w:rsidR="005133A4" w:rsidRPr="00750F0A">
        <w:rPr>
          <w:rFonts w:ascii="Book Antiqua" w:hAnsi="Book Antiqua"/>
          <w:sz w:val="24"/>
          <w:szCs w:val="24"/>
        </w:rPr>
        <w:t xml:space="preserve"> </w:t>
      </w:r>
      <w:r w:rsidR="009E34D9" w:rsidRPr="00750F0A">
        <w:rPr>
          <w:rFonts w:ascii="Book Antiqua" w:hAnsi="Book Antiqua"/>
          <w:sz w:val="24"/>
          <w:szCs w:val="24"/>
        </w:rPr>
        <w:t xml:space="preserve">However, leaving aside the issue of continuity, the issue </w:t>
      </w:r>
      <w:r w:rsidR="000F5C88" w:rsidRPr="00750F0A">
        <w:rPr>
          <w:rFonts w:ascii="Book Antiqua" w:hAnsi="Book Antiqua"/>
          <w:sz w:val="24"/>
          <w:szCs w:val="24"/>
        </w:rPr>
        <w:t xml:space="preserve">was whether the </w:t>
      </w:r>
      <w:r w:rsidR="003B3A1D" w:rsidRPr="00750F0A">
        <w:rPr>
          <w:rFonts w:ascii="Book Antiqua" w:hAnsi="Book Antiqua"/>
          <w:sz w:val="24"/>
          <w:szCs w:val="24"/>
        </w:rPr>
        <w:t>appellant is presently dependent on the sponsor or a member of his household</w:t>
      </w:r>
      <w:r w:rsidR="000E3F5E" w:rsidRPr="00750F0A">
        <w:rPr>
          <w:rFonts w:ascii="Book Antiqua" w:hAnsi="Book Antiqua"/>
          <w:sz w:val="24"/>
          <w:szCs w:val="24"/>
        </w:rPr>
        <w:t xml:space="preserve">, which the judge accepted. </w:t>
      </w:r>
    </w:p>
    <w:p w14:paraId="2C8A80B3" w14:textId="3EB3A75D" w:rsidR="00981CAD" w:rsidRPr="00750F0A" w:rsidRDefault="00981CAD" w:rsidP="00981CAD">
      <w:pPr>
        <w:numPr>
          <w:ilvl w:val="0"/>
          <w:numId w:val="1"/>
        </w:numPr>
        <w:jc w:val="both"/>
        <w:rPr>
          <w:rFonts w:ascii="Book Antiqua" w:hAnsi="Book Antiqua"/>
          <w:sz w:val="24"/>
          <w:szCs w:val="24"/>
        </w:rPr>
      </w:pPr>
      <w:r w:rsidRPr="00750F0A">
        <w:rPr>
          <w:rFonts w:ascii="Book Antiqua" w:hAnsi="Book Antiqua"/>
          <w:sz w:val="24"/>
          <w:szCs w:val="24"/>
        </w:rPr>
        <w:t xml:space="preserve">I am not satisfied that any of these </w:t>
      </w:r>
      <w:r w:rsidR="00B4035A" w:rsidRPr="00750F0A">
        <w:rPr>
          <w:rFonts w:ascii="Book Antiqua" w:hAnsi="Book Antiqua"/>
          <w:sz w:val="24"/>
          <w:szCs w:val="24"/>
        </w:rPr>
        <w:t xml:space="preserve">witness </w:t>
      </w:r>
      <w:r w:rsidRPr="00750F0A">
        <w:rPr>
          <w:rFonts w:ascii="Book Antiqua" w:hAnsi="Book Antiqua"/>
          <w:sz w:val="24"/>
          <w:szCs w:val="24"/>
        </w:rPr>
        <w:t xml:space="preserve">statements or anything else said in evidence by either the appellant or the sponsor (as recorded in the decision) was inconsistent with the </w:t>
      </w:r>
      <w:r w:rsidR="000E3F5E" w:rsidRPr="00750F0A">
        <w:rPr>
          <w:rFonts w:ascii="Book Antiqua" w:hAnsi="Book Antiqua"/>
          <w:sz w:val="24"/>
          <w:szCs w:val="24"/>
        </w:rPr>
        <w:t xml:space="preserve">judge’s </w:t>
      </w:r>
      <w:r w:rsidRPr="00750F0A">
        <w:rPr>
          <w:rFonts w:ascii="Book Antiqua" w:hAnsi="Book Antiqua"/>
          <w:sz w:val="24"/>
          <w:szCs w:val="24"/>
        </w:rPr>
        <w:t>findings as to dependency. Whether the appellant was and</w:t>
      </w:r>
      <w:r w:rsidR="000E3F5E" w:rsidRPr="00750F0A">
        <w:rPr>
          <w:rFonts w:ascii="Book Antiqua" w:hAnsi="Book Antiqua"/>
          <w:sz w:val="24"/>
          <w:szCs w:val="24"/>
        </w:rPr>
        <w:t>/or</w:t>
      </w:r>
      <w:r w:rsidRPr="00750F0A">
        <w:rPr>
          <w:rFonts w:ascii="Book Antiqua" w:hAnsi="Book Antiqua"/>
          <w:sz w:val="24"/>
          <w:szCs w:val="24"/>
        </w:rPr>
        <w:t xml:space="preserve"> continued to be dependent on the sponsor within the meaning of the regulations is a legal consideration and a very different question from the appellant’s or the sponsor’s personal appreciation or understanding. </w:t>
      </w:r>
    </w:p>
    <w:p w14:paraId="573C4877" w14:textId="6EA1314A" w:rsidR="00372C9E" w:rsidRPr="00750F0A" w:rsidRDefault="00372C9E" w:rsidP="00981CAD">
      <w:pPr>
        <w:numPr>
          <w:ilvl w:val="0"/>
          <w:numId w:val="1"/>
        </w:numPr>
        <w:jc w:val="both"/>
        <w:rPr>
          <w:rFonts w:ascii="Book Antiqua" w:hAnsi="Book Antiqua"/>
          <w:sz w:val="24"/>
          <w:szCs w:val="24"/>
        </w:rPr>
      </w:pPr>
      <w:r w:rsidRPr="00750F0A">
        <w:rPr>
          <w:rFonts w:ascii="Book Antiqua" w:hAnsi="Book Antiqua"/>
          <w:sz w:val="24"/>
          <w:szCs w:val="24"/>
        </w:rPr>
        <w:t xml:space="preserve">It follows that whilst the appellant may have established present dependency and membership of household, there was no material error in the finding of the First-tier Tribunal that the appellant failed to discharge the burden of proving prior dependency or membership of household. It follows that the appeal could not have succeeded.  </w:t>
      </w:r>
    </w:p>
    <w:p w14:paraId="468DB09A" w14:textId="6E4EA406" w:rsidR="00AE767F" w:rsidRPr="00750F0A" w:rsidRDefault="00AE767F" w:rsidP="0054333C">
      <w:pPr>
        <w:numPr>
          <w:ilvl w:val="0"/>
          <w:numId w:val="1"/>
        </w:numPr>
        <w:jc w:val="both"/>
        <w:rPr>
          <w:rFonts w:ascii="Book Antiqua" w:hAnsi="Book Antiqua"/>
          <w:sz w:val="24"/>
          <w:szCs w:val="24"/>
        </w:rPr>
      </w:pPr>
      <w:r w:rsidRPr="00750F0A">
        <w:rPr>
          <w:rFonts w:ascii="Book Antiqua" w:hAnsi="Book Antiqua"/>
          <w:sz w:val="24"/>
          <w:szCs w:val="24"/>
        </w:rPr>
        <w:t xml:space="preserve">In the circumstances and for the reasons set out above, I find no </w:t>
      </w:r>
      <w:r w:rsidR="007C3C30" w:rsidRPr="00750F0A">
        <w:rPr>
          <w:rFonts w:ascii="Book Antiqua" w:hAnsi="Book Antiqua"/>
          <w:sz w:val="24"/>
          <w:szCs w:val="24"/>
        </w:rPr>
        <w:t xml:space="preserve">material </w:t>
      </w:r>
      <w:r w:rsidRPr="00750F0A">
        <w:rPr>
          <w:rFonts w:ascii="Book Antiqua" w:hAnsi="Book Antiqua"/>
          <w:sz w:val="24"/>
          <w:szCs w:val="24"/>
        </w:rPr>
        <w:t xml:space="preserve">error of law in the decision of the First-tier Tribunal so that it must be set aside. </w:t>
      </w:r>
    </w:p>
    <w:p w14:paraId="511CC3D1" w14:textId="77777777" w:rsidR="00750F0A" w:rsidRDefault="00750F0A" w:rsidP="00AE767F">
      <w:pPr>
        <w:jc w:val="both"/>
        <w:rPr>
          <w:rFonts w:ascii="Book Antiqua" w:hAnsi="Book Antiqua"/>
          <w:b/>
          <w:bCs/>
          <w:sz w:val="24"/>
          <w:szCs w:val="24"/>
        </w:rPr>
      </w:pPr>
    </w:p>
    <w:p w14:paraId="70338235" w14:textId="1BC43472" w:rsidR="00AE767F" w:rsidRPr="00750F0A" w:rsidRDefault="00AE767F" w:rsidP="00AE767F">
      <w:pPr>
        <w:jc w:val="both"/>
        <w:rPr>
          <w:rFonts w:ascii="Book Antiqua" w:hAnsi="Book Antiqua"/>
          <w:b/>
          <w:bCs/>
          <w:sz w:val="24"/>
          <w:szCs w:val="24"/>
        </w:rPr>
      </w:pPr>
      <w:bookmarkStart w:id="0" w:name="_GoBack"/>
      <w:bookmarkEnd w:id="0"/>
      <w:r w:rsidRPr="00750F0A">
        <w:rPr>
          <w:rFonts w:ascii="Book Antiqua" w:hAnsi="Book Antiqua"/>
          <w:b/>
          <w:bCs/>
          <w:sz w:val="24"/>
          <w:szCs w:val="24"/>
        </w:rPr>
        <w:t>Decision</w:t>
      </w:r>
    </w:p>
    <w:p w14:paraId="0E8DCDD2" w14:textId="5B928384" w:rsidR="00475495" w:rsidRPr="00750F0A" w:rsidRDefault="00475495" w:rsidP="00881DA6">
      <w:pPr>
        <w:ind w:left="720"/>
        <w:jc w:val="both"/>
        <w:rPr>
          <w:rFonts w:ascii="Book Antiqua" w:hAnsi="Book Antiqua"/>
          <w:sz w:val="24"/>
          <w:szCs w:val="24"/>
        </w:rPr>
      </w:pPr>
      <w:r w:rsidRPr="00750F0A">
        <w:rPr>
          <w:rFonts w:ascii="Book Antiqua" w:hAnsi="Book Antiqua"/>
          <w:sz w:val="24"/>
          <w:szCs w:val="24"/>
        </w:rPr>
        <w:t xml:space="preserve">The appeal </w:t>
      </w:r>
      <w:r w:rsidR="00372C9E" w:rsidRPr="00750F0A">
        <w:rPr>
          <w:rFonts w:ascii="Book Antiqua" w:hAnsi="Book Antiqua"/>
          <w:sz w:val="24"/>
          <w:szCs w:val="24"/>
        </w:rPr>
        <w:t>to the Upper Tribunal is dismissed.</w:t>
      </w:r>
    </w:p>
    <w:p w14:paraId="1ECC430F" w14:textId="3BCEB63D" w:rsidR="00372C9E" w:rsidRPr="00750F0A" w:rsidRDefault="00372C9E" w:rsidP="00881DA6">
      <w:pPr>
        <w:ind w:left="720"/>
        <w:jc w:val="both"/>
        <w:rPr>
          <w:rFonts w:ascii="Book Antiqua" w:hAnsi="Book Antiqua"/>
          <w:sz w:val="24"/>
          <w:szCs w:val="24"/>
        </w:rPr>
      </w:pPr>
      <w:r w:rsidRPr="00750F0A">
        <w:rPr>
          <w:rFonts w:ascii="Book Antiqua" w:hAnsi="Book Antiqua"/>
          <w:sz w:val="24"/>
          <w:szCs w:val="24"/>
        </w:rPr>
        <w:lastRenderedPageBreak/>
        <w:t xml:space="preserve">The decision of the First-tier Tribunal </w:t>
      </w:r>
      <w:proofErr w:type="gramStart"/>
      <w:r w:rsidRPr="00750F0A">
        <w:rPr>
          <w:rFonts w:ascii="Book Antiqua" w:hAnsi="Book Antiqua"/>
          <w:sz w:val="24"/>
          <w:szCs w:val="24"/>
        </w:rPr>
        <w:t>stands</w:t>
      </w:r>
      <w:proofErr w:type="gramEnd"/>
      <w:r w:rsidRPr="00750F0A">
        <w:rPr>
          <w:rFonts w:ascii="Book Antiqua" w:hAnsi="Book Antiqua"/>
          <w:sz w:val="24"/>
          <w:szCs w:val="24"/>
        </w:rPr>
        <w:t xml:space="preserve"> and the appellant’s appeal remains dismissed.</w:t>
      </w:r>
    </w:p>
    <w:p w14:paraId="2C779A13" w14:textId="0432139C" w:rsidR="00D61B8E" w:rsidRPr="00750F0A" w:rsidRDefault="00D61B8E" w:rsidP="00881DA6">
      <w:pPr>
        <w:ind w:left="720"/>
        <w:jc w:val="both"/>
        <w:rPr>
          <w:rFonts w:ascii="Book Antiqua" w:hAnsi="Book Antiqua"/>
          <w:sz w:val="24"/>
          <w:szCs w:val="24"/>
        </w:rPr>
      </w:pPr>
      <w:r w:rsidRPr="00750F0A">
        <w:rPr>
          <w:rFonts w:ascii="Book Antiqua" w:hAnsi="Book Antiqua"/>
          <w:sz w:val="24"/>
          <w:szCs w:val="24"/>
        </w:rPr>
        <w:t xml:space="preserve">I make no order for costs. </w:t>
      </w:r>
    </w:p>
    <w:p w14:paraId="10270C29" w14:textId="20752EB6" w:rsidR="00372C9E" w:rsidRPr="00750F0A" w:rsidRDefault="00185AF9" w:rsidP="00881DA6">
      <w:pPr>
        <w:ind w:left="720"/>
        <w:jc w:val="both"/>
        <w:rPr>
          <w:rFonts w:ascii="Book Antiqua" w:hAnsi="Book Antiqua"/>
          <w:sz w:val="24"/>
          <w:szCs w:val="24"/>
        </w:rPr>
      </w:pPr>
      <w:r w:rsidRPr="00750F0A">
        <w:rPr>
          <w:noProof/>
          <w:sz w:val="24"/>
          <w:szCs w:val="24"/>
        </w:rPr>
        <w:drawing>
          <wp:anchor distT="0" distB="0" distL="114300" distR="114300" simplePos="0" relativeHeight="251659264" behindDoc="1" locked="0" layoutInCell="1" allowOverlap="1" wp14:anchorId="2F4DD144" wp14:editId="4F3F375F">
            <wp:simplePos x="0" y="0"/>
            <wp:positionH relativeFrom="column">
              <wp:posOffset>3726180</wp:posOffset>
            </wp:positionH>
            <wp:positionV relativeFrom="paragraph">
              <wp:posOffset>8255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C9E" w:rsidRPr="00750F0A">
        <w:rPr>
          <w:rFonts w:ascii="Book Antiqua" w:hAnsi="Book Antiqua"/>
          <w:sz w:val="24"/>
          <w:szCs w:val="24"/>
        </w:rPr>
        <w:t xml:space="preserve">I make no anonymity direction. </w:t>
      </w:r>
    </w:p>
    <w:p w14:paraId="12909218" w14:textId="74A6075B" w:rsidR="00BE703F" w:rsidRPr="00750F0A" w:rsidRDefault="00BE703F" w:rsidP="008006E3">
      <w:pPr>
        <w:jc w:val="both"/>
        <w:rPr>
          <w:rFonts w:ascii="Book Antiqua" w:hAnsi="Book Antiqua"/>
          <w:b/>
          <w:bCs/>
          <w:sz w:val="24"/>
          <w:szCs w:val="24"/>
        </w:rPr>
      </w:pPr>
    </w:p>
    <w:p w14:paraId="105D77F1" w14:textId="77777777" w:rsidR="00BE703F" w:rsidRPr="00750F0A" w:rsidRDefault="00BE703F" w:rsidP="006B4A21">
      <w:pPr>
        <w:rPr>
          <w:rFonts w:ascii="Book Antiqua" w:hAnsi="Book Antiqua"/>
          <w:sz w:val="24"/>
          <w:szCs w:val="24"/>
        </w:rPr>
      </w:pPr>
      <w:r w:rsidRPr="00750F0A">
        <w:rPr>
          <w:rFonts w:ascii="Book Antiqua" w:hAnsi="Book Antiqua"/>
          <w:sz w:val="24"/>
          <w:szCs w:val="24"/>
        </w:rPr>
        <w:t xml:space="preserve">Signed: </w:t>
      </w:r>
      <w:r w:rsidRPr="00750F0A">
        <w:rPr>
          <w:rFonts w:ascii="Lucida Handwriting" w:hAnsi="Lucida Handwriting"/>
          <w:sz w:val="24"/>
          <w:szCs w:val="24"/>
        </w:rPr>
        <w:t>DMW Pickup</w:t>
      </w:r>
    </w:p>
    <w:p w14:paraId="6CCF24AD" w14:textId="77777777" w:rsidR="00BE703F" w:rsidRPr="00750F0A" w:rsidRDefault="00BE703F" w:rsidP="006B4A21">
      <w:pPr>
        <w:rPr>
          <w:rFonts w:ascii="Book Antiqua" w:hAnsi="Book Antiqua"/>
          <w:sz w:val="24"/>
          <w:szCs w:val="24"/>
        </w:rPr>
      </w:pPr>
      <w:r w:rsidRPr="00750F0A">
        <w:rPr>
          <w:rFonts w:ascii="Book Antiqua" w:hAnsi="Book Antiqua"/>
          <w:sz w:val="24"/>
          <w:szCs w:val="24"/>
        </w:rPr>
        <w:t>Upper Tribunal Judge Pickup</w:t>
      </w:r>
    </w:p>
    <w:p w14:paraId="16ECCD55" w14:textId="46548757" w:rsidR="008344E5" w:rsidRPr="00750F0A" w:rsidRDefault="00BE703F" w:rsidP="008344E5">
      <w:pPr>
        <w:rPr>
          <w:rFonts w:ascii="Book Antiqua" w:hAnsi="Book Antiqua"/>
          <w:sz w:val="24"/>
          <w:szCs w:val="24"/>
        </w:rPr>
      </w:pPr>
      <w:r w:rsidRPr="00750F0A">
        <w:rPr>
          <w:rFonts w:ascii="Book Antiqua" w:hAnsi="Book Antiqua"/>
          <w:sz w:val="24"/>
          <w:szCs w:val="24"/>
        </w:rPr>
        <w:t xml:space="preserve">Date: </w:t>
      </w:r>
      <w:r w:rsidRPr="00750F0A">
        <w:rPr>
          <w:rFonts w:ascii="Book Antiqua" w:hAnsi="Book Antiqua"/>
          <w:sz w:val="24"/>
          <w:szCs w:val="24"/>
        </w:rPr>
        <w:tab/>
      </w:r>
      <w:r w:rsidR="00372C9E" w:rsidRPr="00750F0A">
        <w:rPr>
          <w:rFonts w:ascii="Book Antiqua" w:hAnsi="Book Antiqua"/>
          <w:sz w:val="24"/>
          <w:szCs w:val="24"/>
        </w:rPr>
        <w:t>20 August 2020</w:t>
      </w:r>
      <w:r w:rsidR="008344E5" w:rsidRPr="00750F0A">
        <w:rPr>
          <w:rFonts w:ascii="Book Antiqua" w:hAnsi="Book Antiqua" w:cs="Arial"/>
          <w:sz w:val="24"/>
          <w:szCs w:val="24"/>
        </w:rPr>
        <w:t xml:space="preserve">     </w:t>
      </w:r>
    </w:p>
    <w:sectPr w:rsidR="008344E5" w:rsidRPr="00750F0A" w:rsidSect="00750F0A">
      <w:headerReference w:type="default" r:id="rId9"/>
      <w:footerReference w:type="default" r:id="rId10"/>
      <w:footerReference w:type="first" r:id="rId11"/>
      <w:pgSz w:w="11906" w:h="16838"/>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152BC" w14:textId="77777777" w:rsidR="008752AF" w:rsidRDefault="008752AF" w:rsidP="00927545">
      <w:pPr>
        <w:spacing w:after="0" w:line="240" w:lineRule="auto"/>
      </w:pPr>
      <w:r>
        <w:separator/>
      </w:r>
    </w:p>
  </w:endnote>
  <w:endnote w:type="continuationSeparator" w:id="0">
    <w:p w14:paraId="1D318457" w14:textId="77777777" w:rsidR="008752AF" w:rsidRDefault="008752AF" w:rsidP="0092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547965"/>
      <w:docPartObj>
        <w:docPartGallery w:val="Page Numbers (Bottom of Page)"/>
        <w:docPartUnique/>
      </w:docPartObj>
    </w:sdtPr>
    <w:sdtEndPr>
      <w:rPr>
        <w:rFonts w:ascii="Book Antiqua" w:hAnsi="Book Antiqua"/>
        <w:noProof/>
        <w:sz w:val="24"/>
        <w:szCs w:val="24"/>
      </w:rPr>
    </w:sdtEndPr>
    <w:sdtContent>
      <w:p w14:paraId="0C5C42A4" w14:textId="514173F5" w:rsidR="00927545" w:rsidRPr="00750F0A" w:rsidRDefault="00927545">
        <w:pPr>
          <w:pStyle w:val="Footer"/>
          <w:jc w:val="center"/>
          <w:rPr>
            <w:rFonts w:ascii="Book Antiqua" w:hAnsi="Book Antiqua"/>
            <w:sz w:val="24"/>
            <w:szCs w:val="24"/>
          </w:rPr>
        </w:pPr>
        <w:r w:rsidRPr="00750F0A">
          <w:rPr>
            <w:rFonts w:ascii="Book Antiqua" w:hAnsi="Book Antiqua"/>
            <w:sz w:val="24"/>
            <w:szCs w:val="24"/>
          </w:rPr>
          <w:fldChar w:fldCharType="begin"/>
        </w:r>
        <w:r w:rsidRPr="00750F0A">
          <w:rPr>
            <w:rFonts w:ascii="Book Antiqua" w:hAnsi="Book Antiqua"/>
            <w:sz w:val="24"/>
            <w:szCs w:val="24"/>
          </w:rPr>
          <w:instrText xml:space="preserve"> PAGE   \* MERGEFORMAT </w:instrText>
        </w:r>
        <w:r w:rsidRPr="00750F0A">
          <w:rPr>
            <w:rFonts w:ascii="Book Antiqua" w:hAnsi="Book Antiqua"/>
            <w:sz w:val="24"/>
            <w:szCs w:val="24"/>
          </w:rPr>
          <w:fldChar w:fldCharType="separate"/>
        </w:r>
        <w:r w:rsidR="00E312A0" w:rsidRPr="00750F0A">
          <w:rPr>
            <w:rFonts w:ascii="Book Antiqua" w:hAnsi="Book Antiqua"/>
            <w:noProof/>
            <w:sz w:val="24"/>
            <w:szCs w:val="24"/>
          </w:rPr>
          <w:t>7</w:t>
        </w:r>
        <w:r w:rsidRPr="00750F0A">
          <w:rPr>
            <w:rFonts w:ascii="Book Antiqua" w:hAnsi="Book Antiqua"/>
            <w:noProof/>
            <w:sz w:val="24"/>
            <w:szCs w:val="24"/>
          </w:rPr>
          <w:fldChar w:fldCharType="end"/>
        </w:r>
      </w:p>
    </w:sdtContent>
  </w:sdt>
  <w:p w14:paraId="7B9F7B00" w14:textId="77777777" w:rsidR="00927545" w:rsidRDefault="009275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542A5" w14:textId="1181C549" w:rsidR="00927545" w:rsidRPr="00927545" w:rsidRDefault="00750F0A" w:rsidP="00927545">
    <w:pPr>
      <w:tabs>
        <w:tab w:val="left" w:pos="2520"/>
      </w:tabs>
      <w:spacing w:after="0" w:line="240" w:lineRule="auto"/>
      <w:jc w:val="center"/>
      <w:rPr>
        <w:rFonts w:ascii="Book Antiqua" w:hAnsi="Book Antiqua" w:cs="Arial"/>
        <w:b/>
        <w:sz w:val="24"/>
        <w:szCs w:val="24"/>
        <w:lang w:eastAsia="en-GB"/>
      </w:rPr>
    </w:pPr>
    <w:r w:rsidRPr="00927545">
      <w:rPr>
        <w:rFonts w:ascii="Book Antiqua" w:hAnsi="Book Antiqua" w:cs="Arial"/>
        <w:b/>
        <w:sz w:val="24"/>
        <w:szCs w:val="24"/>
        <w:lang w:eastAsia="en-GB"/>
      </w:rPr>
      <w:t xml:space="preserve">CROWN </w:t>
    </w:r>
    <w:r>
      <w:rPr>
        <w:rFonts w:ascii="Book Antiqua" w:hAnsi="Book Antiqua" w:cs="Arial"/>
        <w:b/>
        <w:sz w:val="24"/>
        <w:szCs w:val="24"/>
        <w:lang w:eastAsia="en-GB"/>
      </w:rPr>
      <w:t>C</w:t>
    </w:r>
    <w:r w:rsidRPr="00927545">
      <w:rPr>
        <w:rFonts w:ascii="Book Antiqua" w:hAnsi="Book Antiqua" w:cs="Arial"/>
        <w:b/>
        <w:sz w:val="24"/>
        <w:szCs w:val="24"/>
        <w:lang w:eastAsia="en-GB"/>
      </w:rPr>
      <w:t>OPYRIGHT © 2020</w:t>
    </w:r>
  </w:p>
  <w:p w14:paraId="20D09E00" w14:textId="77777777" w:rsidR="00927545" w:rsidRDefault="00927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CF703" w14:textId="77777777" w:rsidR="008752AF" w:rsidRDefault="008752AF" w:rsidP="00927545">
      <w:pPr>
        <w:spacing w:after="0" w:line="240" w:lineRule="auto"/>
      </w:pPr>
      <w:r>
        <w:separator/>
      </w:r>
    </w:p>
  </w:footnote>
  <w:footnote w:type="continuationSeparator" w:id="0">
    <w:p w14:paraId="5BF35D2C" w14:textId="77777777" w:rsidR="008752AF" w:rsidRDefault="008752AF" w:rsidP="00927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F2B3" w14:textId="4D7A3DF8" w:rsidR="00927545" w:rsidRDefault="00750F0A" w:rsidP="00927545">
    <w:pPr>
      <w:pStyle w:val="Header"/>
      <w:jc w:val="right"/>
      <w:rPr>
        <w:rFonts w:ascii="Book Antiqua" w:hAnsi="Book Antiqua"/>
        <w:sz w:val="16"/>
        <w:szCs w:val="16"/>
      </w:rPr>
    </w:pPr>
    <w:r w:rsidRPr="00750F0A">
      <w:rPr>
        <w:rFonts w:ascii="Book Antiqua" w:hAnsi="Book Antiqua"/>
        <w:sz w:val="16"/>
        <w:szCs w:val="16"/>
      </w:rPr>
      <w:t xml:space="preserve">Appeal Number: </w:t>
    </w:r>
    <w:r w:rsidR="00927545" w:rsidRPr="00750F0A">
      <w:rPr>
        <w:rFonts w:ascii="Book Antiqua" w:hAnsi="Book Antiqua"/>
        <w:sz w:val="16"/>
        <w:szCs w:val="16"/>
      </w:rPr>
      <w:t>EA/03499/2019</w:t>
    </w:r>
  </w:p>
  <w:p w14:paraId="65A81FAB" w14:textId="77777777" w:rsidR="00750F0A" w:rsidRPr="00750F0A" w:rsidRDefault="00750F0A" w:rsidP="00927545">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B05E8"/>
    <w:multiLevelType w:val="hybridMultilevel"/>
    <w:tmpl w:val="87FA2C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2E4358"/>
    <w:multiLevelType w:val="hybridMultilevel"/>
    <w:tmpl w:val="1EDC46D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BC4"/>
    <w:rsid w:val="00007352"/>
    <w:rsid w:val="00011520"/>
    <w:rsid w:val="00011B71"/>
    <w:rsid w:val="00013879"/>
    <w:rsid w:val="00013A90"/>
    <w:rsid w:val="00015E5B"/>
    <w:rsid w:val="0003044F"/>
    <w:rsid w:val="00032087"/>
    <w:rsid w:val="00032F0B"/>
    <w:rsid w:val="00034B72"/>
    <w:rsid w:val="00045693"/>
    <w:rsid w:val="00057FCE"/>
    <w:rsid w:val="000653C0"/>
    <w:rsid w:val="0006726B"/>
    <w:rsid w:val="00067964"/>
    <w:rsid w:val="00072C7D"/>
    <w:rsid w:val="00075985"/>
    <w:rsid w:val="0007631A"/>
    <w:rsid w:val="000770BF"/>
    <w:rsid w:val="00080025"/>
    <w:rsid w:val="00081FBB"/>
    <w:rsid w:val="0008314B"/>
    <w:rsid w:val="00086309"/>
    <w:rsid w:val="00090CF5"/>
    <w:rsid w:val="000A071E"/>
    <w:rsid w:val="000A20EF"/>
    <w:rsid w:val="000A38D5"/>
    <w:rsid w:val="000B0072"/>
    <w:rsid w:val="000B18DA"/>
    <w:rsid w:val="000B3682"/>
    <w:rsid w:val="000B69CD"/>
    <w:rsid w:val="000B72B3"/>
    <w:rsid w:val="000C213C"/>
    <w:rsid w:val="000D5987"/>
    <w:rsid w:val="000D7DC7"/>
    <w:rsid w:val="000E0EC3"/>
    <w:rsid w:val="000E3F5E"/>
    <w:rsid w:val="000F1175"/>
    <w:rsid w:val="000F5C88"/>
    <w:rsid w:val="000F5FCA"/>
    <w:rsid w:val="00103801"/>
    <w:rsid w:val="00112FC7"/>
    <w:rsid w:val="001134F8"/>
    <w:rsid w:val="00116BEB"/>
    <w:rsid w:val="00124BC9"/>
    <w:rsid w:val="00127BEF"/>
    <w:rsid w:val="00130BA4"/>
    <w:rsid w:val="0013275F"/>
    <w:rsid w:val="001418C2"/>
    <w:rsid w:val="00146EDE"/>
    <w:rsid w:val="00164A82"/>
    <w:rsid w:val="00173B5B"/>
    <w:rsid w:val="00175BE0"/>
    <w:rsid w:val="001815A2"/>
    <w:rsid w:val="00185AF9"/>
    <w:rsid w:val="00190C9B"/>
    <w:rsid w:val="00193199"/>
    <w:rsid w:val="001A3379"/>
    <w:rsid w:val="001B1086"/>
    <w:rsid w:val="001B7E2B"/>
    <w:rsid w:val="001C22BE"/>
    <w:rsid w:val="001C347A"/>
    <w:rsid w:val="001C46C7"/>
    <w:rsid w:val="001D7CD6"/>
    <w:rsid w:val="001E36DB"/>
    <w:rsid w:val="001F3DE5"/>
    <w:rsid w:val="001F40AB"/>
    <w:rsid w:val="00204C4E"/>
    <w:rsid w:val="00214B52"/>
    <w:rsid w:val="00216910"/>
    <w:rsid w:val="00220E19"/>
    <w:rsid w:val="00221DCF"/>
    <w:rsid w:val="002242DE"/>
    <w:rsid w:val="002307D8"/>
    <w:rsid w:val="0023211E"/>
    <w:rsid w:val="0023384E"/>
    <w:rsid w:val="002342C2"/>
    <w:rsid w:val="00242354"/>
    <w:rsid w:val="00245388"/>
    <w:rsid w:val="00246B0C"/>
    <w:rsid w:val="002656C5"/>
    <w:rsid w:val="00274006"/>
    <w:rsid w:val="00276B41"/>
    <w:rsid w:val="00290F59"/>
    <w:rsid w:val="002A1ED2"/>
    <w:rsid w:val="002A2276"/>
    <w:rsid w:val="002A7079"/>
    <w:rsid w:val="002B0297"/>
    <w:rsid w:val="002B31F4"/>
    <w:rsid w:val="002B4BFC"/>
    <w:rsid w:val="002B637F"/>
    <w:rsid w:val="002C4BB6"/>
    <w:rsid w:val="002D6BC2"/>
    <w:rsid w:val="002E282F"/>
    <w:rsid w:val="002F4B64"/>
    <w:rsid w:val="00300755"/>
    <w:rsid w:val="00301876"/>
    <w:rsid w:val="00301C45"/>
    <w:rsid w:val="00304CAE"/>
    <w:rsid w:val="00305573"/>
    <w:rsid w:val="003067A3"/>
    <w:rsid w:val="00306C92"/>
    <w:rsid w:val="00307574"/>
    <w:rsid w:val="00310371"/>
    <w:rsid w:val="00313D8E"/>
    <w:rsid w:val="00314B68"/>
    <w:rsid w:val="00316AB0"/>
    <w:rsid w:val="00321526"/>
    <w:rsid w:val="00324095"/>
    <w:rsid w:val="0032747B"/>
    <w:rsid w:val="0033103E"/>
    <w:rsid w:val="00344686"/>
    <w:rsid w:val="00346711"/>
    <w:rsid w:val="00364C01"/>
    <w:rsid w:val="0036518E"/>
    <w:rsid w:val="003670EC"/>
    <w:rsid w:val="00370C0F"/>
    <w:rsid w:val="00370E51"/>
    <w:rsid w:val="00372C9E"/>
    <w:rsid w:val="003740AB"/>
    <w:rsid w:val="003770ED"/>
    <w:rsid w:val="0037782A"/>
    <w:rsid w:val="00377A8F"/>
    <w:rsid w:val="003932AA"/>
    <w:rsid w:val="0039591F"/>
    <w:rsid w:val="003A004C"/>
    <w:rsid w:val="003B3A1D"/>
    <w:rsid w:val="003B5C63"/>
    <w:rsid w:val="003C2D2E"/>
    <w:rsid w:val="003C375F"/>
    <w:rsid w:val="003D15E8"/>
    <w:rsid w:val="003D4C06"/>
    <w:rsid w:val="003E020D"/>
    <w:rsid w:val="003E0CBA"/>
    <w:rsid w:val="003E169C"/>
    <w:rsid w:val="003E5F94"/>
    <w:rsid w:val="003E71E0"/>
    <w:rsid w:val="003F4D6B"/>
    <w:rsid w:val="003F540A"/>
    <w:rsid w:val="00403F08"/>
    <w:rsid w:val="00406DD5"/>
    <w:rsid w:val="00406E02"/>
    <w:rsid w:val="00414029"/>
    <w:rsid w:val="00416D77"/>
    <w:rsid w:val="00422C7A"/>
    <w:rsid w:val="00422EB6"/>
    <w:rsid w:val="00424402"/>
    <w:rsid w:val="00424F84"/>
    <w:rsid w:val="00431FF8"/>
    <w:rsid w:val="00435E6B"/>
    <w:rsid w:val="00444B27"/>
    <w:rsid w:val="00457CB9"/>
    <w:rsid w:val="00463C55"/>
    <w:rsid w:val="00472233"/>
    <w:rsid w:val="00472928"/>
    <w:rsid w:val="00475495"/>
    <w:rsid w:val="00477028"/>
    <w:rsid w:val="00486641"/>
    <w:rsid w:val="004908F4"/>
    <w:rsid w:val="00491039"/>
    <w:rsid w:val="00492953"/>
    <w:rsid w:val="004947B4"/>
    <w:rsid w:val="00497B97"/>
    <w:rsid w:val="004A003C"/>
    <w:rsid w:val="004A4211"/>
    <w:rsid w:val="004A473B"/>
    <w:rsid w:val="004A4F1B"/>
    <w:rsid w:val="004B146F"/>
    <w:rsid w:val="004B1679"/>
    <w:rsid w:val="004B7734"/>
    <w:rsid w:val="004B7ED2"/>
    <w:rsid w:val="004C51FE"/>
    <w:rsid w:val="004C56A8"/>
    <w:rsid w:val="004D6449"/>
    <w:rsid w:val="004E4364"/>
    <w:rsid w:val="004F574B"/>
    <w:rsid w:val="004F5E28"/>
    <w:rsid w:val="004F739B"/>
    <w:rsid w:val="005133A4"/>
    <w:rsid w:val="00517D7A"/>
    <w:rsid w:val="00520A63"/>
    <w:rsid w:val="00525110"/>
    <w:rsid w:val="00531749"/>
    <w:rsid w:val="00531D72"/>
    <w:rsid w:val="0053231A"/>
    <w:rsid w:val="00532E6A"/>
    <w:rsid w:val="00534658"/>
    <w:rsid w:val="00537159"/>
    <w:rsid w:val="0054333C"/>
    <w:rsid w:val="0055692C"/>
    <w:rsid w:val="00557C10"/>
    <w:rsid w:val="005605FD"/>
    <w:rsid w:val="00560820"/>
    <w:rsid w:val="00561B93"/>
    <w:rsid w:val="00562099"/>
    <w:rsid w:val="00570CAA"/>
    <w:rsid w:val="00576366"/>
    <w:rsid w:val="0058334E"/>
    <w:rsid w:val="00590C78"/>
    <w:rsid w:val="00594483"/>
    <w:rsid w:val="00596BD7"/>
    <w:rsid w:val="005B0749"/>
    <w:rsid w:val="005B173D"/>
    <w:rsid w:val="005C1D83"/>
    <w:rsid w:val="005D1618"/>
    <w:rsid w:val="005D7BD6"/>
    <w:rsid w:val="005E4C36"/>
    <w:rsid w:val="005F37E3"/>
    <w:rsid w:val="005F3CCF"/>
    <w:rsid w:val="005F59F2"/>
    <w:rsid w:val="00600DFC"/>
    <w:rsid w:val="006052E7"/>
    <w:rsid w:val="00606C88"/>
    <w:rsid w:val="006074F9"/>
    <w:rsid w:val="006119C1"/>
    <w:rsid w:val="00611E36"/>
    <w:rsid w:val="00613EB6"/>
    <w:rsid w:val="00617657"/>
    <w:rsid w:val="0062297D"/>
    <w:rsid w:val="0062432B"/>
    <w:rsid w:val="00626F97"/>
    <w:rsid w:val="006301AF"/>
    <w:rsid w:val="00632450"/>
    <w:rsid w:val="0064282D"/>
    <w:rsid w:val="00643137"/>
    <w:rsid w:val="00662D4B"/>
    <w:rsid w:val="00670B11"/>
    <w:rsid w:val="0067188C"/>
    <w:rsid w:val="00680C60"/>
    <w:rsid w:val="006A1A31"/>
    <w:rsid w:val="006A63B3"/>
    <w:rsid w:val="006A7E14"/>
    <w:rsid w:val="006B0723"/>
    <w:rsid w:val="006C2C7C"/>
    <w:rsid w:val="006C7481"/>
    <w:rsid w:val="006E103D"/>
    <w:rsid w:val="006E5EAC"/>
    <w:rsid w:val="006E6DA9"/>
    <w:rsid w:val="006F49C6"/>
    <w:rsid w:val="007168CD"/>
    <w:rsid w:val="007212F0"/>
    <w:rsid w:val="00734691"/>
    <w:rsid w:val="007365A7"/>
    <w:rsid w:val="0073705E"/>
    <w:rsid w:val="00745BBD"/>
    <w:rsid w:val="0075054F"/>
    <w:rsid w:val="007506DB"/>
    <w:rsid w:val="00750F0A"/>
    <w:rsid w:val="007539E5"/>
    <w:rsid w:val="007626C2"/>
    <w:rsid w:val="00773012"/>
    <w:rsid w:val="0077352F"/>
    <w:rsid w:val="0078510E"/>
    <w:rsid w:val="00790316"/>
    <w:rsid w:val="007905AE"/>
    <w:rsid w:val="00790616"/>
    <w:rsid w:val="00792572"/>
    <w:rsid w:val="0079429E"/>
    <w:rsid w:val="007A399B"/>
    <w:rsid w:val="007C2763"/>
    <w:rsid w:val="007C3C30"/>
    <w:rsid w:val="007E2A21"/>
    <w:rsid w:val="007E74F0"/>
    <w:rsid w:val="007F1E83"/>
    <w:rsid w:val="007F2B88"/>
    <w:rsid w:val="008006E3"/>
    <w:rsid w:val="00800C6A"/>
    <w:rsid w:val="00802363"/>
    <w:rsid w:val="00802787"/>
    <w:rsid w:val="008035C1"/>
    <w:rsid w:val="00810661"/>
    <w:rsid w:val="00814947"/>
    <w:rsid w:val="00816A92"/>
    <w:rsid w:val="008344E5"/>
    <w:rsid w:val="00836F5F"/>
    <w:rsid w:val="008374B2"/>
    <w:rsid w:val="00854961"/>
    <w:rsid w:val="008651BA"/>
    <w:rsid w:val="0086564E"/>
    <w:rsid w:val="008704E8"/>
    <w:rsid w:val="00871A4C"/>
    <w:rsid w:val="008740C8"/>
    <w:rsid w:val="008752AF"/>
    <w:rsid w:val="0088102D"/>
    <w:rsid w:val="00881066"/>
    <w:rsid w:val="0088159D"/>
    <w:rsid w:val="00881DA6"/>
    <w:rsid w:val="00882A06"/>
    <w:rsid w:val="008A31FA"/>
    <w:rsid w:val="008A32D2"/>
    <w:rsid w:val="008A5857"/>
    <w:rsid w:val="008A60F3"/>
    <w:rsid w:val="008A6A93"/>
    <w:rsid w:val="008C051B"/>
    <w:rsid w:val="008D2DED"/>
    <w:rsid w:val="008D2EF1"/>
    <w:rsid w:val="008D75B8"/>
    <w:rsid w:val="008E285E"/>
    <w:rsid w:val="008E290A"/>
    <w:rsid w:val="008F6038"/>
    <w:rsid w:val="00901D16"/>
    <w:rsid w:val="0090201F"/>
    <w:rsid w:val="00903C48"/>
    <w:rsid w:val="0090679F"/>
    <w:rsid w:val="009119AF"/>
    <w:rsid w:val="00914D00"/>
    <w:rsid w:val="00914EB5"/>
    <w:rsid w:val="00920699"/>
    <w:rsid w:val="009218BE"/>
    <w:rsid w:val="00922841"/>
    <w:rsid w:val="00927545"/>
    <w:rsid w:val="0093160D"/>
    <w:rsid w:val="0093406A"/>
    <w:rsid w:val="00940C70"/>
    <w:rsid w:val="009455C3"/>
    <w:rsid w:val="00952A82"/>
    <w:rsid w:val="00952F15"/>
    <w:rsid w:val="00953F52"/>
    <w:rsid w:val="00954BDB"/>
    <w:rsid w:val="00965C4E"/>
    <w:rsid w:val="0097335A"/>
    <w:rsid w:val="00973BBA"/>
    <w:rsid w:val="009808AE"/>
    <w:rsid w:val="00981CAD"/>
    <w:rsid w:val="00982C0C"/>
    <w:rsid w:val="00987E87"/>
    <w:rsid w:val="00990C57"/>
    <w:rsid w:val="0099260B"/>
    <w:rsid w:val="00996DC5"/>
    <w:rsid w:val="009B4F6A"/>
    <w:rsid w:val="009B5D78"/>
    <w:rsid w:val="009C60FD"/>
    <w:rsid w:val="009D053B"/>
    <w:rsid w:val="009D2B85"/>
    <w:rsid w:val="009D325E"/>
    <w:rsid w:val="009D3576"/>
    <w:rsid w:val="009E207A"/>
    <w:rsid w:val="009E34D9"/>
    <w:rsid w:val="009E3E60"/>
    <w:rsid w:val="009E4658"/>
    <w:rsid w:val="009F285B"/>
    <w:rsid w:val="009F3AF8"/>
    <w:rsid w:val="009F40E0"/>
    <w:rsid w:val="00A118F4"/>
    <w:rsid w:val="00A16CAA"/>
    <w:rsid w:val="00A2158B"/>
    <w:rsid w:val="00A30060"/>
    <w:rsid w:val="00A3196D"/>
    <w:rsid w:val="00A31F45"/>
    <w:rsid w:val="00A32A09"/>
    <w:rsid w:val="00A37D30"/>
    <w:rsid w:val="00A46105"/>
    <w:rsid w:val="00A46658"/>
    <w:rsid w:val="00A47B16"/>
    <w:rsid w:val="00A578C8"/>
    <w:rsid w:val="00A61CA2"/>
    <w:rsid w:val="00A6232D"/>
    <w:rsid w:val="00A72737"/>
    <w:rsid w:val="00A77C09"/>
    <w:rsid w:val="00A81976"/>
    <w:rsid w:val="00A83977"/>
    <w:rsid w:val="00A84043"/>
    <w:rsid w:val="00A847D1"/>
    <w:rsid w:val="00A91C9C"/>
    <w:rsid w:val="00A9688F"/>
    <w:rsid w:val="00AA236B"/>
    <w:rsid w:val="00AB3BC1"/>
    <w:rsid w:val="00AD32B0"/>
    <w:rsid w:val="00AD62CC"/>
    <w:rsid w:val="00AE5710"/>
    <w:rsid w:val="00AE767F"/>
    <w:rsid w:val="00AE7E72"/>
    <w:rsid w:val="00B02E77"/>
    <w:rsid w:val="00B15F54"/>
    <w:rsid w:val="00B25891"/>
    <w:rsid w:val="00B25D4F"/>
    <w:rsid w:val="00B379D6"/>
    <w:rsid w:val="00B37B7C"/>
    <w:rsid w:val="00B4035A"/>
    <w:rsid w:val="00B42DF7"/>
    <w:rsid w:val="00B46978"/>
    <w:rsid w:val="00B47632"/>
    <w:rsid w:val="00B4770D"/>
    <w:rsid w:val="00B602AD"/>
    <w:rsid w:val="00B62AED"/>
    <w:rsid w:val="00B721A4"/>
    <w:rsid w:val="00B74413"/>
    <w:rsid w:val="00B74F77"/>
    <w:rsid w:val="00B7590E"/>
    <w:rsid w:val="00B76458"/>
    <w:rsid w:val="00B82D9E"/>
    <w:rsid w:val="00B92287"/>
    <w:rsid w:val="00B938F6"/>
    <w:rsid w:val="00B94161"/>
    <w:rsid w:val="00BA68B7"/>
    <w:rsid w:val="00BC387D"/>
    <w:rsid w:val="00BC5E13"/>
    <w:rsid w:val="00BC6C2D"/>
    <w:rsid w:val="00BC7544"/>
    <w:rsid w:val="00BD48DE"/>
    <w:rsid w:val="00BD4FCC"/>
    <w:rsid w:val="00BD6AD2"/>
    <w:rsid w:val="00BE703F"/>
    <w:rsid w:val="00BF233A"/>
    <w:rsid w:val="00C00397"/>
    <w:rsid w:val="00C009EC"/>
    <w:rsid w:val="00C204D1"/>
    <w:rsid w:val="00C2303A"/>
    <w:rsid w:val="00C241AB"/>
    <w:rsid w:val="00C27388"/>
    <w:rsid w:val="00C362DB"/>
    <w:rsid w:val="00C43600"/>
    <w:rsid w:val="00C508DF"/>
    <w:rsid w:val="00C55D12"/>
    <w:rsid w:val="00C55E0E"/>
    <w:rsid w:val="00C57707"/>
    <w:rsid w:val="00C64188"/>
    <w:rsid w:val="00C81B31"/>
    <w:rsid w:val="00C83AB0"/>
    <w:rsid w:val="00C902B9"/>
    <w:rsid w:val="00C91547"/>
    <w:rsid w:val="00CA2E1D"/>
    <w:rsid w:val="00CB624E"/>
    <w:rsid w:val="00CC2F42"/>
    <w:rsid w:val="00CC40DF"/>
    <w:rsid w:val="00CC6465"/>
    <w:rsid w:val="00CD49B6"/>
    <w:rsid w:val="00CD676B"/>
    <w:rsid w:val="00CE2445"/>
    <w:rsid w:val="00CE5ACC"/>
    <w:rsid w:val="00D0038A"/>
    <w:rsid w:val="00D05B7F"/>
    <w:rsid w:val="00D20384"/>
    <w:rsid w:val="00D34764"/>
    <w:rsid w:val="00D46F59"/>
    <w:rsid w:val="00D52057"/>
    <w:rsid w:val="00D52DE5"/>
    <w:rsid w:val="00D56848"/>
    <w:rsid w:val="00D57B33"/>
    <w:rsid w:val="00D611D2"/>
    <w:rsid w:val="00D61B8E"/>
    <w:rsid w:val="00D65786"/>
    <w:rsid w:val="00D65EC0"/>
    <w:rsid w:val="00D67573"/>
    <w:rsid w:val="00D7015A"/>
    <w:rsid w:val="00D82AF7"/>
    <w:rsid w:val="00D858EA"/>
    <w:rsid w:val="00DA0DC9"/>
    <w:rsid w:val="00DA3949"/>
    <w:rsid w:val="00DA6A26"/>
    <w:rsid w:val="00DB3CE5"/>
    <w:rsid w:val="00DC493E"/>
    <w:rsid w:val="00DC566F"/>
    <w:rsid w:val="00DC7378"/>
    <w:rsid w:val="00DC7C18"/>
    <w:rsid w:val="00DD4FE8"/>
    <w:rsid w:val="00DE12CD"/>
    <w:rsid w:val="00DE1CD1"/>
    <w:rsid w:val="00DE48B0"/>
    <w:rsid w:val="00DE4DBF"/>
    <w:rsid w:val="00DE5D05"/>
    <w:rsid w:val="00DE5DEE"/>
    <w:rsid w:val="00DF3DB6"/>
    <w:rsid w:val="00DF553B"/>
    <w:rsid w:val="00E01B3F"/>
    <w:rsid w:val="00E04160"/>
    <w:rsid w:val="00E05E65"/>
    <w:rsid w:val="00E1322C"/>
    <w:rsid w:val="00E1564C"/>
    <w:rsid w:val="00E17CCB"/>
    <w:rsid w:val="00E234A1"/>
    <w:rsid w:val="00E312A0"/>
    <w:rsid w:val="00E36EC9"/>
    <w:rsid w:val="00E505C3"/>
    <w:rsid w:val="00E51C2B"/>
    <w:rsid w:val="00E573EB"/>
    <w:rsid w:val="00E613DE"/>
    <w:rsid w:val="00E65F56"/>
    <w:rsid w:val="00E7214E"/>
    <w:rsid w:val="00E73154"/>
    <w:rsid w:val="00E742C3"/>
    <w:rsid w:val="00E773B7"/>
    <w:rsid w:val="00E83510"/>
    <w:rsid w:val="00E947A3"/>
    <w:rsid w:val="00EC6071"/>
    <w:rsid w:val="00ED5524"/>
    <w:rsid w:val="00ED5C49"/>
    <w:rsid w:val="00EE39EF"/>
    <w:rsid w:val="00EE647A"/>
    <w:rsid w:val="00EE6DCE"/>
    <w:rsid w:val="00EF6339"/>
    <w:rsid w:val="00F023EA"/>
    <w:rsid w:val="00F05037"/>
    <w:rsid w:val="00F104C8"/>
    <w:rsid w:val="00F13D0E"/>
    <w:rsid w:val="00F1628F"/>
    <w:rsid w:val="00F21BA7"/>
    <w:rsid w:val="00F2459F"/>
    <w:rsid w:val="00F30254"/>
    <w:rsid w:val="00F35BC4"/>
    <w:rsid w:val="00F40B90"/>
    <w:rsid w:val="00F45BAC"/>
    <w:rsid w:val="00F54102"/>
    <w:rsid w:val="00F5536C"/>
    <w:rsid w:val="00F62328"/>
    <w:rsid w:val="00F62944"/>
    <w:rsid w:val="00F672D4"/>
    <w:rsid w:val="00F70C5F"/>
    <w:rsid w:val="00F71E5A"/>
    <w:rsid w:val="00F7388B"/>
    <w:rsid w:val="00F738EE"/>
    <w:rsid w:val="00F75427"/>
    <w:rsid w:val="00F831C5"/>
    <w:rsid w:val="00F85A0F"/>
    <w:rsid w:val="00F91076"/>
    <w:rsid w:val="00F91BEA"/>
    <w:rsid w:val="00FA4B61"/>
    <w:rsid w:val="00FA5A00"/>
    <w:rsid w:val="00FA6098"/>
    <w:rsid w:val="00FB29D9"/>
    <w:rsid w:val="00FB41E3"/>
    <w:rsid w:val="00FB6F39"/>
    <w:rsid w:val="00FC03DC"/>
    <w:rsid w:val="00FC478A"/>
    <w:rsid w:val="00FC6244"/>
    <w:rsid w:val="00FD1888"/>
    <w:rsid w:val="00FE07B1"/>
    <w:rsid w:val="00FE29D9"/>
    <w:rsid w:val="00FE4EB0"/>
    <w:rsid w:val="00FF4EE3"/>
    <w:rsid w:val="00FF6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3A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2">
    <w:name w:val="s2"/>
    <w:basedOn w:val="DefaultParagraphFont"/>
    <w:rsid w:val="000B0072"/>
  </w:style>
  <w:style w:type="character" w:customStyle="1" w:styleId="apple-converted-space">
    <w:name w:val="apple-converted-space"/>
    <w:basedOn w:val="DefaultParagraphFont"/>
    <w:rsid w:val="000B0072"/>
  </w:style>
  <w:style w:type="paragraph" w:styleId="ListParagraph">
    <w:name w:val="List Paragraph"/>
    <w:basedOn w:val="Normal"/>
    <w:uiPriority w:val="34"/>
    <w:qFormat/>
    <w:rsid w:val="000B0072"/>
    <w:pPr>
      <w:ind w:left="720"/>
      <w:contextualSpacing/>
    </w:pPr>
  </w:style>
  <w:style w:type="paragraph" w:styleId="Header">
    <w:name w:val="header"/>
    <w:basedOn w:val="Normal"/>
    <w:link w:val="HeaderChar"/>
    <w:uiPriority w:val="99"/>
    <w:unhideWhenUsed/>
    <w:rsid w:val="009275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545"/>
    <w:rPr>
      <w:sz w:val="22"/>
      <w:szCs w:val="22"/>
      <w:lang w:eastAsia="en-US"/>
    </w:rPr>
  </w:style>
  <w:style w:type="paragraph" w:styleId="Footer">
    <w:name w:val="footer"/>
    <w:basedOn w:val="Normal"/>
    <w:link w:val="FooterChar"/>
    <w:uiPriority w:val="99"/>
    <w:unhideWhenUsed/>
    <w:rsid w:val="00927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545"/>
    <w:rPr>
      <w:sz w:val="22"/>
      <w:szCs w:val="22"/>
      <w:lang w:eastAsia="en-US"/>
    </w:rPr>
  </w:style>
  <w:style w:type="paragraph" w:styleId="BalloonText">
    <w:name w:val="Balloon Text"/>
    <w:basedOn w:val="Normal"/>
    <w:link w:val="BalloonTextChar"/>
    <w:uiPriority w:val="99"/>
    <w:semiHidden/>
    <w:unhideWhenUsed/>
    <w:rsid w:val="00185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AF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755">
      <w:bodyDiv w:val="1"/>
      <w:marLeft w:val="0"/>
      <w:marRight w:val="0"/>
      <w:marTop w:val="0"/>
      <w:marBottom w:val="0"/>
      <w:divBdr>
        <w:top w:val="none" w:sz="0" w:space="0" w:color="auto"/>
        <w:left w:val="none" w:sz="0" w:space="0" w:color="auto"/>
        <w:bottom w:val="none" w:sz="0" w:space="0" w:color="auto"/>
        <w:right w:val="none" w:sz="0" w:space="0" w:color="auto"/>
      </w:divBdr>
    </w:div>
    <w:div w:id="412973441">
      <w:bodyDiv w:val="1"/>
      <w:marLeft w:val="0"/>
      <w:marRight w:val="0"/>
      <w:marTop w:val="0"/>
      <w:marBottom w:val="0"/>
      <w:divBdr>
        <w:top w:val="none" w:sz="0" w:space="0" w:color="auto"/>
        <w:left w:val="none" w:sz="0" w:space="0" w:color="auto"/>
        <w:bottom w:val="none" w:sz="0" w:space="0" w:color="auto"/>
        <w:right w:val="none" w:sz="0" w:space="0" w:color="auto"/>
      </w:divBdr>
    </w:div>
    <w:div w:id="1024792557">
      <w:bodyDiv w:val="1"/>
      <w:marLeft w:val="0"/>
      <w:marRight w:val="0"/>
      <w:marTop w:val="0"/>
      <w:marBottom w:val="0"/>
      <w:divBdr>
        <w:top w:val="none" w:sz="0" w:space="0" w:color="auto"/>
        <w:left w:val="none" w:sz="0" w:space="0" w:color="auto"/>
        <w:bottom w:val="none" w:sz="0" w:space="0" w:color="auto"/>
        <w:right w:val="none" w:sz="0" w:space="0" w:color="auto"/>
      </w:divBdr>
    </w:div>
    <w:div w:id="1406417689">
      <w:bodyDiv w:val="1"/>
      <w:marLeft w:val="0"/>
      <w:marRight w:val="0"/>
      <w:marTop w:val="0"/>
      <w:marBottom w:val="0"/>
      <w:divBdr>
        <w:top w:val="none" w:sz="0" w:space="0" w:color="auto"/>
        <w:left w:val="none" w:sz="0" w:space="0" w:color="auto"/>
        <w:bottom w:val="none" w:sz="0" w:space="0" w:color="auto"/>
        <w:right w:val="none" w:sz="0" w:space="0" w:color="auto"/>
      </w:divBdr>
    </w:div>
    <w:div w:id="141389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2514</Words>
  <Characters>14330</Characters>
  <Application>Microsoft Office Word</Application>
  <DocSecurity>0</DocSecurity>
  <Lines>119</Lines>
  <Paragraphs>33</Paragraphs>
  <ScaleCrop>false</ScaleCrop>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2020-09-11T13:18:00Z</dcterms:created>
  <dcterms:modified xsi:type="dcterms:W3CDTF">2020-09-11T13:18:00Z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