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7691" w14:textId="6B9EA354" w:rsidR="006542EE" w:rsidRDefault="006542EE" w:rsidP="00496EAF">
      <w:pPr>
        <w:spacing w:after="0" w:line="240" w:lineRule="auto"/>
        <w:jc w:val="center"/>
        <w:rPr>
          <w:rFonts w:ascii="Book Antiqua" w:hAnsi="Book Antiqua" w:cs="Arial"/>
          <w:color w:val="000000"/>
          <w:sz w:val="16"/>
          <w:szCs w:val="16"/>
        </w:rPr>
      </w:pPr>
      <w:r w:rsidRPr="00496EAF">
        <w:rPr>
          <w:rFonts w:ascii="Book Antiqua" w:hAnsi="Book Antiqua"/>
          <w:noProof/>
          <w:sz w:val="16"/>
          <w:szCs w:val="16"/>
        </w:rPr>
        <w:drawing>
          <wp:inline distT="0" distB="0" distL="0" distR="0" wp14:anchorId="487D12DA" wp14:editId="147248CD">
            <wp:extent cx="104775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3FECB0CC" w14:textId="77777777" w:rsidR="00496EAF" w:rsidRPr="00496EAF" w:rsidRDefault="00496EAF" w:rsidP="00496EAF">
      <w:pPr>
        <w:spacing w:after="0" w:line="240" w:lineRule="auto"/>
        <w:jc w:val="center"/>
        <w:rPr>
          <w:rFonts w:ascii="Book Antiqua" w:hAnsi="Book Antiqua" w:cs="Arial"/>
          <w:color w:val="000000"/>
          <w:sz w:val="16"/>
          <w:szCs w:val="16"/>
        </w:rPr>
      </w:pPr>
    </w:p>
    <w:p w14:paraId="3AAF93B6" w14:textId="77777777" w:rsidR="006542EE" w:rsidRPr="00D72A90" w:rsidRDefault="006542EE" w:rsidP="00496EAF">
      <w:pPr>
        <w:spacing w:after="0" w:line="240" w:lineRule="auto"/>
        <w:rPr>
          <w:rFonts w:ascii="Book Antiqua" w:hAnsi="Book Antiqua" w:cs="Arial"/>
          <w:b/>
          <w:color w:val="000000"/>
          <w:sz w:val="24"/>
          <w:szCs w:val="24"/>
        </w:rPr>
      </w:pPr>
      <w:r w:rsidRPr="00D72A90">
        <w:rPr>
          <w:rFonts w:ascii="Book Antiqua" w:hAnsi="Book Antiqua" w:cs="Arial"/>
          <w:b/>
          <w:color w:val="000000"/>
          <w:sz w:val="24"/>
          <w:szCs w:val="24"/>
        </w:rPr>
        <w:t>Upper Tribunal</w:t>
      </w:r>
    </w:p>
    <w:p w14:paraId="6A7DBC51" w14:textId="77777777" w:rsidR="00496EAF" w:rsidRDefault="006542EE" w:rsidP="00496EAF">
      <w:pPr>
        <w:tabs>
          <w:tab w:val="right" w:pos="9638"/>
        </w:tabs>
        <w:spacing w:after="0" w:line="240" w:lineRule="auto"/>
        <w:jc w:val="right"/>
        <w:rPr>
          <w:rFonts w:ascii="Book Antiqua" w:hAnsi="Book Antiqua" w:cs="Arial"/>
          <w:color w:val="000000"/>
          <w:sz w:val="24"/>
          <w:szCs w:val="24"/>
        </w:rPr>
      </w:pPr>
      <w:r w:rsidRPr="00D72A90">
        <w:rPr>
          <w:rFonts w:ascii="Book Antiqua" w:hAnsi="Book Antiqua" w:cs="Arial"/>
          <w:b/>
          <w:color w:val="000000"/>
          <w:sz w:val="24"/>
          <w:szCs w:val="24"/>
        </w:rPr>
        <w:t>(Immigration and Asylum Chamber)</w:t>
      </w:r>
      <w:r w:rsidR="00496EAF">
        <w:rPr>
          <w:rFonts w:ascii="Book Antiqua" w:hAnsi="Book Antiqua" w:cs="Arial"/>
          <w:b/>
          <w:color w:val="000000"/>
          <w:sz w:val="24"/>
          <w:szCs w:val="24"/>
        </w:rPr>
        <w:tab/>
      </w:r>
      <w:r w:rsidRPr="00D72A90">
        <w:rPr>
          <w:rFonts w:ascii="Book Antiqua" w:hAnsi="Book Antiqua" w:cs="Arial"/>
          <w:color w:val="000000"/>
          <w:sz w:val="24"/>
          <w:szCs w:val="24"/>
        </w:rPr>
        <w:t xml:space="preserve">Appeal </w:t>
      </w:r>
      <w:r w:rsidR="00D4767B" w:rsidRPr="00D72A90">
        <w:rPr>
          <w:rFonts w:ascii="Book Antiqua" w:hAnsi="Book Antiqua" w:cs="Arial"/>
          <w:color w:val="000000"/>
          <w:sz w:val="24"/>
          <w:szCs w:val="24"/>
        </w:rPr>
        <w:t>Numbers:</w:t>
      </w:r>
      <w:r w:rsidRPr="00D72A90">
        <w:rPr>
          <w:rFonts w:ascii="Book Antiqua" w:hAnsi="Book Antiqua" w:cs="Arial"/>
          <w:color w:val="000000"/>
          <w:sz w:val="24"/>
          <w:szCs w:val="24"/>
        </w:rPr>
        <w:t xml:space="preserve"> EA</w:t>
      </w:r>
      <w:r w:rsidR="00D40050" w:rsidRPr="00D72A90">
        <w:rPr>
          <w:rFonts w:ascii="Book Antiqua" w:hAnsi="Book Antiqua" w:cs="Arial"/>
          <w:color w:val="000000"/>
          <w:sz w:val="24"/>
          <w:szCs w:val="24"/>
        </w:rPr>
        <w:t>/</w:t>
      </w:r>
      <w:r w:rsidRPr="00D72A90">
        <w:rPr>
          <w:rFonts w:ascii="Book Antiqua" w:hAnsi="Book Antiqua" w:cs="Arial"/>
          <w:color w:val="000000"/>
          <w:sz w:val="24"/>
          <w:szCs w:val="24"/>
        </w:rPr>
        <w:t>0</w:t>
      </w:r>
      <w:r w:rsidR="007D5935">
        <w:rPr>
          <w:rFonts w:ascii="Book Antiqua" w:hAnsi="Book Antiqua" w:cs="Arial"/>
          <w:color w:val="000000"/>
          <w:sz w:val="24"/>
          <w:szCs w:val="24"/>
        </w:rPr>
        <w:t>3555/2017</w:t>
      </w:r>
    </w:p>
    <w:p w14:paraId="2B481551" w14:textId="50717E89" w:rsidR="006542EE" w:rsidRPr="00D72A90" w:rsidRDefault="00BB0781" w:rsidP="00496EAF">
      <w:pPr>
        <w:tabs>
          <w:tab w:val="right" w:pos="9638"/>
        </w:tabs>
        <w:spacing w:after="0" w:line="240" w:lineRule="auto"/>
        <w:jc w:val="right"/>
        <w:rPr>
          <w:rFonts w:ascii="Book Antiqua" w:hAnsi="Book Antiqua" w:cs="Arial"/>
          <w:color w:val="000000"/>
          <w:sz w:val="24"/>
          <w:szCs w:val="24"/>
        </w:rPr>
      </w:pPr>
      <w:r w:rsidRPr="00D72A90">
        <w:rPr>
          <w:rFonts w:ascii="Book Antiqua" w:hAnsi="Book Antiqua" w:cs="Arial"/>
          <w:color w:val="000000"/>
          <w:sz w:val="24"/>
          <w:szCs w:val="24"/>
        </w:rPr>
        <w:t>EA/03563/2017</w:t>
      </w:r>
    </w:p>
    <w:p w14:paraId="21D25B8E" w14:textId="77777777" w:rsidR="00496EAF" w:rsidRDefault="00496EAF" w:rsidP="00496EAF">
      <w:pPr>
        <w:spacing w:after="0" w:line="240" w:lineRule="auto"/>
        <w:jc w:val="center"/>
        <w:rPr>
          <w:rFonts w:ascii="Book Antiqua" w:hAnsi="Book Antiqua" w:cs="Arial"/>
          <w:b/>
          <w:color w:val="000000"/>
          <w:sz w:val="24"/>
          <w:szCs w:val="24"/>
          <w:u w:val="single"/>
        </w:rPr>
      </w:pPr>
    </w:p>
    <w:p w14:paraId="45FE4B93" w14:textId="77777777" w:rsidR="00496EAF" w:rsidRDefault="00496EAF" w:rsidP="00496EAF">
      <w:pPr>
        <w:spacing w:after="0" w:line="240" w:lineRule="auto"/>
        <w:jc w:val="center"/>
        <w:rPr>
          <w:rFonts w:ascii="Book Antiqua" w:hAnsi="Book Antiqua" w:cs="Arial"/>
          <w:b/>
          <w:color w:val="000000"/>
          <w:sz w:val="24"/>
          <w:szCs w:val="24"/>
          <w:u w:val="single"/>
        </w:rPr>
      </w:pPr>
    </w:p>
    <w:p w14:paraId="3399DB8F" w14:textId="439B612D" w:rsidR="006542EE" w:rsidRDefault="006542EE" w:rsidP="00496EAF">
      <w:pPr>
        <w:spacing w:after="0" w:line="240" w:lineRule="auto"/>
        <w:jc w:val="center"/>
        <w:rPr>
          <w:rFonts w:ascii="Book Antiqua" w:hAnsi="Book Antiqua" w:cs="Arial"/>
          <w:b/>
          <w:color w:val="000000"/>
          <w:sz w:val="24"/>
          <w:szCs w:val="24"/>
          <w:u w:val="single"/>
        </w:rPr>
      </w:pPr>
      <w:r w:rsidRPr="00D72A90">
        <w:rPr>
          <w:rFonts w:ascii="Book Antiqua" w:hAnsi="Book Antiqua" w:cs="Arial"/>
          <w:b/>
          <w:color w:val="000000"/>
          <w:sz w:val="24"/>
          <w:szCs w:val="24"/>
          <w:u w:val="single"/>
        </w:rPr>
        <w:t>THE IMMIGRATION ACTS</w:t>
      </w:r>
    </w:p>
    <w:p w14:paraId="3AEBCEB5" w14:textId="076989AA" w:rsidR="00496EAF" w:rsidRDefault="00496EAF" w:rsidP="00496EAF">
      <w:pPr>
        <w:spacing w:after="0" w:line="240" w:lineRule="auto"/>
        <w:jc w:val="center"/>
        <w:rPr>
          <w:rFonts w:ascii="Book Antiqua" w:hAnsi="Book Antiqua" w:cs="Arial"/>
          <w:b/>
          <w:color w:val="000000"/>
          <w:sz w:val="24"/>
          <w:szCs w:val="24"/>
          <w:u w:val="single"/>
        </w:rPr>
      </w:pPr>
    </w:p>
    <w:p w14:paraId="248608C8" w14:textId="77777777" w:rsidR="005A2134" w:rsidRPr="00D72A90" w:rsidRDefault="005A2134" w:rsidP="00496EAF">
      <w:pPr>
        <w:spacing w:after="0" w:line="240" w:lineRule="auto"/>
        <w:jc w:val="center"/>
        <w:rPr>
          <w:rFonts w:ascii="Book Antiqua" w:hAnsi="Book Antiqua" w:cs="Arial"/>
          <w:b/>
          <w:color w:val="000000"/>
          <w:sz w:val="24"/>
          <w:szCs w:val="24"/>
          <w:u w:val="single"/>
        </w:rPr>
      </w:pPr>
    </w:p>
    <w:tbl>
      <w:tblPr>
        <w:tblW w:w="5000" w:type="pct"/>
        <w:tblLook w:val="01E0" w:firstRow="1" w:lastRow="1" w:firstColumn="1" w:lastColumn="1" w:noHBand="0" w:noVBand="0"/>
      </w:tblPr>
      <w:tblGrid>
        <w:gridCol w:w="4819"/>
        <w:gridCol w:w="4819"/>
      </w:tblGrid>
      <w:tr w:rsidR="006542EE" w:rsidRPr="00D72A90" w14:paraId="5FDA32E9" w14:textId="77777777" w:rsidTr="00496EAF">
        <w:tc>
          <w:tcPr>
            <w:tcW w:w="2500" w:type="pct"/>
            <w:shd w:val="clear" w:color="auto" w:fill="auto"/>
          </w:tcPr>
          <w:p w14:paraId="3088D1B2" w14:textId="5A5F7B80" w:rsidR="00FD7C92" w:rsidRPr="00D72A90" w:rsidRDefault="006542EE" w:rsidP="00496EAF">
            <w:pPr>
              <w:spacing w:after="0" w:line="240" w:lineRule="auto"/>
              <w:jc w:val="both"/>
              <w:rPr>
                <w:rFonts w:ascii="Book Antiqua" w:eastAsia="Times New Roman" w:hAnsi="Book Antiqua" w:cs="Arial"/>
                <w:b/>
                <w:sz w:val="24"/>
                <w:szCs w:val="24"/>
              </w:rPr>
            </w:pPr>
            <w:r w:rsidRPr="00D72A90">
              <w:rPr>
                <w:rFonts w:ascii="Book Antiqua" w:eastAsia="Times New Roman" w:hAnsi="Book Antiqua" w:cs="Arial"/>
                <w:b/>
                <w:sz w:val="24"/>
                <w:szCs w:val="24"/>
              </w:rPr>
              <w:t>Heard at Field House</w:t>
            </w:r>
            <w:r w:rsidR="00FD7C92">
              <w:rPr>
                <w:rFonts w:ascii="Book Antiqua" w:eastAsia="Times New Roman" w:hAnsi="Book Antiqua" w:cs="Arial"/>
                <w:b/>
                <w:sz w:val="24"/>
                <w:szCs w:val="24"/>
              </w:rPr>
              <w:t xml:space="preserve"> </w:t>
            </w:r>
          </w:p>
        </w:tc>
        <w:tc>
          <w:tcPr>
            <w:tcW w:w="2500" w:type="pct"/>
            <w:shd w:val="clear" w:color="auto" w:fill="auto"/>
          </w:tcPr>
          <w:p w14:paraId="0BE15DDA" w14:textId="40B2ED28" w:rsidR="00FD7C92" w:rsidRPr="00D72A90" w:rsidRDefault="00FD7C92" w:rsidP="00496EAF">
            <w:pPr>
              <w:spacing w:after="0" w:line="240" w:lineRule="auto"/>
              <w:jc w:val="right"/>
              <w:rPr>
                <w:rFonts w:ascii="Book Antiqua" w:eastAsia="Times New Roman" w:hAnsi="Book Antiqua" w:cs="Arial"/>
                <w:b/>
                <w:color w:val="000000"/>
                <w:sz w:val="24"/>
                <w:szCs w:val="24"/>
              </w:rPr>
            </w:pPr>
            <w:r>
              <w:rPr>
                <w:rFonts w:ascii="Book Antiqua" w:eastAsia="Times New Roman" w:hAnsi="Book Antiqua" w:cs="Arial"/>
                <w:b/>
                <w:color w:val="000000"/>
                <w:sz w:val="24"/>
                <w:szCs w:val="24"/>
              </w:rPr>
              <w:t>Decision &amp;</w:t>
            </w:r>
            <w:r w:rsidR="006542EE" w:rsidRPr="00D72A90">
              <w:rPr>
                <w:rFonts w:ascii="Book Antiqua" w:eastAsia="Times New Roman" w:hAnsi="Book Antiqua" w:cs="Arial"/>
                <w:b/>
                <w:color w:val="000000"/>
                <w:sz w:val="24"/>
                <w:szCs w:val="24"/>
              </w:rPr>
              <w:t xml:space="preserve"> </w:t>
            </w:r>
            <w:r w:rsidR="00D4767B" w:rsidRPr="00D72A90">
              <w:rPr>
                <w:rFonts w:ascii="Book Antiqua" w:eastAsia="Times New Roman" w:hAnsi="Book Antiqua" w:cs="Arial"/>
                <w:b/>
                <w:color w:val="000000"/>
                <w:sz w:val="24"/>
                <w:szCs w:val="24"/>
              </w:rPr>
              <w:t>Reasons Promulgated</w:t>
            </w:r>
            <w:r>
              <w:rPr>
                <w:rFonts w:ascii="Book Antiqua" w:eastAsia="Times New Roman" w:hAnsi="Book Antiqua" w:cs="Arial"/>
                <w:b/>
                <w:color w:val="000000"/>
                <w:sz w:val="24"/>
                <w:szCs w:val="24"/>
              </w:rPr>
              <w:t xml:space="preserve"> </w:t>
            </w:r>
          </w:p>
        </w:tc>
      </w:tr>
      <w:tr w:rsidR="006542EE" w:rsidRPr="00D72A90" w14:paraId="55E96060" w14:textId="77777777" w:rsidTr="00496EAF">
        <w:tc>
          <w:tcPr>
            <w:tcW w:w="2500" w:type="pct"/>
            <w:shd w:val="clear" w:color="auto" w:fill="auto"/>
          </w:tcPr>
          <w:p w14:paraId="50DFEFC2" w14:textId="36EB96F1" w:rsidR="006542EE" w:rsidRPr="00D72A90" w:rsidRDefault="00496EAF" w:rsidP="00496EAF">
            <w:pPr>
              <w:tabs>
                <w:tab w:val="left" w:pos="4272"/>
              </w:tabs>
              <w:spacing w:after="0" w:line="240" w:lineRule="auto"/>
              <w:jc w:val="both"/>
              <w:rPr>
                <w:rFonts w:ascii="Book Antiqua" w:eastAsia="Times New Roman" w:hAnsi="Book Antiqua" w:cs="Arial"/>
                <w:b/>
                <w:sz w:val="24"/>
                <w:szCs w:val="24"/>
              </w:rPr>
            </w:pPr>
            <w:r>
              <w:rPr>
                <w:rFonts w:ascii="Book Antiqua" w:eastAsia="Times New Roman" w:hAnsi="Book Antiqua" w:cs="Arial"/>
                <w:b/>
                <w:sz w:val="24"/>
                <w:szCs w:val="24"/>
              </w:rPr>
              <w:t>On 31</w:t>
            </w:r>
            <w:r w:rsidRPr="00FD7C92">
              <w:rPr>
                <w:rFonts w:ascii="Book Antiqua" w:eastAsia="Times New Roman" w:hAnsi="Book Antiqua" w:cs="Arial"/>
                <w:b/>
                <w:sz w:val="24"/>
                <w:szCs w:val="24"/>
                <w:vertAlign w:val="superscript"/>
              </w:rPr>
              <w:t>st</w:t>
            </w:r>
            <w:r>
              <w:rPr>
                <w:rFonts w:ascii="Book Antiqua" w:eastAsia="Times New Roman" w:hAnsi="Book Antiqua" w:cs="Arial"/>
                <w:b/>
                <w:sz w:val="24"/>
                <w:szCs w:val="24"/>
              </w:rPr>
              <w:t xml:space="preserve"> August 2018</w:t>
            </w:r>
          </w:p>
        </w:tc>
        <w:tc>
          <w:tcPr>
            <w:tcW w:w="2500" w:type="pct"/>
            <w:shd w:val="clear" w:color="auto" w:fill="auto"/>
          </w:tcPr>
          <w:p w14:paraId="39FDBA85" w14:textId="7E8F5BEB" w:rsidR="006542EE" w:rsidRPr="00D72A90" w:rsidRDefault="00496EAF" w:rsidP="00496EAF">
            <w:pPr>
              <w:spacing w:after="0" w:line="240" w:lineRule="auto"/>
              <w:jc w:val="right"/>
              <w:rPr>
                <w:rFonts w:ascii="Book Antiqua" w:eastAsia="Times New Roman" w:hAnsi="Book Antiqua" w:cs="Arial"/>
                <w:b/>
                <w:sz w:val="24"/>
                <w:szCs w:val="24"/>
              </w:rPr>
            </w:pPr>
            <w:r>
              <w:rPr>
                <w:rFonts w:ascii="Book Antiqua" w:eastAsia="Times New Roman" w:hAnsi="Book Antiqua" w:cs="Arial"/>
                <w:b/>
                <w:color w:val="000000"/>
                <w:sz w:val="24"/>
                <w:szCs w:val="24"/>
              </w:rPr>
              <w:t>On 5</w:t>
            </w:r>
            <w:r w:rsidRPr="00FD7C92">
              <w:rPr>
                <w:rFonts w:ascii="Book Antiqua" w:eastAsia="Times New Roman" w:hAnsi="Book Antiqua" w:cs="Arial"/>
                <w:b/>
                <w:color w:val="000000"/>
                <w:sz w:val="24"/>
                <w:szCs w:val="24"/>
                <w:vertAlign w:val="superscript"/>
              </w:rPr>
              <w:t>th</w:t>
            </w:r>
            <w:r>
              <w:rPr>
                <w:rFonts w:ascii="Book Antiqua" w:eastAsia="Times New Roman" w:hAnsi="Book Antiqua" w:cs="Arial"/>
                <w:b/>
                <w:color w:val="000000"/>
                <w:sz w:val="24"/>
                <w:szCs w:val="24"/>
              </w:rPr>
              <w:t xml:space="preserve"> September 2018</w:t>
            </w:r>
          </w:p>
        </w:tc>
      </w:tr>
      <w:tr w:rsidR="006542EE" w:rsidRPr="00D72A90" w14:paraId="12E13F37" w14:textId="77777777" w:rsidTr="00496EAF">
        <w:tc>
          <w:tcPr>
            <w:tcW w:w="2500" w:type="pct"/>
            <w:shd w:val="clear" w:color="auto" w:fill="auto"/>
          </w:tcPr>
          <w:p w14:paraId="75231777" w14:textId="77777777" w:rsidR="006542EE" w:rsidRPr="00D72A90" w:rsidRDefault="006542EE" w:rsidP="00496EAF">
            <w:pPr>
              <w:spacing w:after="0" w:line="240" w:lineRule="auto"/>
              <w:jc w:val="both"/>
              <w:rPr>
                <w:rFonts w:ascii="Book Antiqua" w:eastAsia="Times New Roman" w:hAnsi="Book Antiqua" w:cs="Arial"/>
                <w:b/>
                <w:sz w:val="24"/>
                <w:szCs w:val="24"/>
              </w:rPr>
            </w:pPr>
          </w:p>
        </w:tc>
        <w:tc>
          <w:tcPr>
            <w:tcW w:w="2500" w:type="pct"/>
            <w:shd w:val="clear" w:color="auto" w:fill="auto"/>
          </w:tcPr>
          <w:p w14:paraId="5E483334" w14:textId="2E5B45BE" w:rsidR="006542EE" w:rsidRPr="00D72A90" w:rsidRDefault="006542EE" w:rsidP="00496EAF">
            <w:pPr>
              <w:spacing w:after="0" w:line="240" w:lineRule="auto"/>
              <w:jc w:val="right"/>
              <w:rPr>
                <w:rFonts w:ascii="Book Antiqua" w:eastAsia="Times New Roman" w:hAnsi="Book Antiqua" w:cs="Arial"/>
                <w:b/>
                <w:sz w:val="24"/>
                <w:szCs w:val="24"/>
              </w:rPr>
            </w:pPr>
          </w:p>
        </w:tc>
      </w:tr>
    </w:tbl>
    <w:p w14:paraId="2CF17D46" w14:textId="67DB9CB3" w:rsidR="006542EE" w:rsidRDefault="006542EE" w:rsidP="00496EAF">
      <w:pPr>
        <w:spacing w:after="0" w:line="240" w:lineRule="auto"/>
        <w:rPr>
          <w:rFonts w:ascii="Book Antiqua" w:hAnsi="Book Antiqua" w:cs="Arial"/>
          <w:sz w:val="24"/>
          <w:szCs w:val="24"/>
        </w:rPr>
      </w:pPr>
    </w:p>
    <w:p w14:paraId="3AFBFB4E" w14:textId="16B929E7" w:rsidR="006542EE" w:rsidRDefault="006542EE" w:rsidP="00496EAF">
      <w:pPr>
        <w:spacing w:after="0" w:line="240" w:lineRule="auto"/>
        <w:jc w:val="center"/>
        <w:rPr>
          <w:rFonts w:ascii="Book Antiqua" w:hAnsi="Book Antiqua" w:cs="Arial"/>
          <w:b/>
          <w:sz w:val="24"/>
          <w:szCs w:val="24"/>
        </w:rPr>
      </w:pPr>
      <w:r w:rsidRPr="00D72A90">
        <w:rPr>
          <w:rFonts w:ascii="Book Antiqua" w:hAnsi="Book Antiqua" w:cs="Arial"/>
          <w:b/>
          <w:sz w:val="24"/>
          <w:szCs w:val="24"/>
        </w:rPr>
        <w:t>Befor</w:t>
      </w:r>
      <w:r w:rsidR="00BB0781" w:rsidRPr="00D72A90">
        <w:rPr>
          <w:rFonts w:ascii="Book Antiqua" w:hAnsi="Book Antiqua" w:cs="Arial"/>
          <w:b/>
          <w:sz w:val="24"/>
          <w:szCs w:val="24"/>
        </w:rPr>
        <w:t>e</w:t>
      </w:r>
    </w:p>
    <w:p w14:paraId="58893B0A" w14:textId="77777777" w:rsidR="00496EAF" w:rsidRPr="00D72A90" w:rsidRDefault="00496EAF" w:rsidP="00496EAF">
      <w:pPr>
        <w:spacing w:after="0" w:line="240" w:lineRule="auto"/>
        <w:jc w:val="center"/>
        <w:rPr>
          <w:rFonts w:ascii="Book Antiqua" w:hAnsi="Book Antiqua" w:cs="Arial"/>
          <w:b/>
          <w:sz w:val="24"/>
          <w:szCs w:val="24"/>
        </w:rPr>
      </w:pPr>
    </w:p>
    <w:p w14:paraId="349265AB" w14:textId="2297E573" w:rsidR="006542EE" w:rsidRPr="00D72A90" w:rsidRDefault="006542EE" w:rsidP="00496EAF">
      <w:pPr>
        <w:spacing w:after="0" w:line="240" w:lineRule="auto"/>
        <w:jc w:val="center"/>
        <w:rPr>
          <w:rFonts w:ascii="Book Antiqua" w:hAnsi="Book Antiqua" w:cs="Arial"/>
          <w:b/>
          <w:sz w:val="24"/>
          <w:szCs w:val="24"/>
        </w:rPr>
      </w:pPr>
      <w:r w:rsidRPr="00D72A90">
        <w:rPr>
          <w:rFonts w:ascii="Book Antiqua" w:hAnsi="Book Antiqua" w:cs="Arial"/>
          <w:b/>
          <w:sz w:val="24"/>
          <w:szCs w:val="24"/>
        </w:rPr>
        <w:t xml:space="preserve"> UPPER TRIBUNAL JUDGE RIMINGTON</w:t>
      </w:r>
    </w:p>
    <w:p w14:paraId="3B8EFA83" w14:textId="77777777" w:rsidR="00496EAF" w:rsidRDefault="00496EAF" w:rsidP="00496EAF">
      <w:pPr>
        <w:spacing w:after="0" w:line="240" w:lineRule="auto"/>
        <w:jc w:val="center"/>
        <w:rPr>
          <w:rFonts w:ascii="Book Antiqua" w:hAnsi="Book Antiqua" w:cs="Arial"/>
          <w:b/>
          <w:sz w:val="24"/>
          <w:szCs w:val="24"/>
        </w:rPr>
      </w:pPr>
    </w:p>
    <w:p w14:paraId="2CCC47CF" w14:textId="77777777" w:rsidR="00496EAF" w:rsidRDefault="00496EAF" w:rsidP="00496EAF">
      <w:pPr>
        <w:spacing w:after="0" w:line="240" w:lineRule="auto"/>
        <w:jc w:val="center"/>
        <w:rPr>
          <w:rFonts w:ascii="Book Antiqua" w:hAnsi="Book Antiqua" w:cs="Arial"/>
          <w:b/>
          <w:sz w:val="24"/>
          <w:szCs w:val="24"/>
        </w:rPr>
      </w:pPr>
    </w:p>
    <w:p w14:paraId="6F5318D3" w14:textId="39953984" w:rsidR="006542EE" w:rsidRPr="00D72A90" w:rsidRDefault="006542EE" w:rsidP="00496EAF">
      <w:pPr>
        <w:spacing w:after="0" w:line="240" w:lineRule="auto"/>
        <w:jc w:val="center"/>
        <w:rPr>
          <w:rFonts w:ascii="Book Antiqua" w:hAnsi="Book Antiqua" w:cs="Arial"/>
          <w:b/>
          <w:sz w:val="24"/>
          <w:szCs w:val="24"/>
        </w:rPr>
      </w:pPr>
      <w:r w:rsidRPr="00D72A90">
        <w:rPr>
          <w:rFonts w:ascii="Book Antiqua" w:hAnsi="Book Antiqua" w:cs="Arial"/>
          <w:b/>
          <w:sz w:val="24"/>
          <w:szCs w:val="24"/>
        </w:rPr>
        <w:t>Between</w:t>
      </w:r>
    </w:p>
    <w:p w14:paraId="525DB01D" w14:textId="77777777" w:rsidR="00496EAF" w:rsidRDefault="00496EAF" w:rsidP="00496EAF">
      <w:pPr>
        <w:spacing w:after="0" w:line="240" w:lineRule="auto"/>
        <w:jc w:val="center"/>
        <w:rPr>
          <w:rFonts w:ascii="Book Antiqua" w:hAnsi="Book Antiqua" w:cs="Arial"/>
          <w:b/>
          <w:sz w:val="24"/>
          <w:szCs w:val="24"/>
        </w:rPr>
      </w:pPr>
    </w:p>
    <w:p w14:paraId="76DF4898" w14:textId="66186EC0" w:rsidR="00BB0781" w:rsidRPr="00D72A90" w:rsidRDefault="004151BF" w:rsidP="00496EAF">
      <w:pPr>
        <w:spacing w:after="0" w:line="240" w:lineRule="auto"/>
        <w:jc w:val="center"/>
        <w:rPr>
          <w:rFonts w:ascii="Book Antiqua" w:hAnsi="Book Antiqua" w:cs="Arial"/>
          <w:b/>
          <w:sz w:val="24"/>
          <w:szCs w:val="24"/>
        </w:rPr>
      </w:pPr>
      <w:proofErr w:type="spellStart"/>
      <w:r w:rsidRPr="00D72A90">
        <w:rPr>
          <w:rFonts w:ascii="Book Antiqua" w:hAnsi="Book Antiqua" w:cs="Arial"/>
          <w:b/>
          <w:sz w:val="24"/>
          <w:szCs w:val="24"/>
        </w:rPr>
        <w:t>Azizur</w:t>
      </w:r>
      <w:proofErr w:type="spellEnd"/>
      <w:r w:rsidRPr="00D72A90">
        <w:rPr>
          <w:rFonts w:ascii="Book Antiqua" w:hAnsi="Book Antiqua" w:cs="Arial"/>
          <w:b/>
          <w:sz w:val="24"/>
          <w:szCs w:val="24"/>
        </w:rPr>
        <w:t xml:space="preserve"> </w:t>
      </w:r>
      <w:r w:rsidR="00BB0781" w:rsidRPr="00D72A90">
        <w:rPr>
          <w:rFonts w:ascii="Book Antiqua" w:hAnsi="Book Antiqua" w:cs="Arial"/>
          <w:b/>
          <w:sz w:val="24"/>
          <w:szCs w:val="24"/>
        </w:rPr>
        <w:t xml:space="preserve">Rahman </w:t>
      </w:r>
      <w:r w:rsidRPr="00D72A90">
        <w:rPr>
          <w:rFonts w:ascii="Book Antiqua" w:hAnsi="Book Antiqua" w:cs="Arial"/>
          <w:b/>
          <w:sz w:val="24"/>
          <w:szCs w:val="24"/>
        </w:rPr>
        <w:t xml:space="preserve">and Salma </w:t>
      </w:r>
      <w:proofErr w:type="spellStart"/>
      <w:r w:rsidRPr="00D72A90">
        <w:rPr>
          <w:rFonts w:ascii="Book Antiqua" w:hAnsi="Book Antiqua" w:cs="Arial"/>
          <w:b/>
          <w:sz w:val="24"/>
          <w:szCs w:val="24"/>
        </w:rPr>
        <w:t>Khanom</w:t>
      </w:r>
      <w:proofErr w:type="spellEnd"/>
    </w:p>
    <w:p w14:paraId="41D2CC7B" w14:textId="3C7B9B9B" w:rsidR="006542EE" w:rsidRPr="00922647" w:rsidRDefault="006542EE" w:rsidP="00496EAF">
      <w:pPr>
        <w:spacing w:after="0" w:line="240" w:lineRule="auto"/>
        <w:jc w:val="center"/>
        <w:rPr>
          <w:rFonts w:ascii="Book Antiqua" w:hAnsi="Book Antiqua" w:cs="Arial"/>
          <w:b/>
          <w:szCs w:val="24"/>
        </w:rPr>
      </w:pPr>
      <w:r w:rsidRPr="00922647">
        <w:rPr>
          <w:rFonts w:ascii="Book Antiqua" w:hAnsi="Book Antiqua" w:cs="Arial"/>
          <w:b/>
          <w:caps/>
          <w:szCs w:val="24"/>
        </w:rPr>
        <w:t>(A</w:t>
      </w:r>
      <w:r w:rsidRPr="00922647">
        <w:rPr>
          <w:rFonts w:ascii="Book Antiqua" w:hAnsi="Book Antiqua" w:cs="Arial"/>
          <w:b/>
          <w:szCs w:val="24"/>
        </w:rPr>
        <w:t>nonymity Direction Not Made)</w:t>
      </w:r>
    </w:p>
    <w:p w14:paraId="4EFB7156" w14:textId="77777777" w:rsidR="006542EE" w:rsidRPr="00D72A90" w:rsidRDefault="006542EE" w:rsidP="00496EAF">
      <w:pPr>
        <w:spacing w:after="0" w:line="240" w:lineRule="auto"/>
        <w:jc w:val="right"/>
        <w:rPr>
          <w:rFonts w:ascii="Book Antiqua" w:hAnsi="Book Antiqua" w:cs="Arial"/>
          <w:sz w:val="24"/>
          <w:szCs w:val="24"/>
          <w:u w:val="single"/>
        </w:rPr>
      </w:pPr>
      <w:r w:rsidRPr="00D72A90">
        <w:rPr>
          <w:rFonts w:ascii="Book Antiqua" w:hAnsi="Book Antiqua" w:cs="Arial"/>
          <w:sz w:val="24"/>
          <w:szCs w:val="24"/>
          <w:u w:val="single"/>
        </w:rPr>
        <w:t>Appellant</w:t>
      </w:r>
    </w:p>
    <w:p w14:paraId="39702364" w14:textId="261EE8B1" w:rsidR="006542EE" w:rsidRPr="00D72A90" w:rsidRDefault="006542EE" w:rsidP="00496EAF">
      <w:pPr>
        <w:spacing w:after="0" w:line="240" w:lineRule="auto"/>
        <w:jc w:val="center"/>
        <w:rPr>
          <w:rFonts w:ascii="Book Antiqua" w:hAnsi="Book Antiqua" w:cs="Arial"/>
          <w:b/>
          <w:sz w:val="24"/>
          <w:szCs w:val="24"/>
        </w:rPr>
      </w:pPr>
      <w:r w:rsidRPr="00D72A90">
        <w:rPr>
          <w:rFonts w:ascii="Book Antiqua" w:hAnsi="Book Antiqua" w:cs="Arial"/>
          <w:b/>
          <w:sz w:val="24"/>
          <w:szCs w:val="24"/>
        </w:rPr>
        <w:t>and</w:t>
      </w:r>
    </w:p>
    <w:p w14:paraId="22141188" w14:textId="77777777" w:rsidR="00496EAF" w:rsidRDefault="00496EAF" w:rsidP="00496EAF">
      <w:pPr>
        <w:spacing w:after="0" w:line="240" w:lineRule="auto"/>
        <w:jc w:val="center"/>
        <w:rPr>
          <w:rFonts w:ascii="Book Antiqua" w:hAnsi="Book Antiqua" w:cs="Arial"/>
          <w:b/>
          <w:sz w:val="24"/>
          <w:szCs w:val="24"/>
        </w:rPr>
      </w:pPr>
    </w:p>
    <w:p w14:paraId="12332633" w14:textId="01833850" w:rsidR="006542EE" w:rsidRPr="00D72A90" w:rsidRDefault="006542EE" w:rsidP="00496EAF">
      <w:pPr>
        <w:spacing w:after="0" w:line="240" w:lineRule="auto"/>
        <w:jc w:val="center"/>
        <w:rPr>
          <w:rFonts w:ascii="Book Antiqua" w:hAnsi="Book Antiqua" w:cs="Arial"/>
          <w:b/>
          <w:sz w:val="24"/>
          <w:szCs w:val="24"/>
        </w:rPr>
      </w:pPr>
      <w:r w:rsidRPr="00D72A90">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bookmarkStart w:id="0" w:name="Text7"/>
      <w:r w:rsidRPr="00D72A90">
        <w:rPr>
          <w:rFonts w:ascii="Book Antiqua" w:hAnsi="Book Antiqua" w:cs="Arial"/>
          <w:b/>
          <w:sz w:val="24"/>
          <w:szCs w:val="24"/>
        </w:rPr>
        <w:instrText xml:space="preserve"> FORMTEXT </w:instrText>
      </w:r>
      <w:r w:rsidRPr="00D72A90">
        <w:rPr>
          <w:rFonts w:ascii="Book Antiqua" w:hAnsi="Book Antiqua" w:cs="Arial"/>
          <w:b/>
          <w:sz w:val="24"/>
          <w:szCs w:val="24"/>
        </w:rPr>
      </w:r>
      <w:r w:rsidRPr="00D72A90">
        <w:rPr>
          <w:rFonts w:ascii="Book Antiqua" w:hAnsi="Book Antiqua" w:cs="Arial"/>
          <w:b/>
          <w:sz w:val="24"/>
          <w:szCs w:val="24"/>
        </w:rPr>
        <w:fldChar w:fldCharType="separate"/>
      </w:r>
      <w:r w:rsidRPr="00D72A90">
        <w:rPr>
          <w:rFonts w:ascii="Book Antiqua" w:hAnsi="Book Antiqua" w:cs="Arial"/>
          <w:b/>
          <w:noProof/>
          <w:sz w:val="24"/>
          <w:szCs w:val="24"/>
        </w:rPr>
        <w:t>THE SECRETARY OF STATE FOR THE HOME DEPARTMENT</w:t>
      </w:r>
      <w:r w:rsidRPr="00D72A90">
        <w:rPr>
          <w:rFonts w:ascii="Book Antiqua" w:hAnsi="Book Antiqua" w:cs="Arial"/>
          <w:b/>
          <w:sz w:val="24"/>
          <w:szCs w:val="24"/>
        </w:rPr>
        <w:fldChar w:fldCharType="end"/>
      </w:r>
      <w:bookmarkEnd w:id="0"/>
    </w:p>
    <w:p w14:paraId="450D4840" w14:textId="306171FD" w:rsidR="006542EE" w:rsidRPr="00D72A90" w:rsidRDefault="006542EE" w:rsidP="00496EAF">
      <w:pPr>
        <w:spacing w:after="0" w:line="240" w:lineRule="auto"/>
        <w:jc w:val="right"/>
        <w:rPr>
          <w:rFonts w:ascii="Book Antiqua" w:hAnsi="Book Antiqua" w:cs="Arial"/>
          <w:sz w:val="24"/>
          <w:szCs w:val="24"/>
          <w:u w:val="single"/>
        </w:rPr>
      </w:pPr>
      <w:r w:rsidRPr="00D72A90">
        <w:rPr>
          <w:rFonts w:ascii="Book Antiqua" w:hAnsi="Book Antiqua" w:cs="Arial"/>
          <w:sz w:val="24"/>
          <w:szCs w:val="24"/>
          <w:u w:val="single"/>
        </w:rPr>
        <w:t>Responden</w:t>
      </w:r>
      <w:r w:rsidR="004151BF" w:rsidRPr="00D72A90">
        <w:rPr>
          <w:rFonts w:ascii="Book Antiqua" w:hAnsi="Book Antiqua" w:cs="Arial"/>
          <w:sz w:val="24"/>
          <w:szCs w:val="24"/>
          <w:u w:val="single"/>
        </w:rPr>
        <w:t>t</w:t>
      </w:r>
    </w:p>
    <w:p w14:paraId="6FE70FCC" w14:textId="77777777" w:rsidR="00496EAF" w:rsidRDefault="00496EAF" w:rsidP="00496EAF">
      <w:pPr>
        <w:spacing w:after="0" w:line="240" w:lineRule="auto"/>
        <w:rPr>
          <w:rFonts w:ascii="Book Antiqua" w:hAnsi="Book Antiqua" w:cs="Arial"/>
          <w:b/>
          <w:sz w:val="24"/>
          <w:szCs w:val="24"/>
          <w:u w:val="single"/>
        </w:rPr>
      </w:pPr>
    </w:p>
    <w:p w14:paraId="4A12F211" w14:textId="77777777" w:rsidR="00496EAF" w:rsidRDefault="00496EAF" w:rsidP="00496EAF">
      <w:pPr>
        <w:spacing w:after="0" w:line="240" w:lineRule="auto"/>
        <w:rPr>
          <w:rFonts w:ascii="Book Antiqua" w:hAnsi="Book Antiqua" w:cs="Arial"/>
          <w:b/>
          <w:sz w:val="24"/>
          <w:szCs w:val="24"/>
          <w:u w:val="single"/>
        </w:rPr>
      </w:pPr>
    </w:p>
    <w:p w14:paraId="29998C21" w14:textId="1E875D4C" w:rsidR="006542EE" w:rsidRPr="00D72A90" w:rsidRDefault="006542EE" w:rsidP="00496EAF">
      <w:pPr>
        <w:spacing w:after="0" w:line="240" w:lineRule="auto"/>
        <w:rPr>
          <w:rFonts w:ascii="Book Antiqua" w:hAnsi="Book Antiqua" w:cs="Arial"/>
          <w:sz w:val="24"/>
          <w:szCs w:val="24"/>
        </w:rPr>
      </w:pPr>
      <w:r w:rsidRPr="00D72A90">
        <w:rPr>
          <w:rFonts w:ascii="Book Antiqua" w:hAnsi="Book Antiqua" w:cs="Arial"/>
          <w:b/>
          <w:sz w:val="24"/>
          <w:szCs w:val="24"/>
          <w:u w:val="single"/>
        </w:rPr>
        <w:t>Representation</w:t>
      </w:r>
      <w:r w:rsidRPr="00D72A90">
        <w:rPr>
          <w:rFonts w:ascii="Book Antiqua" w:hAnsi="Book Antiqua" w:cs="Arial"/>
          <w:b/>
          <w:sz w:val="24"/>
          <w:szCs w:val="24"/>
        </w:rPr>
        <w:t>:</w:t>
      </w:r>
    </w:p>
    <w:p w14:paraId="0B072BDA" w14:textId="328E44B0" w:rsidR="006542EE" w:rsidRPr="00D72A90" w:rsidRDefault="006542EE" w:rsidP="00496EAF">
      <w:pPr>
        <w:tabs>
          <w:tab w:val="left" w:pos="2552"/>
        </w:tabs>
        <w:spacing w:after="0" w:line="240" w:lineRule="auto"/>
        <w:rPr>
          <w:rFonts w:ascii="Book Antiqua" w:hAnsi="Book Antiqua" w:cs="Arial"/>
          <w:sz w:val="24"/>
          <w:szCs w:val="24"/>
        </w:rPr>
      </w:pPr>
      <w:r w:rsidRPr="00D72A90">
        <w:rPr>
          <w:rFonts w:ascii="Book Antiqua" w:hAnsi="Book Antiqua" w:cs="Arial"/>
          <w:sz w:val="24"/>
          <w:szCs w:val="24"/>
        </w:rPr>
        <w:t>For the Appellant:</w:t>
      </w:r>
      <w:r w:rsidRPr="00D72A90">
        <w:rPr>
          <w:rFonts w:ascii="Book Antiqua" w:hAnsi="Book Antiqua" w:cs="Arial"/>
          <w:sz w:val="24"/>
          <w:szCs w:val="24"/>
        </w:rPr>
        <w:tab/>
      </w:r>
      <w:r w:rsidR="004151BF" w:rsidRPr="00D72A90">
        <w:rPr>
          <w:rFonts w:ascii="Book Antiqua" w:hAnsi="Book Antiqua" w:cs="Arial"/>
          <w:sz w:val="24"/>
          <w:szCs w:val="24"/>
        </w:rPr>
        <w:t xml:space="preserve">Mr </w:t>
      </w:r>
      <w:r w:rsidR="005A2134" w:rsidRPr="00D72A90">
        <w:rPr>
          <w:rFonts w:ascii="Book Antiqua" w:hAnsi="Book Antiqua" w:cs="Arial"/>
          <w:sz w:val="24"/>
          <w:szCs w:val="24"/>
        </w:rPr>
        <w:t xml:space="preserve">N </w:t>
      </w:r>
      <w:r w:rsidR="004151BF" w:rsidRPr="00D72A90">
        <w:rPr>
          <w:rFonts w:ascii="Book Antiqua" w:hAnsi="Book Antiqua" w:cs="Arial"/>
          <w:sz w:val="24"/>
          <w:szCs w:val="24"/>
        </w:rPr>
        <w:t>Rahman</w:t>
      </w:r>
      <w:r w:rsidRPr="00D72A90">
        <w:rPr>
          <w:rFonts w:ascii="Book Antiqua" w:hAnsi="Book Antiqua" w:cs="Arial"/>
          <w:sz w:val="24"/>
          <w:szCs w:val="24"/>
        </w:rPr>
        <w:t>, instructed by</w:t>
      </w:r>
      <w:r w:rsidR="005A2134" w:rsidRPr="00D72A90">
        <w:rPr>
          <w:rFonts w:ascii="Book Antiqua" w:hAnsi="Book Antiqua" w:cs="Arial"/>
          <w:sz w:val="24"/>
          <w:szCs w:val="24"/>
        </w:rPr>
        <w:t xml:space="preserve"> Taj Solicitors</w:t>
      </w:r>
      <w:r w:rsidRPr="00D72A90">
        <w:rPr>
          <w:rFonts w:ascii="Book Antiqua" w:hAnsi="Book Antiqua" w:cs="Arial"/>
          <w:sz w:val="24"/>
          <w:szCs w:val="24"/>
        </w:rPr>
        <w:t>.</w:t>
      </w:r>
    </w:p>
    <w:p w14:paraId="3F0117A2" w14:textId="23016263" w:rsidR="006542EE" w:rsidRPr="00D72A90" w:rsidRDefault="006542EE" w:rsidP="00496EAF">
      <w:pPr>
        <w:tabs>
          <w:tab w:val="left" w:pos="2552"/>
        </w:tabs>
        <w:spacing w:after="0" w:line="240" w:lineRule="auto"/>
        <w:rPr>
          <w:rFonts w:ascii="Book Antiqua" w:hAnsi="Book Antiqua" w:cs="Arial"/>
          <w:sz w:val="24"/>
          <w:szCs w:val="24"/>
        </w:rPr>
      </w:pPr>
      <w:r w:rsidRPr="00D72A90">
        <w:rPr>
          <w:rFonts w:ascii="Book Antiqua" w:hAnsi="Book Antiqua" w:cs="Arial"/>
          <w:sz w:val="24"/>
          <w:szCs w:val="24"/>
        </w:rPr>
        <w:t>For the Respondent:</w:t>
      </w:r>
      <w:r w:rsidRPr="00D72A90">
        <w:rPr>
          <w:rFonts w:ascii="Book Antiqua" w:hAnsi="Book Antiqua" w:cs="Arial"/>
          <w:sz w:val="24"/>
          <w:szCs w:val="24"/>
        </w:rPr>
        <w:tab/>
        <w:t xml:space="preserve">Mr </w:t>
      </w:r>
      <w:r w:rsidR="005A2134" w:rsidRPr="00D72A90">
        <w:rPr>
          <w:rFonts w:ascii="Book Antiqua" w:hAnsi="Book Antiqua" w:cs="Arial"/>
          <w:sz w:val="24"/>
          <w:szCs w:val="24"/>
        </w:rPr>
        <w:t>D Clarke</w:t>
      </w:r>
      <w:r w:rsidRPr="00D72A90">
        <w:rPr>
          <w:rFonts w:ascii="Book Antiqua" w:hAnsi="Book Antiqua" w:cs="Arial"/>
          <w:sz w:val="24"/>
          <w:szCs w:val="24"/>
        </w:rPr>
        <w:t xml:space="preserve">, Home Office Presenting Officer </w:t>
      </w:r>
    </w:p>
    <w:p w14:paraId="5FA9D357" w14:textId="77777777" w:rsidR="00496EAF" w:rsidRDefault="00496EAF" w:rsidP="00496EAF">
      <w:pPr>
        <w:tabs>
          <w:tab w:val="left" w:pos="2520"/>
        </w:tabs>
        <w:spacing w:after="0" w:line="240" w:lineRule="auto"/>
        <w:jc w:val="center"/>
        <w:rPr>
          <w:rFonts w:ascii="Book Antiqua" w:hAnsi="Book Antiqua" w:cs="Arial"/>
          <w:b/>
          <w:sz w:val="24"/>
          <w:szCs w:val="24"/>
          <w:u w:val="single"/>
        </w:rPr>
      </w:pPr>
    </w:p>
    <w:p w14:paraId="6B25E2B3" w14:textId="77777777" w:rsidR="00496EAF" w:rsidRDefault="00496EAF" w:rsidP="00496EAF">
      <w:pPr>
        <w:tabs>
          <w:tab w:val="left" w:pos="2520"/>
        </w:tabs>
        <w:spacing w:after="0" w:line="240" w:lineRule="auto"/>
        <w:jc w:val="center"/>
        <w:rPr>
          <w:rFonts w:ascii="Book Antiqua" w:hAnsi="Book Antiqua" w:cs="Arial"/>
          <w:b/>
          <w:sz w:val="24"/>
          <w:szCs w:val="24"/>
          <w:u w:val="single"/>
        </w:rPr>
      </w:pPr>
    </w:p>
    <w:p w14:paraId="68CB5BFD" w14:textId="31998F94" w:rsidR="006542EE" w:rsidRPr="00D72A90" w:rsidRDefault="006542EE" w:rsidP="00496EAF">
      <w:pPr>
        <w:tabs>
          <w:tab w:val="left" w:pos="2520"/>
        </w:tabs>
        <w:spacing w:after="0" w:line="240" w:lineRule="auto"/>
        <w:jc w:val="center"/>
        <w:rPr>
          <w:rFonts w:ascii="Book Antiqua" w:hAnsi="Book Antiqua" w:cs="Arial"/>
          <w:sz w:val="24"/>
          <w:szCs w:val="24"/>
        </w:rPr>
      </w:pPr>
      <w:r w:rsidRPr="00D72A90">
        <w:rPr>
          <w:rFonts w:ascii="Book Antiqua" w:hAnsi="Book Antiqua" w:cs="Arial"/>
          <w:b/>
          <w:sz w:val="24"/>
          <w:szCs w:val="24"/>
          <w:u w:val="single"/>
        </w:rPr>
        <w:t>DECISION AND REASON</w:t>
      </w:r>
      <w:r w:rsidR="005A2134" w:rsidRPr="00D72A90">
        <w:rPr>
          <w:rFonts w:ascii="Book Antiqua" w:hAnsi="Book Antiqua" w:cs="Arial"/>
          <w:b/>
          <w:sz w:val="24"/>
          <w:szCs w:val="24"/>
          <w:u w:val="single"/>
        </w:rPr>
        <w:t>S</w:t>
      </w:r>
    </w:p>
    <w:p w14:paraId="55A21332" w14:textId="0D7C6CB4" w:rsidR="006542EE" w:rsidRPr="00D72A90" w:rsidRDefault="006542EE"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The </w:t>
      </w:r>
      <w:r w:rsidR="00935C4A" w:rsidRPr="00D72A90">
        <w:rPr>
          <w:rFonts w:ascii="Book Antiqua" w:hAnsi="Book Antiqua" w:cs="Arial"/>
          <w:sz w:val="24"/>
          <w:szCs w:val="24"/>
        </w:rPr>
        <w:t xml:space="preserve">appellants appealed against the decision of the First Tier Tribunal which dismissed their appeal against the Secretary of State’s refusal </w:t>
      </w:r>
      <w:r w:rsidR="005C367B" w:rsidRPr="00D72A90">
        <w:rPr>
          <w:rFonts w:ascii="Book Antiqua" w:hAnsi="Book Antiqua" w:cs="Arial"/>
          <w:sz w:val="24"/>
          <w:szCs w:val="24"/>
        </w:rPr>
        <w:t>on 17</w:t>
      </w:r>
      <w:r w:rsidR="005C367B" w:rsidRPr="00D72A90">
        <w:rPr>
          <w:rFonts w:ascii="Book Antiqua" w:hAnsi="Book Antiqua" w:cs="Arial"/>
          <w:sz w:val="24"/>
          <w:szCs w:val="24"/>
          <w:vertAlign w:val="superscript"/>
        </w:rPr>
        <w:t>th</w:t>
      </w:r>
      <w:r w:rsidR="005C367B" w:rsidRPr="00D72A90">
        <w:rPr>
          <w:rFonts w:ascii="Book Antiqua" w:hAnsi="Book Antiqua" w:cs="Arial"/>
          <w:sz w:val="24"/>
          <w:szCs w:val="24"/>
        </w:rPr>
        <w:t xml:space="preserve"> March 2017 </w:t>
      </w:r>
      <w:r w:rsidR="00935C4A" w:rsidRPr="00D72A90">
        <w:rPr>
          <w:rFonts w:ascii="Book Antiqua" w:hAnsi="Book Antiqua" w:cs="Arial"/>
          <w:sz w:val="24"/>
          <w:szCs w:val="24"/>
        </w:rPr>
        <w:t xml:space="preserve">to grant </w:t>
      </w:r>
      <w:r w:rsidR="00D4767B" w:rsidRPr="00D72A90">
        <w:rPr>
          <w:rFonts w:ascii="Book Antiqua" w:hAnsi="Book Antiqua" w:cs="Arial"/>
          <w:sz w:val="24"/>
          <w:szCs w:val="24"/>
        </w:rPr>
        <w:t>them residence</w:t>
      </w:r>
      <w:r w:rsidR="00935C4A" w:rsidRPr="00D72A90">
        <w:rPr>
          <w:rFonts w:ascii="Book Antiqua" w:hAnsi="Book Antiqua" w:cs="Arial"/>
          <w:sz w:val="24"/>
          <w:szCs w:val="24"/>
        </w:rPr>
        <w:t xml:space="preserve"> card</w:t>
      </w:r>
      <w:r w:rsidR="003060C7" w:rsidRPr="00D72A90">
        <w:rPr>
          <w:rFonts w:ascii="Book Antiqua" w:hAnsi="Book Antiqua" w:cs="Arial"/>
          <w:sz w:val="24"/>
          <w:szCs w:val="24"/>
        </w:rPr>
        <w:t>s</w:t>
      </w:r>
      <w:r w:rsidR="00935C4A" w:rsidRPr="00D72A90">
        <w:rPr>
          <w:rFonts w:ascii="Book Antiqua" w:hAnsi="Book Antiqua" w:cs="Arial"/>
          <w:sz w:val="24"/>
          <w:szCs w:val="24"/>
        </w:rPr>
        <w:t xml:space="preserve"> under </w:t>
      </w:r>
      <w:r w:rsidR="005C367B" w:rsidRPr="00D72A90">
        <w:rPr>
          <w:rFonts w:ascii="Book Antiqua" w:hAnsi="Book Antiqua" w:cs="Arial"/>
          <w:sz w:val="24"/>
          <w:szCs w:val="24"/>
        </w:rPr>
        <w:t xml:space="preserve">Regulation 6 of </w:t>
      </w:r>
      <w:r w:rsidR="00935C4A" w:rsidRPr="00D72A90">
        <w:rPr>
          <w:rFonts w:ascii="Book Antiqua" w:hAnsi="Book Antiqua" w:cs="Arial"/>
          <w:sz w:val="24"/>
          <w:szCs w:val="24"/>
        </w:rPr>
        <w:t>the European Economic Area Regulations 2016 (</w:t>
      </w:r>
      <w:r w:rsidR="000C7BBD" w:rsidRPr="00D72A90">
        <w:rPr>
          <w:rFonts w:ascii="Book Antiqua" w:hAnsi="Book Antiqua" w:cs="Arial"/>
          <w:sz w:val="24"/>
          <w:szCs w:val="24"/>
        </w:rPr>
        <w:t>EEA Regulations 2016)</w:t>
      </w:r>
      <w:r w:rsidRPr="00D72A90">
        <w:rPr>
          <w:rFonts w:ascii="Book Antiqua" w:hAnsi="Book Antiqua" w:cs="Arial"/>
          <w:sz w:val="24"/>
          <w:szCs w:val="24"/>
        </w:rPr>
        <w:t xml:space="preserve">. </w:t>
      </w:r>
    </w:p>
    <w:p w14:paraId="45C74599" w14:textId="0A898AA2" w:rsidR="006542EE" w:rsidRPr="00D72A90" w:rsidRDefault="006542EE"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The appellant is</w:t>
      </w:r>
      <w:r w:rsidR="001C6228" w:rsidRPr="00D72A90">
        <w:rPr>
          <w:rFonts w:ascii="Book Antiqua" w:hAnsi="Book Antiqua" w:cs="Arial"/>
          <w:sz w:val="24"/>
          <w:szCs w:val="24"/>
        </w:rPr>
        <w:t xml:space="preserve"> </w:t>
      </w:r>
      <w:r w:rsidR="00D4767B" w:rsidRPr="00D72A90">
        <w:rPr>
          <w:rFonts w:ascii="Book Antiqua" w:hAnsi="Book Antiqua" w:cs="Arial"/>
          <w:sz w:val="24"/>
          <w:szCs w:val="24"/>
        </w:rPr>
        <w:t>a German</w:t>
      </w:r>
      <w:r w:rsidR="001C6228" w:rsidRPr="00D72A90">
        <w:rPr>
          <w:rFonts w:ascii="Book Antiqua" w:hAnsi="Book Antiqua" w:cs="Arial"/>
          <w:sz w:val="24"/>
          <w:szCs w:val="24"/>
        </w:rPr>
        <w:t xml:space="preserve"> national</w:t>
      </w:r>
      <w:r w:rsidR="00885E8E" w:rsidRPr="00D72A90">
        <w:rPr>
          <w:rFonts w:ascii="Book Antiqua" w:hAnsi="Book Antiqua" w:cs="Arial"/>
          <w:sz w:val="24"/>
          <w:szCs w:val="24"/>
        </w:rPr>
        <w:t xml:space="preserve"> and his wife, the second appellant is a citizen of Bangladesh. </w:t>
      </w:r>
    </w:p>
    <w:p w14:paraId="70F7AA8E" w14:textId="55D6A052" w:rsidR="005F7CA9" w:rsidRPr="00D72A90" w:rsidRDefault="006542EE"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lastRenderedPageBreak/>
        <w:t xml:space="preserve">In a determination dated </w:t>
      </w:r>
      <w:r w:rsidR="005F7CA9" w:rsidRPr="00D72A90">
        <w:rPr>
          <w:rFonts w:ascii="Book Antiqua" w:hAnsi="Book Antiqua" w:cs="Arial"/>
          <w:sz w:val="24"/>
          <w:szCs w:val="24"/>
        </w:rPr>
        <w:t>9</w:t>
      </w:r>
      <w:r w:rsidR="005F7CA9" w:rsidRPr="00D72A90">
        <w:rPr>
          <w:rFonts w:ascii="Book Antiqua" w:hAnsi="Book Antiqua" w:cs="Arial"/>
          <w:sz w:val="24"/>
          <w:szCs w:val="24"/>
          <w:vertAlign w:val="superscript"/>
        </w:rPr>
        <w:t>th</w:t>
      </w:r>
      <w:r w:rsidR="005F7CA9" w:rsidRPr="00D72A90">
        <w:rPr>
          <w:rFonts w:ascii="Book Antiqua" w:hAnsi="Book Antiqua" w:cs="Arial"/>
          <w:sz w:val="24"/>
          <w:szCs w:val="24"/>
        </w:rPr>
        <w:t xml:space="preserve"> May </w:t>
      </w:r>
      <w:r w:rsidR="00D4767B" w:rsidRPr="00D72A90">
        <w:rPr>
          <w:rFonts w:ascii="Book Antiqua" w:hAnsi="Book Antiqua" w:cs="Arial"/>
          <w:sz w:val="24"/>
          <w:szCs w:val="24"/>
        </w:rPr>
        <w:t>2018, Judge</w:t>
      </w:r>
      <w:r w:rsidRPr="00D72A90">
        <w:rPr>
          <w:rFonts w:ascii="Book Antiqua" w:hAnsi="Book Antiqua" w:cs="Arial"/>
          <w:sz w:val="24"/>
          <w:szCs w:val="24"/>
        </w:rPr>
        <w:t xml:space="preserve"> of the First Tier Tribunal </w:t>
      </w:r>
      <w:r w:rsidR="005F7CA9" w:rsidRPr="00D72A90">
        <w:rPr>
          <w:rFonts w:ascii="Book Antiqua" w:hAnsi="Book Antiqua" w:cs="Arial"/>
          <w:sz w:val="24"/>
          <w:szCs w:val="24"/>
        </w:rPr>
        <w:t xml:space="preserve">Hodgkinson dismissed </w:t>
      </w:r>
      <w:r w:rsidRPr="00D72A90">
        <w:rPr>
          <w:rFonts w:ascii="Book Antiqua" w:hAnsi="Book Antiqua" w:cs="Arial"/>
          <w:sz w:val="24"/>
          <w:szCs w:val="24"/>
        </w:rPr>
        <w:t>the appellant’s appeal</w:t>
      </w:r>
      <w:r w:rsidR="005F7CA9" w:rsidRPr="00D72A90">
        <w:rPr>
          <w:rFonts w:ascii="Book Antiqua" w:hAnsi="Book Antiqua" w:cs="Arial"/>
          <w:sz w:val="24"/>
          <w:szCs w:val="24"/>
        </w:rPr>
        <w:t xml:space="preserve"> and </w:t>
      </w:r>
      <w:r w:rsidR="00DC7E2A" w:rsidRPr="00D72A90">
        <w:rPr>
          <w:rFonts w:ascii="Book Antiqua" w:hAnsi="Book Antiqua" w:cs="Arial"/>
          <w:sz w:val="24"/>
          <w:szCs w:val="24"/>
        </w:rPr>
        <w:t>recorded the background history:</w:t>
      </w:r>
    </w:p>
    <w:p w14:paraId="08C5CFA8" w14:textId="4C34D0F1" w:rsidR="006542EE"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F6062D" w:rsidRPr="00D72A90">
        <w:rPr>
          <w:rFonts w:ascii="Book Antiqua" w:hAnsi="Book Antiqua" w:cs="Arial"/>
          <w:sz w:val="24"/>
          <w:szCs w:val="24"/>
        </w:rPr>
        <w:t xml:space="preserve">Mr Rahman’s contention was that the appellants were self-sufficient with reference to regulations 6 and </w:t>
      </w:r>
      <w:r w:rsidR="00D4767B" w:rsidRPr="00D72A90">
        <w:rPr>
          <w:rFonts w:ascii="Book Antiqua" w:hAnsi="Book Antiqua" w:cs="Arial"/>
          <w:sz w:val="24"/>
          <w:szCs w:val="24"/>
        </w:rPr>
        <w:t>4 [</w:t>
      </w:r>
      <w:r w:rsidR="00F6062D" w:rsidRPr="00D72A90">
        <w:rPr>
          <w:rFonts w:ascii="Book Antiqua" w:hAnsi="Book Antiqua" w:cs="Arial"/>
          <w:sz w:val="24"/>
          <w:szCs w:val="24"/>
        </w:rPr>
        <w:t>4]</w:t>
      </w:r>
      <w:r w:rsidR="0033355A" w:rsidRPr="00D72A90">
        <w:rPr>
          <w:rFonts w:ascii="Book Antiqua" w:hAnsi="Book Antiqua" w:cs="Arial"/>
          <w:sz w:val="24"/>
          <w:szCs w:val="24"/>
        </w:rPr>
        <w:t>. There was no suggestion the appellants were qualified in any other category.</w:t>
      </w:r>
    </w:p>
    <w:p w14:paraId="58954516" w14:textId="60DF1BAD" w:rsidR="0033355A"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466C22" w:rsidRPr="00D72A90">
        <w:rPr>
          <w:rFonts w:ascii="Book Antiqua" w:hAnsi="Book Antiqua" w:cs="Arial"/>
          <w:sz w:val="24"/>
          <w:szCs w:val="24"/>
        </w:rPr>
        <w:t>The appellant</w:t>
      </w:r>
      <w:r w:rsidR="00527F68" w:rsidRPr="00D72A90">
        <w:rPr>
          <w:rFonts w:ascii="Book Antiqua" w:hAnsi="Book Antiqua" w:cs="Arial"/>
          <w:sz w:val="24"/>
          <w:szCs w:val="24"/>
        </w:rPr>
        <w:t>s</w:t>
      </w:r>
      <w:r w:rsidR="00466C22" w:rsidRPr="00D72A90">
        <w:rPr>
          <w:rFonts w:ascii="Book Antiqua" w:hAnsi="Book Antiqua" w:cs="Arial"/>
          <w:sz w:val="24"/>
          <w:szCs w:val="24"/>
        </w:rPr>
        <w:t xml:space="preserve"> travelled to the United Kingdom </w:t>
      </w:r>
      <w:r w:rsidR="00527F68" w:rsidRPr="00D72A90">
        <w:rPr>
          <w:rFonts w:ascii="Book Antiqua" w:hAnsi="Book Antiqua" w:cs="Arial"/>
          <w:sz w:val="24"/>
          <w:szCs w:val="24"/>
        </w:rPr>
        <w:t>on 23rd</w:t>
      </w:r>
      <w:r w:rsidR="00466C22" w:rsidRPr="00D72A90">
        <w:rPr>
          <w:rFonts w:ascii="Book Antiqua" w:hAnsi="Book Antiqua" w:cs="Arial"/>
          <w:sz w:val="24"/>
          <w:szCs w:val="24"/>
        </w:rPr>
        <w:t xml:space="preserve"> May 2016</w:t>
      </w:r>
      <w:r w:rsidR="00A653B7" w:rsidRPr="00D72A90">
        <w:rPr>
          <w:rFonts w:ascii="Book Antiqua" w:hAnsi="Book Antiqua" w:cs="Arial"/>
          <w:sz w:val="24"/>
          <w:szCs w:val="24"/>
        </w:rPr>
        <w:t xml:space="preserve">. The appellant had worked </w:t>
      </w:r>
      <w:r w:rsidR="00A27BB8" w:rsidRPr="00D72A90">
        <w:rPr>
          <w:rFonts w:ascii="Book Antiqua" w:hAnsi="Book Antiqua" w:cs="Arial"/>
          <w:sz w:val="24"/>
          <w:szCs w:val="24"/>
        </w:rPr>
        <w:t>in Germany until he experienced serious and significant medical problems in 2001. They entered the United Kingdom</w:t>
      </w:r>
      <w:r w:rsidR="00527F68" w:rsidRPr="00D72A90">
        <w:rPr>
          <w:rFonts w:ascii="Book Antiqua" w:hAnsi="Book Antiqua" w:cs="Arial"/>
          <w:sz w:val="24"/>
          <w:szCs w:val="24"/>
        </w:rPr>
        <w:t xml:space="preserve"> to see their son and his family.</w:t>
      </w:r>
    </w:p>
    <w:p w14:paraId="17813D03" w14:textId="647D7523" w:rsidR="00C104D5"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C104D5" w:rsidRPr="00D72A90">
        <w:rPr>
          <w:rFonts w:ascii="Book Antiqua" w:hAnsi="Book Antiqua" w:cs="Arial"/>
          <w:sz w:val="24"/>
          <w:szCs w:val="24"/>
        </w:rPr>
        <w:t>On 19 August 2016 the lead appellant sought a residence card as evidence of his exercising treaty rights in the United Kingdom as self-sufficient person and his wife applied as a spouse and family member</w:t>
      </w:r>
      <w:r w:rsidR="005148A1" w:rsidRPr="00D72A90">
        <w:rPr>
          <w:rFonts w:ascii="Book Antiqua" w:hAnsi="Book Antiqua" w:cs="Arial"/>
          <w:sz w:val="24"/>
          <w:szCs w:val="24"/>
        </w:rPr>
        <w:t>.</w:t>
      </w:r>
    </w:p>
    <w:p w14:paraId="43CB7E73" w14:textId="5899458C" w:rsidR="005148A1"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5148A1" w:rsidRPr="00D72A90">
        <w:rPr>
          <w:rFonts w:ascii="Book Antiqua" w:hAnsi="Book Antiqua" w:cs="Arial"/>
          <w:sz w:val="24"/>
          <w:szCs w:val="24"/>
        </w:rPr>
        <w:t>The reasons for refusal letter from the Secretary of State confirmed the appellant had provided insufficient evidence of his self-sufficiency</w:t>
      </w:r>
      <w:r w:rsidR="00AD6A9D" w:rsidRPr="00D72A90">
        <w:rPr>
          <w:rFonts w:ascii="Book Antiqua" w:hAnsi="Book Antiqua" w:cs="Arial"/>
          <w:sz w:val="24"/>
          <w:szCs w:val="24"/>
        </w:rPr>
        <w:t xml:space="preserve"> as he only appeared to have an income of €350 per month for himself and his wife.</w:t>
      </w:r>
    </w:p>
    <w:p w14:paraId="7829C63B" w14:textId="0B64FB8E" w:rsidR="00DC7E2A"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BA03CE" w:rsidRPr="00D72A90">
        <w:rPr>
          <w:rFonts w:ascii="Book Antiqua" w:hAnsi="Book Antiqua" w:cs="Arial"/>
          <w:sz w:val="24"/>
          <w:szCs w:val="24"/>
        </w:rPr>
        <w:t>The refusal made it clear that the respondent did not accept the appellant was exercising treaty rights self-sufficient person</w:t>
      </w:r>
    </w:p>
    <w:p w14:paraId="504BE66C" w14:textId="77777777" w:rsidR="001C6228" w:rsidRPr="00D72A90" w:rsidRDefault="006542EE" w:rsidP="008D4532">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The </w:t>
      </w:r>
      <w:r w:rsidR="00280A17" w:rsidRPr="00D72A90">
        <w:rPr>
          <w:rFonts w:ascii="Book Antiqua" w:hAnsi="Book Antiqua" w:cs="Arial"/>
          <w:sz w:val="24"/>
          <w:szCs w:val="24"/>
        </w:rPr>
        <w:t xml:space="preserve">judge stated at paragraph </w:t>
      </w:r>
      <w:r w:rsidR="00280A17" w:rsidRPr="00D72A90">
        <w:rPr>
          <w:rFonts w:ascii="Book Antiqua" w:hAnsi="Book Antiqua" w:cs="Arial"/>
          <w:i/>
          <w:sz w:val="24"/>
          <w:szCs w:val="24"/>
        </w:rPr>
        <w:t xml:space="preserve">9 </w:t>
      </w:r>
    </w:p>
    <w:p w14:paraId="0C04E454" w14:textId="43792D08" w:rsidR="008D4532" w:rsidRPr="00D72A90" w:rsidRDefault="00280A17" w:rsidP="00B42F34">
      <w:pPr>
        <w:spacing w:before="120" w:after="0" w:line="240" w:lineRule="auto"/>
        <w:ind w:left="1134"/>
        <w:jc w:val="both"/>
        <w:rPr>
          <w:rFonts w:ascii="Book Antiqua" w:hAnsi="Book Antiqua" w:cs="Arial"/>
          <w:sz w:val="24"/>
          <w:szCs w:val="24"/>
        </w:rPr>
      </w:pPr>
      <w:r w:rsidRPr="00D72A90">
        <w:rPr>
          <w:rFonts w:ascii="Book Antiqua" w:hAnsi="Book Antiqua" w:cs="Arial"/>
          <w:i/>
          <w:sz w:val="24"/>
          <w:szCs w:val="24"/>
        </w:rPr>
        <w:t>‘</w:t>
      </w:r>
      <w:r w:rsidR="0014315C" w:rsidRPr="00D72A90">
        <w:rPr>
          <w:rFonts w:ascii="Book Antiqua" w:hAnsi="Book Antiqua" w:cs="Arial"/>
          <w:i/>
          <w:sz w:val="24"/>
          <w:szCs w:val="24"/>
        </w:rPr>
        <w:t>thus,</w:t>
      </w:r>
      <w:r w:rsidRPr="00D72A90">
        <w:rPr>
          <w:rFonts w:ascii="Book Antiqua" w:hAnsi="Book Antiqua" w:cs="Arial"/>
          <w:i/>
          <w:sz w:val="24"/>
          <w:szCs w:val="24"/>
        </w:rPr>
        <w:t xml:space="preserve"> the RFRL </w:t>
      </w:r>
      <w:r w:rsidR="00A56823" w:rsidRPr="00D72A90">
        <w:rPr>
          <w:rFonts w:ascii="Book Antiqua" w:hAnsi="Book Antiqua" w:cs="Arial"/>
          <w:i/>
          <w:sz w:val="24"/>
          <w:szCs w:val="24"/>
        </w:rPr>
        <w:t>makes it clear that the respondent does not accept that the appellant is exercising treaty rights self-sufficient person, the other specific element to be satisfied, in accordance with the requirements of the regulations, as set out below, is that comprehensive sickness insurance, in the United Kingdom is required in relation to both appellants’.</w:t>
      </w:r>
    </w:p>
    <w:p w14:paraId="0A066FE1" w14:textId="20E835EF" w:rsidR="00332088" w:rsidRPr="00D72A90" w:rsidRDefault="00CD3704" w:rsidP="00332088">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The judge made the following findings:</w:t>
      </w:r>
    </w:p>
    <w:p w14:paraId="0769D351" w14:textId="25CA3805" w:rsidR="00332088"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052B1D" w:rsidRPr="00D72A90">
        <w:rPr>
          <w:rFonts w:ascii="Book Antiqua" w:hAnsi="Book Antiqua" w:cs="Arial"/>
          <w:sz w:val="24"/>
          <w:szCs w:val="24"/>
        </w:rPr>
        <w:t>it was common ground the appellant was in receipt of a German work pension in the approximate sum of £320 per month which was paid into his UK bank account</w:t>
      </w:r>
      <w:r w:rsidR="005B6120" w:rsidRPr="00D72A90">
        <w:rPr>
          <w:rFonts w:ascii="Book Antiqua" w:hAnsi="Book Antiqua" w:cs="Arial"/>
          <w:sz w:val="24"/>
          <w:szCs w:val="24"/>
        </w:rPr>
        <w:t xml:space="preserve"> and both appellant resided with their son and his wife (British citizens).</w:t>
      </w:r>
    </w:p>
    <w:p w14:paraId="7AC4FC87" w14:textId="576A8ABC" w:rsidR="005B6120"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3E5092" w:rsidRPr="00D72A90">
        <w:rPr>
          <w:rFonts w:ascii="Book Antiqua" w:hAnsi="Book Antiqua" w:cs="Arial"/>
          <w:sz w:val="24"/>
          <w:szCs w:val="24"/>
        </w:rPr>
        <w:t>The judge made no finding in respect of the sufficiency of the income because of his findings in relation to the requisite comprehensive sickness insurance</w:t>
      </w:r>
      <w:r w:rsidR="005A199F" w:rsidRPr="00D72A90">
        <w:rPr>
          <w:rFonts w:ascii="Book Antiqua" w:hAnsi="Book Antiqua" w:cs="Arial"/>
          <w:sz w:val="24"/>
          <w:szCs w:val="24"/>
        </w:rPr>
        <w:t xml:space="preserve"> and this was raised with Mr Rahman at the hearing.</w:t>
      </w:r>
    </w:p>
    <w:p w14:paraId="3E578BC1" w14:textId="79A1065E" w:rsidR="005A199F"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5A199F" w:rsidRPr="00D72A90">
        <w:rPr>
          <w:rFonts w:ascii="Book Antiqua" w:hAnsi="Book Antiqua" w:cs="Arial"/>
          <w:sz w:val="24"/>
          <w:szCs w:val="24"/>
        </w:rPr>
        <w:t>It was the appellant’s case that the requisite relevant comprehensive sickness insurance cover was in place</w:t>
      </w:r>
      <w:r w:rsidR="006C1E3F" w:rsidRPr="00D72A90">
        <w:rPr>
          <w:rFonts w:ascii="Book Antiqua" w:hAnsi="Book Antiqua" w:cs="Arial"/>
          <w:sz w:val="24"/>
          <w:szCs w:val="24"/>
        </w:rPr>
        <w:t xml:space="preserve"> and produced the originals at the hearing of recently issued German health cards for both appellants valid until 31 December 2022. Those </w:t>
      </w:r>
      <w:r w:rsidR="002517DB" w:rsidRPr="00D72A90">
        <w:rPr>
          <w:rFonts w:ascii="Book Antiqua" w:hAnsi="Book Antiqua" w:cs="Arial"/>
          <w:sz w:val="24"/>
          <w:szCs w:val="24"/>
        </w:rPr>
        <w:t xml:space="preserve">cards were </w:t>
      </w:r>
      <w:r w:rsidR="002517DB" w:rsidRPr="00D72A90">
        <w:rPr>
          <w:rFonts w:ascii="Book Antiqua" w:hAnsi="Book Antiqua" w:cs="Arial"/>
          <w:sz w:val="24"/>
          <w:szCs w:val="24"/>
          <w:u w:val="single"/>
        </w:rPr>
        <w:t xml:space="preserve">issued by a German health insurance company by the name of </w:t>
      </w:r>
      <w:r w:rsidR="0014315C" w:rsidRPr="00D72A90">
        <w:rPr>
          <w:rFonts w:ascii="Book Antiqua" w:hAnsi="Book Antiqua" w:cs="Arial"/>
          <w:sz w:val="24"/>
          <w:szCs w:val="24"/>
          <w:u w:val="single"/>
        </w:rPr>
        <w:t>AOK</w:t>
      </w:r>
      <w:r w:rsidR="0014315C" w:rsidRPr="00D72A90">
        <w:rPr>
          <w:rFonts w:ascii="Book Antiqua" w:hAnsi="Book Antiqua" w:cs="Arial"/>
          <w:sz w:val="24"/>
          <w:szCs w:val="24"/>
        </w:rPr>
        <w:t xml:space="preserve"> and</w:t>
      </w:r>
      <w:r w:rsidR="002517DB" w:rsidRPr="00D72A90">
        <w:rPr>
          <w:rFonts w:ascii="Book Antiqua" w:hAnsi="Book Antiqua" w:cs="Arial"/>
          <w:sz w:val="24"/>
          <w:szCs w:val="24"/>
        </w:rPr>
        <w:t xml:space="preserve"> replaced earlier cards valid to 30 June 2018</w:t>
      </w:r>
      <w:r w:rsidR="00582777" w:rsidRPr="00D72A90">
        <w:rPr>
          <w:rFonts w:ascii="Book Antiqua" w:hAnsi="Book Antiqua" w:cs="Arial"/>
          <w:sz w:val="24"/>
          <w:szCs w:val="24"/>
        </w:rPr>
        <w:t>. The appellants considered they had European health insurance certificate (EHIC).</w:t>
      </w:r>
    </w:p>
    <w:p w14:paraId="1ADF50AB" w14:textId="770F9B06" w:rsidR="006D11FB"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6D11FB" w:rsidRPr="00D72A90">
        <w:rPr>
          <w:rFonts w:ascii="Book Antiqua" w:hAnsi="Book Antiqua" w:cs="Arial"/>
          <w:sz w:val="24"/>
          <w:szCs w:val="24"/>
        </w:rPr>
        <w:t>The judge was referred to further relevant documentation and translation</w:t>
      </w:r>
      <w:r w:rsidR="003D0032" w:rsidRPr="00D72A90">
        <w:rPr>
          <w:rFonts w:ascii="Book Antiqua" w:hAnsi="Book Antiqua" w:cs="Arial"/>
          <w:sz w:val="24"/>
          <w:szCs w:val="24"/>
        </w:rPr>
        <w:t xml:space="preserve"> and page 43 a letter related to the earlier </w:t>
      </w:r>
      <w:r w:rsidR="001C6228" w:rsidRPr="00D72A90">
        <w:rPr>
          <w:rFonts w:ascii="Book Antiqua" w:hAnsi="Book Antiqua" w:cs="Arial"/>
          <w:sz w:val="24"/>
          <w:szCs w:val="24"/>
        </w:rPr>
        <w:t>AOK</w:t>
      </w:r>
      <w:r w:rsidR="003D0032" w:rsidRPr="00D72A90">
        <w:rPr>
          <w:rFonts w:ascii="Book Antiqua" w:hAnsi="Book Antiqua" w:cs="Arial"/>
          <w:sz w:val="24"/>
          <w:szCs w:val="24"/>
        </w:rPr>
        <w:t xml:space="preserve"> health insurance </w:t>
      </w:r>
      <w:r w:rsidR="0014315C" w:rsidRPr="00D72A90">
        <w:rPr>
          <w:rFonts w:ascii="Book Antiqua" w:hAnsi="Book Antiqua" w:cs="Arial"/>
          <w:sz w:val="24"/>
          <w:szCs w:val="24"/>
        </w:rPr>
        <w:t>card,</w:t>
      </w:r>
      <w:r w:rsidR="003D0032" w:rsidRPr="00D72A90">
        <w:rPr>
          <w:rFonts w:ascii="Book Antiqua" w:hAnsi="Book Antiqua" w:cs="Arial"/>
          <w:sz w:val="24"/>
          <w:szCs w:val="24"/>
        </w:rPr>
        <w:t xml:space="preserve"> but the letter did not explain how the card worked or the level of cover in medical terms</w:t>
      </w:r>
      <w:r w:rsidR="00485B5C" w:rsidRPr="00D72A90">
        <w:rPr>
          <w:rFonts w:ascii="Book Antiqua" w:hAnsi="Book Antiqua" w:cs="Arial"/>
          <w:sz w:val="24"/>
          <w:szCs w:val="24"/>
        </w:rPr>
        <w:t>.</w:t>
      </w:r>
    </w:p>
    <w:p w14:paraId="06E658A5" w14:textId="4FF9E3C0" w:rsidR="00485B5C"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3A6552" w:rsidRPr="00D72A90">
        <w:rPr>
          <w:rFonts w:ascii="Book Antiqua" w:hAnsi="Book Antiqua" w:cs="Arial"/>
          <w:sz w:val="24"/>
          <w:szCs w:val="24"/>
        </w:rPr>
        <w:t>At page 47 of the bundle</w:t>
      </w:r>
      <w:r w:rsidR="00F621A4" w:rsidRPr="00D72A90">
        <w:rPr>
          <w:rFonts w:ascii="Book Antiqua" w:hAnsi="Book Antiqua" w:cs="Arial"/>
          <w:sz w:val="24"/>
          <w:szCs w:val="24"/>
        </w:rPr>
        <w:t xml:space="preserve"> was a further letter </w:t>
      </w:r>
      <w:r w:rsidR="00B85E54" w:rsidRPr="00D72A90">
        <w:rPr>
          <w:rFonts w:ascii="Book Antiqua" w:hAnsi="Book Antiqua" w:cs="Arial"/>
          <w:sz w:val="24"/>
          <w:szCs w:val="24"/>
        </w:rPr>
        <w:t>from AOK</w:t>
      </w:r>
      <w:r w:rsidR="00F621A4" w:rsidRPr="00D72A90">
        <w:rPr>
          <w:rFonts w:ascii="Book Antiqua" w:hAnsi="Book Antiqua" w:cs="Arial"/>
          <w:sz w:val="24"/>
          <w:szCs w:val="24"/>
        </w:rPr>
        <w:t xml:space="preserve"> dated 15 January 2018 addressed the appellant at his current United Kingdom address stating</w:t>
      </w:r>
      <w:r w:rsidR="004021CE" w:rsidRPr="00D72A90">
        <w:rPr>
          <w:rFonts w:ascii="Book Antiqua" w:hAnsi="Book Antiqua" w:cs="Arial"/>
          <w:sz w:val="24"/>
          <w:szCs w:val="24"/>
        </w:rPr>
        <w:t>:</w:t>
      </w:r>
    </w:p>
    <w:p w14:paraId="231287B8" w14:textId="1431EC95" w:rsidR="004021CE" w:rsidRPr="00D72A90" w:rsidRDefault="004021CE" w:rsidP="00B42F34">
      <w:pPr>
        <w:pStyle w:val="ListParagraph"/>
        <w:spacing w:before="120" w:after="0" w:line="240" w:lineRule="auto"/>
        <w:ind w:left="1134"/>
        <w:contextualSpacing w:val="0"/>
        <w:jc w:val="both"/>
        <w:rPr>
          <w:rFonts w:ascii="Book Antiqua" w:hAnsi="Book Antiqua" w:cs="Arial"/>
          <w:i/>
          <w:sz w:val="24"/>
          <w:szCs w:val="24"/>
        </w:rPr>
      </w:pPr>
      <w:r w:rsidRPr="00D72A90">
        <w:rPr>
          <w:rFonts w:ascii="Book Antiqua" w:hAnsi="Book Antiqua" w:cs="Arial"/>
          <w:i/>
          <w:sz w:val="24"/>
          <w:szCs w:val="24"/>
        </w:rPr>
        <w:lastRenderedPageBreak/>
        <w:t>‘</w:t>
      </w:r>
      <w:r w:rsidR="0052631F" w:rsidRPr="00D72A90">
        <w:rPr>
          <w:rFonts w:ascii="Book Antiqua" w:hAnsi="Book Antiqua" w:cs="Arial"/>
          <w:i/>
          <w:sz w:val="24"/>
          <w:szCs w:val="24"/>
        </w:rPr>
        <w:t>I</w:t>
      </w:r>
      <w:r w:rsidRPr="00D72A90">
        <w:rPr>
          <w:rFonts w:ascii="Book Antiqua" w:hAnsi="Book Antiqua" w:cs="Arial"/>
          <w:i/>
          <w:sz w:val="24"/>
          <w:szCs w:val="24"/>
        </w:rPr>
        <w:t>nformation</w:t>
      </w:r>
    </w:p>
    <w:p w14:paraId="2C5F06A9" w14:textId="273F3C7D" w:rsidR="004021CE" w:rsidRPr="00D72A90" w:rsidRDefault="0052631F" w:rsidP="00B42F34">
      <w:pPr>
        <w:pStyle w:val="ListParagraph"/>
        <w:spacing w:before="120" w:after="0" w:line="240" w:lineRule="auto"/>
        <w:ind w:left="1134"/>
        <w:contextualSpacing w:val="0"/>
        <w:jc w:val="both"/>
        <w:rPr>
          <w:rFonts w:ascii="Book Antiqua" w:hAnsi="Book Antiqua" w:cs="Arial"/>
          <w:i/>
          <w:sz w:val="24"/>
          <w:szCs w:val="24"/>
        </w:rPr>
      </w:pPr>
      <w:r w:rsidRPr="00D72A90">
        <w:rPr>
          <w:rFonts w:ascii="Book Antiqua" w:hAnsi="Book Antiqua" w:cs="Arial"/>
          <w:i/>
          <w:sz w:val="24"/>
          <w:szCs w:val="24"/>
        </w:rPr>
        <w:t>H</w:t>
      </w:r>
      <w:r w:rsidR="001E1902" w:rsidRPr="00D72A90">
        <w:rPr>
          <w:rFonts w:ascii="Book Antiqua" w:hAnsi="Book Antiqua" w:cs="Arial"/>
          <w:i/>
          <w:sz w:val="24"/>
          <w:szCs w:val="24"/>
        </w:rPr>
        <w:t xml:space="preserve">ealth </w:t>
      </w:r>
      <w:r w:rsidRPr="00D72A90">
        <w:rPr>
          <w:rFonts w:ascii="Book Antiqua" w:hAnsi="Book Antiqua" w:cs="Arial"/>
          <w:i/>
          <w:sz w:val="24"/>
          <w:szCs w:val="24"/>
        </w:rPr>
        <w:t>i</w:t>
      </w:r>
      <w:r w:rsidR="001E1902" w:rsidRPr="00D72A90">
        <w:rPr>
          <w:rFonts w:ascii="Book Antiqua" w:hAnsi="Book Antiqua" w:cs="Arial"/>
          <w:i/>
          <w:sz w:val="24"/>
          <w:szCs w:val="24"/>
        </w:rPr>
        <w:t>nsurance protection for family members living in your home country</w:t>
      </w:r>
    </w:p>
    <w:p w14:paraId="4103523E" w14:textId="106EE0C6" w:rsidR="001E1902" w:rsidRPr="00D72A90" w:rsidRDefault="0052631F" w:rsidP="00B42F34">
      <w:pPr>
        <w:pStyle w:val="ListParagraph"/>
        <w:spacing w:before="120" w:after="0" w:line="240" w:lineRule="auto"/>
        <w:ind w:left="1134"/>
        <w:contextualSpacing w:val="0"/>
        <w:jc w:val="both"/>
        <w:rPr>
          <w:rFonts w:ascii="Book Antiqua" w:hAnsi="Book Antiqua" w:cs="Arial"/>
          <w:i/>
          <w:sz w:val="24"/>
          <w:szCs w:val="24"/>
        </w:rPr>
      </w:pPr>
      <w:r w:rsidRPr="00D72A90">
        <w:rPr>
          <w:rFonts w:ascii="Book Antiqua" w:hAnsi="Book Antiqua" w:cs="Arial"/>
          <w:i/>
          <w:sz w:val="24"/>
          <w:szCs w:val="24"/>
        </w:rPr>
        <w:t>H</w:t>
      </w:r>
      <w:r w:rsidR="001E1902" w:rsidRPr="00D72A90">
        <w:rPr>
          <w:rFonts w:ascii="Book Antiqua" w:hAnsi="Book Antiqua" w:cs="Arial"/>
          <w:i/>
          <w:sz w:val="24"/>
          <w:szCs w:val="24"/>
        </w:rPr>
        <w:t>ealth insurance policy number: X846051441 – 10/07/1951</w:t>
      </w:r>
    </w:p>
    <w:p w14:paraId="6EA04632" w14:textId="7E4EC22E" w:rsidR="0052631F" w:rsidRPr="00D72A90" w:rsidRDefault="0052631F" w:rsidP="00B42F34">
      <w:pPr>
        <w:pStyle w:val="ListParagraph"/>
        <w:spacing w:before="120" w:after="0" w:line="240" w:lineRule="auto"/>
        <w:ind w:left="1134"/>
        <w:contextualSpacing w:val="0"/>
        <w:jc w:val="both"/>
        <w:rPr>
          <w:rFonts w:ascii="Book Antiqua" w:hAnsi="Book Antiqua" w:cs="Arial"/>
          <w:i/>
          <w:sz w:val="24"/>
          <w:szCs w:val="24"/>
        </w:rPr>
      </w:pPr>
      <w:r w:rsidRPr="00D72A90">
        <w:rPr>
          <w:rFonts w:ascii="Book Antiqua" w:hAnsi="Book Antiqua" w:cs="Arial"/>
          <w:i/>
          <w:sz w:val="24"/>
          <w:szCs w:val="24"/>
        </w:rPr>
        <w:t>Dear Mr Rahman,</w:t>
      </w:r>
    </w:p>
    <w:p w14:paraId="2E7C4A16" w14:textId="0BB6B2C5" w:rsidR="0052631F" w:rsidRPr="00D72A90" w:rsidRDefault="00EF10D3" w:rsidP="00B42F34">
      <w:pPr>
        <w:pStyle w:val="ListParagraph"/>
        <w:spacing w:before="120" w:after="0" w:line="240" w:lineRule="auto"/>
        <w:ind w:left="1134"/>
        <w:contextualSpacing w:val="0"/>
        <w:jc w:val="both"/>
        <w:rPr>
          <w:rFonts w:ascii="Book Antiqua" w:hAnsi="Book Antiqua" w:cs="Arial"/>
          <w:i/>
          <w:sz w:val="24"/>
          <w:szCs w:val="24"/>
        </w:rPr>
      </w:pPr>
      <w:r w:rsidRPr="00D72A90">
        <w:rPr>
          <w:rFonts w:ascii="Book Antiqua" w:hAnsi="Book Antiqua" w:cs="Arial"/>
          <w:i/>
          <w:sz w:val="24"/>
          <w:szCs w:val="24"/>
        </w:rPr>
        <w:t>we have applied to register your dependence with the British insurance provider</w:t>
      </w:r>
      <w:r w:rsidR="00B85E54" w:rsidRPr="00D72A90">
        <w:rPr>
          <w:rFonts w:ascii="Book Antiqua" w:hAnsi="Book Antiqua" w:cs="Arial"/>
          <w:i/>
          <w:sz w:val="24"/>
          <w:szCs w:val="24"/>
        </w:rPr>
        <w:t>.  A</w:t>
      </w:r>
      <w:r w:rsidRPr="00D72A90">
        <w:rPr>
          <w:rFonts w:ascii="Book Antiqua" w:hAnsi="Book Antiqua" w:cs="Arial"/>
          <w:i/>
          <w:sz w:val="24"/>
          <w:szCs w:val="24"/>
        </w:rPr>
        <w:t>s soon as we receive confirmation here, we will be able to order a</w:t>
      </w:r>
      <w:r w:rsidR="00B85E54" w:rsidRPr="00D72A90">
        <w:rPr>
          <w:rFonts w:ascii="Book Antiqua" w:hAnsi="Book Antiqua" w:cs="Arial"/>
          <w:i/>
          <w:sz w:val="24"/>
          <w:szCs w:val="24"/>
        </w:rPr>
        <w:t>n</w:t>
      </w:r>
      <w:r w:rsidRPr="00D72A90">
        <w:rPr>
          <w:rFonts w:ascii="Book Antiqua" w:hAnsi="Book Antiqua" w:cs="Arial"/>
          <w:i/>
          <w:sz w:val="24"/>
          <w:szCs w:val="24"/>
        </w:rPr>
        <w:t xml:space="preserve"> AOK insurance card for your wife’</w:t>
      </w:r>
    </w:p>
    <w:p w14:paraId="12624AB9" w14:textId="42F533C6" w:rsidR="004021CE"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E6106B" w:rsidRPr="00D72A90">
        <w:rPr>
          <w:rFonts w:ascii="Book Antiqua" w:hAnsi="Book Antiqua" w:cs="Arial"/>
          <w:sz w:val="24"/>
          <w:szCs w:val="24"/>
        </w:rPr>
        <w:t>there was no indication who the British insurance provider might be</w:t>
      </w:r>
    </w:p>
    <w:p w14:paraId="66D6DCA5" w14:textId="68ABAEA2" w:rsidR="00E6106B"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890C85" w:rsidRPr="00D72A90">
        <w:rPr>
          <w:rFonts w:ascii="Book Antiqua" w:hAnsi="Book Antiqua" w:cs="Arial"/>
          <w:sz w:val="24"/>
          <w:szCs w:val="24"/>
        </w:rPr>
        <w:t>there w</w:t>
      </w:r>
      <w:r w:rsidR="00E845E2" w:rsidRPr="00D72A90">
        <w:rPr>
          <w:rFonts w:ascii="Book Antiqua" w:hAnsi="Book Antiqua" w:cs="Arial"/>
          <w:sz w:val="24"/>
          <w:szCs w:val="24"/>
        </w:rPr>
        <w:t>ere</w:t>
      </w:r>
      <w:r w:rsidR="00890C85" w:rsidRPr="00D72A90">
        <w:rPr>
          <w:rFonts w:ascii="Book Antiqua" w:hAnsi="Book Antiqua" w:cs="Arial"/>
          <w:sz w:val="24"/>
          <w:szCs w:val="24"/>
        </w:rPr>
        <w:t xml:space="preserve"> no policy documents and a further document at page 5</w:t>
      </w:r>
      <w:r w:rsidR="00E845E2" w:rsidRPr="00D72A90">
        <w:rPr>
          <w:rFonts w:ascii="Book Antiqua" w:hAnsi="Book Antiqua" w:cs="Arial"/>
          <w:sz w:val="24"/>
          <w:szCs w:val="24"/>
        </w:rPr>
        <w:t>0</w:t>
      </w:r>
      <w:r w:rsidR="00890C85" w:rsidRPr="00D72A90">
        <w:rPr>
          <w:rFonts w:ascii="Book Antiqua" w:hAnsi="Book Antiqua" w:cs="Arial"/>
          <w:sz w:val="24"/>
          <w:szCs w:val="24"/>
        </w:rPr>
        <w:t>-51 of the bundle did not set out what cover was provided by the German insurance policy</w:t>
      </w:r>
    </w:p>
    <w:p w14:paraId="4D165DD1" w14:textId="4C358FA5" w:rsidR="00E845E2" w:rsidRPr="00D72A90" w:rsidRDefault="00E845E2"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sidRPr="00D72A90">
        <w:rPr>
          <w:rFonts w:ascii="Book Antiqua" w:hAnsi="Book Antiqua" w:cs="Arial"/>
          <w:sz w:val="24"/>
          <w:szCs w:val="24"/>
        </w:rPr>
        <w:t>a letter</w:t>
      </w:r>
      <w:r w:rsidR="00585460" w:rsidRPr="00D72A90">
        <w:rPr>
          <w:rFonts w:ascii="Book Antiqua" w:hAnsi="Book Antiqua" w:cs="Arial"/>
          <w:sz w:val="24"/>
          <w:szCs w:val="24"/>
        </w:rPr>
        <w:t xml:space="preserve"> (translated) from the Deutsche </w:t>
      </w:r>
      <w:proofErr w:type="spellStart"/>
      <w:r w:rsidR="00585460" w:rsidRPr="00D72A90">
        <w:rPr>
          <w:rFonts w:ascii="Book Antiqua" w:hAnsi="Book Antiqua" w:cs="Arial"/>
          <w:sz w:val="24"/>
          <w:szCs w:val="24"/>
        </w:rPr>
        <w:t>Rentenversicherung</w:t>
      </w:r>
      <w:proofErr w:type="spellEnd"/>
      <w:r w:rsidR="008E7782" w:rsidRPr="00D72A90">
        <w:rPr>
          <w:rFonts w:ascii="Book Antiqua" w:hAnsi="Book Antiqua" w:cs="Arial"/>
          <w:sz w:val="24"/>
          <w:szCs w:val="24"/>
        </w:rPr>
        <w:t xml:space="preserve"> (the German statutory pension scheme) dated 11 February 2018 addressed to the appellant</w:t>
      </w:r>
      <w:r w:rsidR="00FE4136" w:rsidRPr="00D72A90">
        <w:rPr>
          <w:rFonts w:ascii="Book Antiqua" w:hAnsi="Book Antiqua" w:cs="Arial"/>
          <w:sz w:val="24"/>
          <w:szCs w:val="24"/>
        </w:rPr>
        <w:t xml:space="preserve">, referred to deductions for a contribution by the appellant to a health insurance scheme </w:t>
      </w:r>
      <w:r w:rsidR="004A5FB8" w:rsidRPr="00D72A90">
        <w:rPr>
          <w:rFonts w:ascii="Book Antiqua" w:hAnsi="Book Antiqua" w:cs="Arial"/>
          <w:sz w:val="24"/>
          <w:szCs w:val="24"/>
        </w:rPr>
        <w:t xml:space="preserve">in </w:t>
      </w:r>
      <w:r w:rsidR="00FE4136" w:rsidRPr="00D72A90">
        <w:rPr>
          <w:rFonts w:ascii="Book Antiqua" w:hAnsi="Book Antiqua" w:cs="Arial"/>
          <w:sz w:val="24"/>
          <w:szCs w:val="24"/>
        </w:rPr>
        <w:t>Germany</w:t>
      </w:r>
      <w:r w:rsidR="004A5FB8" w:rsidRPr="00D72A90">
        <w:rPr>
          <w:rFonts w:ascii="Book Antiqua" w:hAnsi="Book Antiqua" w:cs="Arial"/>
          <w:sz w:val="24"/>
          <w:szCs w:val="24"/>
        </w:rPr>
        <w:t>.</w:t>
      </w:r>
      <w:r w:rsidR="005C20A7" w:rsidRPr="00D72A90">
        <w:rPr>
          <w:rFonts w:ascii="Book Antiqua" w:hAnsi="Book Antiqua" w:cs="Arial"/>
          <w:sz w:val="24"/>
          <w:szCs w:val="24"/>
        </w:rPr>
        <w:t xml:space="preserve"> </w:t>
      </w:r>
      <w:r w:rsidR="004A5FB8" w:rsidRPr="00D72A90">
        <w:rPr>
          <w:rFonts w:ascii="Book Antiqua" w:hAnsi="Book Antiqua" w:cs="Arial"/>
          <w:sz w:val="24"/>
          <w:szCs w:val="24"/>
        </w:rPr>
        <w:t>‘</w:t>
      </w:r>
      <w:r w:rsidR="004A5FB8" w:rsidRPr="00D72A90">
        <w:rPr>
          <w:rFonts w:ascii="Book Antiqua" w:hAnsi="Book Antiqua" w:cs="Arial"/>
          <w:i/>
          <w:sz w:val="24"/>
          <w:szCs w:val="24"/>
        </w:rPr>
        <w:t>Those deductions comprise the appellant’s contribution to a health insurance game</w:t>
      </w:r>
      <w:r w:rsidR="00FE4136" w:rsidRPr="00D72A90">
        <w:rPr>
          <w:rFonts w:ascii="Book Antiqua" w:hAnsi="Book Antiqua" w:cs="Arial"/>
          <w:i/>
          <w:sz w:val="24"/>
          <w:szCs w:val="24"/>
        </w:rPr>
        <w:t xml:space="preserve"> the sum</w:t>
      </w:r>
      <w:r w:rsidR="000D34F7" w:rsidRPr="00D72A90">
        <w:rPr>
          <w:rFonts w:ascii="Book Antiqua" w:hAnsi="Book Antiqua" w:cs="Arial"/>
          <w:i/>
          <w:sz w:val="24"/>
          <w:szCs w:val="24"/>
        </w:rPr>
        <w:t xml:space="preserve"> of €30.57 per month an additional contribution to health insurance, in the sum of €4.19 per month</w:t>
      </w:r>
      <w:r w:rsidR="007E2229" w:rsidRPr="00D72A90">
        <w:rPr>
          <w:rFonts w:ascii="Book Antiqua" w:hAnsi="Book Antiqua" w:cs="Arial"/>
          <w:i/>
          <w:sz w:val="24"/>
          <w:szCs w:val="24"/>
        </w:rPr>
        <w:t xml:space="preserve"> and the appellant’s contribution to nursing care insurance, in the sum of 10 years and $.68 per month. These are shown as deductions from the appellants monthly German pension. They may relate to the </w:t>
      </w:r>
      <w:r w:rsidR="005C20A7" w:rsidRPr="00D72A90">
        <w:rPr>
          <w:rFonts w:ascii="Book Antiqua" w:hAnsi="Book Antiqua" w:cs="Arial"/>
          <w:i/>
          <w:sz w:val="24"/>
          <w:szCs w:val="24"/>
        </w:rPr>
        <w:t>AOK</w:t>
      </w:r>
      <w:r w:rsidR="007E2229" w:rsidRPr="00D72A90">
        <w:rPr>
          <w:rFonts w:ascii="Book Antiqua" w:hAnsi="Book Antiqua" w:cs="Arial"/>
          <w:i/>
          <w:sz w:val="24"/>
          <w:szCs w:val="24"/>
        </w:rPr>
        <w:t xml:space="preserve"> insurance to which I have referred above’</w:t>
      </w:r>
      <w:r w:rsidR="00000890" w:rsidRPr="00D72A90">
        <w:rPr>
          <w:rFonts w:ascii="Book Antiqua" w:hAnsi="Book Antiqua" w:cs="Arial"/>
          <w:i/>
          <w:sz w:val="24"/>
          <w:szCs w:val="24"/>
        </w:rPr>
        <w:t xml:space="preserve"> </w:t>
      </w:r>
      <w:r w:rsidR="00000890" w:rsidRPr="00D72A90">
        <w:rPr>
          <w:rFonts w:ascii="Book Antiqua" w:hAnsi="Book Antiqua" w:cs="Arial"/>
          <w:sz w:val="24"/>
          <w:szCs w:val="24"/>
        </w:rPr>
        <w:t>[27]</w:t>
      </w:r>
      <w:r w:rsidR="007E2229" w:rsidRPr="00D72A90">
        <w:rPr>
          <w:rFonts w:ascii="Book Antiqua" w:hAnsi="Book Antiqua" w:cs="Arial"/>
          <w:sz w:val="24"/>
          <w:szCs w:val="24"/>
        </w:rPr>
        <w:t>.</w:t>
      </w:r>
    </w:p>
    <w:p w14:paraId="5C37FE06" w14:textId="715B960E" w:rsidR="00000890"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000890" w:rsidRPr="00D72A90">
        <w:rPr>
          <w:rFonts w:ascii="Book Antiqua" w:hAnsi="Book Antiqua" w:cs="Arial"/>
          <w:sz w:val="24"/>
          <w:szCs w:val="24"/>
        </w:rPr>
        <w:t>No policy document was produced relating to the insurance or any independent documentary evidence</w:t>
      </w:r>
      <w:r w:rsidR="00E161FE" w:rsidRPr="00D72A90">
        <w:rPr>
          <w:rFonts w:ascii="Book Antiqua" w:hAnsi="Book Antiqua" w:cs="Arial"/>
          <w:sz w:val="24"/>
          <w:szCs w:val="24"/>
        </w:rPr>
        <w:t xml:space="preserve"> which established the level of that insurance cover. Documents did not establish that the German insurance scheme referred to</w:t>
      </w:r>
      <w:r w:rsidR="0054183D" w:rsidRPr="00D72A90">
        <w:rPr>
          <w:rFonts w:ascii="Book Antiqua" w:hAnsi="Book Antiqua" w:cs="Arial"/>
          <w:sz w:val="24"/>
          <w:szCs w:val="24"/>
        </w:rPr>
        <w:t>,</w:t>
      </w:r>
      <w:r w:rsidR="00E161FE" w:rsidRPr="00D72A90">
        <w:rPr>
          <w:rFonts w:ascii="Book Antiqua" w:hAnsi="Book Antiqua" w:cs="Arial"/>
          <w:sz w:val="24"/>
          <w:szCs w:val="24"/>
        </w:rPr>
        <w:t xml:space="preserve"> provided comprehensive sickness insurance cover to appellants. The judge found it was </w:t>
      </w:r>
      <w:r w:rsidR="0054183D" w:rsidRPr="00D72A90">
        <w:rPr>
          <w:rFonts w:ascii="Book Antiqua" w:hAnsi="Book Antiqua" w:cs="Arial"/>
          <w:sz w:val="24"/>
          <w:szCs w:val="24"/>
        </w:rPr>
        <w:t>not</w:t>
      </w:r>
      <w:r w:rsidR="00E161FE" w:rsidRPr="00D72A90">
        <w:rPr>
          <w:rFonts w:ascii="Book Antiqua" w:hAnsi="Book Antiqua" w:cs="Arial"/>
          <w:sz w:val="24"/>
          <w:szCs w:val="24"/>
        </w:rPr>
        <w:t xml:space="preserve"> clear precisely what cover that policy did provide to the appellant United Kingdom any</w:t>
      </w:r>
    </w:p>
    <w:p w14:paraId="26306278" w14:textId="47A88D5C" w:rsidR="008F51B1"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8F51B1" w:rsidRPr="00D72A90">
        <w:rPr>
          <w:rFonts w:ascii="Book Antiqua" w:hAnsi="Book Antiqua" w:cs="Arial"/>
          <w:sz w:val="24"/>
          <w:szCs w:val="24"/>
        </w:rPr>
        <w:t>there were various and NHS medical documents but no indication the insurance cover had paid anything to the NHS</w:t>
      </w:r>
      <w:r w:rsidR="007A66C1" w:rsidRPr="00D72A90">
        <w:rPr>
          <w:rFonts w:ascii="Book Antiqua" w:hAnsi="Book Antiqua" w:cs="Arial"/>
          <w:sz w:val="24"/>
          <w:szCs w:val="24"/>
        </w:rPr>
        <w:t xml:space="preserve"> or indeed anything had been paid at all to anyone. There were no invoices for treatment</w:t>
      </w:r>
    </w:p>
    <w:p w14:paraId="285E2EA5" w14:textId="78D19193" w:rsidR="007A66C1"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7A66C1" w:rsidRPr="00D72A90">
        <w:rPr>
          <w:rFonts w:ascii="Book Antiqua" w:hAnsi="Book Antiqua" w:cs="Arial"/>
          <w:sz w:val="24"/>
          <w:szCs w:val="24"/>
        </w:rPr>
        <w:t>the judge acknowledged Mr Rahman contended it was accepted in the RFRLs that the</w:t>
      </w:r>
      <w:r w:rsidR="00E15735" w:rsidRPr="00D72A90">
        <w:rPr>
          <w:rFonts w:ascii="Book Antiqua" w:hAnsi="Book Antiqua" w:cs="Arial"/>
          <w:sz w:val="24"/>
          <w:szCs w:val="24"/>
        </w:rPr>
        <w:t xml:space="preserve"> comprehensive sickness insurance cover was in place as there was acknowledgement that the German health cards been produced as evidence of medical insurance and was no indication that the insurance was inadequate</w:t>
      </w:r>
    </w:p>
    <w:p w14:paraId="2B7CEC12" w14:textId="51D16598" w:rsidR="00E15735"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sz w:val="24"/>
          <w:szCs w:val="24"/>
        </w:rPr>
      </w:pPr>
      <w:r>
        <w:rPr>
          <w:rFonts w:ascii="Book Antiqua" w:hAnsi="Book Antiqua" w:cs="Arial"/>
          <w:sz w:val="24"/>
          <w:szCs w:val="24"/>
        </w:rPr>
        <w:tab/>
      </w:r>
      <w:r w:rsidR="00484733" w:rsidRPr="00D72A90">
        <w:rPr>
          <w:rFonts w:ascii="Book Antiqua" w:hAnsi="Book Antiqua" w:cs="Arial"/>
          <w:sz w:val="24"/>
          <w:szCs w:val="24"/>
        </w:rPr>
        <w:t>the judge acknowledged that the respondent did not specifically address the question of the requisite sickness insurance but the Home Office presenting Of</w:t>
      </w:r>
      <w:r w:rsidR="0054183D" w:rsidRPr="00D72A90">
        <w:rPr>
          <w:rFonts w:ascii="Book Antiqua" w:hAnsi="Book Antiqua" w:cs="Arial"/>
          <w:sz w:val="24"/>
          <w:szCs w:val="24"/>
        </w:rPr>
        <w:t>ficer</w:t>
      </w:r>
      <w:r w:rsidR="00484733" w:rsidRPr="00D72A90">
        <w:rPr>
          <w:rFonts w:ascii="Book Antiqua" w:hAnsi="Book Antiqua" w:cs="Arial"/>
          <w:sz w:val="24"/>
          <w:szCs w:val="24"/>
        </w:rPr>
        <w:t xml:space="preserve"> did not accept that the requisite comprehensive health insurance cover was in place and the judge found he was required to consider whether every relevant aspect of the relevant regulations</w:t>
      </w:r>
      <w:r w:rsidR="003D5926" w:rsidRPr="00D72A90">
        <w:rPr>
          <w:rFonts w:ascii="Book Antiqua" w:hAnsi="Book Antiqua" w:cs="Arial"/>
          <w:sz w:val="24"/>
          <w:szCs w:val="24"/>
        </w:rPr>
        <w:t xml:space="preserve"> was satisfied and found that it had not been. The judge confirmed that Mr Rahman did not request an adjournment of the appeal hearing.</w:t>
      </w:r>
    </w:p>
    <w:p w14:paraId="0B1AE199" w14:textId="16E168D8" w:rsidR="002B5494" w:rsidRPr="00D72A90" w:rsidRDefault="00B42F34" w:rsidP="00B42F34">
      <w:pPr>
        <w:pStyle w:val="ListParagraph"/>
        <w:numPr>
          <w:ilvl w:val="5"/>
          <w:numId w:val="1"/>
        </w:numPr>
        <w:tabs>
          <w:tab w:val="left" w:pos="1134"/>
        </w:tabs>
        <w:spacing w:before="120" w:after="0" w:line="240" w:lineRule="auto"/>
        <w:contextualSpacing w:val="0"/>
        <w:jc w:val="both"/>
        <w:rPr>
          <w:rFonts w:ascii="Book Antiqua" w:hAnsi="Book Antiqua" w:cs="Arial"/>
          <w:i/>
          <w:sz w:val="24"/>
          <w:szCs w:val="24"/>
        </w:rPr>
      </w:pPr>
      <w:r>
        <w:rPr>
          <w:rFonts w:ascii="Book Antiqua" w:hAnsi="Book Antiqua" w:cs="Arial"/>
          <w:sz w:val="24"/>
          <w:szCs w:val="24"/>
        </w:rPr>
        <w:tab/>
      </w:r>
      <w:r w:rsidR="005C5F02" w:rsidRPr="00D72A90">
        <w:rPr>
          <w:rFonts w:ascii="Book Antiqua" w:hAnsi="Book Antiqua" w:cs="Arial"/>
          <w:sz w:val="24"/>
          <w:szCs w:val="24"/>
        </w:rPr>
        <w:t xml:space="preserve">The judge was not aware of the specific definition as to what was deemed to be comprehensive sickness cover as referred to in regulation </w:t>
      </w:r>
      <w:r w:rsidR="00B71620" w:rsidRPr="00D72A90">
        <w:rPr>
          <w:rFonts w:ascii="Book Antiqua" w:hAnsi="Book Antiqua" w:cs="Arial"/>
          <w:sz w:val="24"/>
          <w:szCs w:val="24"/>
        </w:rPr>
        <w:t xml:space="preserve">4(1)(c)(ii). </w:t>
      </w:r>
      <w:r w:rsidR="00431765" w:rsidRPr="00D72A90">
        <w:rPr>
          <w:rFonts w:ascii="Book Antiqua" w:hAnsi="Book Antiqua" w:cs="Arial"/>
          <w:sz w:val="24"/>
          <w:szCs w:val="24"/>
        </w:rPr>
        <w:t xml:space="preserve">The judge stated </w:t>
      </w:r>
    </w:p>
    <w:p w14:paraId="0F2CD181" w14:textId="214D6DCB" w:rsidR="005C5F02" w:rsidRPr="00D72A90" w:rsidRDefault="00CA6B2D" w:rsidP="00B42F34">
      <w:pPr>
        <w:pStyle w:val="ListParagraph"/>
        <w:spacing w:before="120" w:after="0" w:line="240" w:lineRule="auto"/>
        <w:ind w:left="1134"/>
        <w:contextualSpacing w:val="0"/>
        <w:jc w:val="both"/>
        <w:rPr>
          <w:rFonts w:ascii="Book Antiqua" w:hAnsi="Book Antiqua" w:cs="Arial"/>
          <w:i/>
          <w:sz w:val="24"/>
          <w:szCs w:val="24"/>
        </w:rPr>
      </w:pPr>
      <w:r w:rsidRPr="00D72A90">
        <w:rPr>
          <w:rFonts w:ascii="Book Antiqua" w:hAnsi="Book Antiqua" w:cs="Arial"/>
          <w:sz w:val="24"/>
          <w:szCs w:val="24"/>
        </w:rPr>
        <w:t>‘</w:t>
      </w:r>
      <w:r w:rsidR="00431765" w:rsidRPr="00D72A90">
        <w:rPr>
          <w:rFonts w:ascii="Book Antiqua" w:hAnsi="Book Antiqua" w:cs="Arial"/>
          <w:i/>
          <w:sz w:val="24"/>
          <w:szCs w:val="24"/>
        </w:rPr>
        <w:t xml:space="preserve">however logically it is former insurance cover which is reasonably wide scope. Clearly it is the appellants to prove their case. The documentation produced in sufficient to </w:t>
      </w:r>
      <w:r w:rsidR="00431765" w:rsidRPr="00D72A90">
        <w:rPr>
          <w:rFonts w:ascii="Book Antiqua" w:hAnsi="Book Antiqua" w:cs="Arial"/>
          <w:i/>
          <w:sz w:val="24"/>
          <w:szCs w:val="24"/>
        </w:rPr>
        <w:lastRenderedPageBreak/>
        <w:t>discharge the burden as the reasons I have indicated none of the documentation before me establishes what sickness insurance cover is provided</w:t>
      </w:r>
      <w:r w:rsidR="00755D8F" w:rsidRPr="00D72A90">
        <w:rPr>
          <w:rFonts w:ascii="Book Antiqua" w:hAnsi="Book Antiqua" w:cs="Arial"/>
          <w:i/>
          <w:sz w:val="24"/>
          <w:szCs w:val="24"/>
        </w:rPr>
        <w:t xml:space="preserve"> in the United Kingdom by the AOK scheme referred to if any</w:t>
      </w:r>
      <w:r w:rsidRPr="00D72A90">
        <w:rPr>
          <w:rFonts w:ascii="Book Antiqua" w:hAnsi="Book Antiqua" w:cs="Arial"/>
          <w:i/>
          <w:sz w:val="24"/>
          <w:szCs w:val="24"/>
        </w:rPr>
        <w:t>’.</w:t>
      </w:r>
    </w:p>
    <w:p w14:paraId="7B9A0011" w14:textId="77777777" w:rsidR="00BA03CE" w:rsidRPr="00D72A90" w:rsidRDefault="00BA03CE" w:rsidP="00BA03CE">
      <w:pPr>
        <w:spacing w:before="240"/>
        <w:jc w:val="both"/>
        <w:rPr>
          <w:rFonts w:ascii="Book Antiqua" w:hAnsi="Book Antiqua" w:cs="Arial"/>
          <w:b/>
          <w:sz w:val="24"/>
          <w:szCs w:val="24"/>
          <w:u w:val="single"/>
        </w:rPr>
      </w:pPr>
      <w:r w:rsidRPr="00D72A90">
        <w:rPr>
          <w:rFonts w:ascii="Book Antiqua" w:hAnsi="Book Antiqua" w:cs="Arial"/>
          <w:b/>
          <w:sz w:val="24"/>
          <w:szCs w:val="24"/>
          <w:u w:val="single"/>
        </w:rPr>
        <w:t>Application for Permission to Appeal</w:t>
      </w:r>
    </w:p>
    <w:p w14:paraId="1E47A29A" w14:textId="04D44A33" w:rsidR="00BA03CE" w:rsidRPr="00D72A90" w:rsidRDefault="00A76BEF"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The </w:t>
      </w:r>
      <w:r w:rsidR="00BA03CE" w:rsidRPr="00D72A90">
        <w:rPr>
          <w:rFonts w:ascii="Book Antiqua" w:hAnsi="Book Antiqua" w:cs="Arial"/>
          <w:sz w:val="24"/>
          <w:szCs w:val="24"/>
        </w:rPr>
        <w:t xml:space="preserve">application for permission </w:t>
      </w:r>
      <w:r w:rsidRPr="00D72A90">
        <w:rPr>
          <w:rFonts w:ascii="Book Antiqua" w:hAnsi="Book Antiqua" w:cs="Arial"/>
          <w:sz w:val="24"/>
          <w:szCs w:val="24"/>
        </w:rPr>
        <w:t>to appeal was on the following grounds:</w:t>
      </w:r>
    </w:p>
    <w:p w14:paraId="5F2F2E8A" w14:textId="79338796" w:rsidR="00A76BEF" w:rsidRPr="00D72A90" w:rsidRDefault="00B42F34" w:rsidP="00B42F34">
      <w:pPr>
        <w:pStyle w:val="ListParagraph"/>
        <w:numPr>
          <w:ilvl w:val="5"/>
          <w:numId w:val="1"/>
        </w:numPr>
        <w:tabs>
          <w:tab w:val="left" w:pos="1134"/>
        </w:tabs>
        <w:spacing w:before="120" w:after="0" w:line="240" w:lineRule="auto"/>
        <w:jc w:val="both"/>
        <w:rPr>
          <w:rFonts w:ascii="Book Antiqua" w:hAnsi="Book Antiqua" w:cs="Arial"/>
          <w:sz w:val="24"/>
          <w:szCs w:val="24"/>
        </w:rPr>
      </w:pPr>
      <w:r>
        <w:rPr>
          <w:rFonts w:ascii="Book Antiqua" w:hAnsi="Book Antiqua" w:cs="Arial"/>
          <w:sz w:val="24"/>
          <w:szCs w:val="24"/>
        </w:rPr>
        <w:tab/>
      </w:r>
      <w:r w:rsidR="00FA0F5D" w:rsidRPr="00D72A90">
        <w:rPr>
          <w:rFonts w:ascii="Book Antiqua" w:hAnsi="Book Antiqua" w:cs="Arial"/>
          <w:sz w:val="24"/>
          <w:szCs w:val="24"/>
        </w:rPr>
        <w:t>comprehensive sickness insurance was held by both appellants. The judge acknowledged that the appellants held CSI issued by a German insurance company AOK valid to 31/12/2022</w:t>
      </w:r>
      <w:r w:rsidR="002669C2" w:rsidRPr="00D72A90">
        <w:rPr>
          <w:rFonts w:ascii="Book Antiqua" w:hAnsi="Book Antiqua" w:cs="Arial"/>
          <w:sz w:val="24"/>
          <w:szCs w:val="24"/>
        </w:rPr>
        <w:t xml:space="preserve">. The appellant both held CSI </w:t>
      </w:r>
      <w:r w:rsidR="0014315C" w:rsidRPr="00D72A90">
        <w:rPr>
          <w:rFonts w:ascii="Book Antiqua" w:hAnsi="Book Antiqua" w:cs="Arial"/>
          <w:sz w:val="24"/>
          <w:szCs w:val="24"/>
        </w:rPr>
        <w:t>by</w:t>
      </w:r>
      <w:r w:rsidR="002669C2" w:rsidRPr="00D72A90">
        <w:rPr>
          <w:rFonts w:ascii="Book Antiqua" w:hAnsi="Book Antiqua" w:cs="Arial"/>
          <w:sz w:val="24"/>
          <w:szCs w:val="24"/>
        </w:rPr>
        <w:t xml:space="preserve"> the principal appellant being self-sufficient person.</w:t>
      </w:r>
    </w:p>
    <w:p w14:paraId="04E996B8" w14:textId="77777777" w:rsidR="002F2DCD" w:rsidRPr="00D72A90" w:rsidRDefault="003E3437" w:rsidP="004E1835">
      <w:pPr>
        <w:spacing w:before="240" w:after="0" w:line="240" w:lineRule="auto"/>
        <w:ind w:left="567"/>
        <w:jc w:val="both"/>
        <w:rPr>
          <w:rFonts w:ascii="Book Antiqua" w:hAnsi="Book Antiqua" w:cs="Arial"/>
          <w:sz w:val="24"/>
          <w:szCs w:val="24"/>
        </w:rPr>
      </w:pPr>
      <w:r w:rsidRPr="00D72A90">
        <w:rPr>
          <w:rFonts w:ascii="Book Antiqua" w:hAnsi="Book Antiqua" w:cs="Arial"/>
          <w:sz w:val="24"/>
          <w:szCs w:val="24"/>
        </w:rPr>
        <w:t>Although the judge</w:t>
      </w:r>
      <w:r w:rsidR="003418AD" w:rsidRPr="00D72A90">
        <w:rPr>
          <w:rFonts w:ascii="Book Antiqua" w:hAnsi="Book Antiqua" w:cs="Arial"/>
          <w:sz w:val="24"/>
          <w:szCs w:val="24"/>
        </w:rPr>
        <w:t xml:space="preserve"> stated there was no specific definition of health insurance he failed to consider the Home Office guidance on </w:t>
      </w:r>
      <w:r w:rsidR="004A35AB" w:rsidRPr="00D72A90">
        <w:rPr>
          <w:rFonts w:ascii="Book Antiqua" w:hAnsi="Book Antiqua" w:cs="Arial"/>
          <w:sz w:val="24"/>
          <w:szCs w:val="24"/>
        </w:rPr>
        <w:t xml:space="preserve">European </w:t>
      </w:r>
      <w:r w:rsidR="00C267BA" w:rsidRPr="00D72A90">
        <w:rPr>
          <w:rFonts w:ascii="Book Antiqua" w:hAnsi="Book Antiqua" w:cs="Arial"/>
          <w:sz w:val="24"/>
          <w:szCs w:val="24"/>
        </w:rPr>
        <w:t>E</w:t>
      </w:r>
      <w:r w:rsidR="004A35AB" w:rsidRPr="00D72A90">
        <w:rPr>
          <w:rFonts w:ascii="Book Antiqua" w:hAnsi="Book Antiqua" w:cs="Arial"/>
          <w:sz w:val="24"/>
          <w:szCs w:val="24"/>
        </w:rPr>
        <w:t xml:space="preserve">conomic </w:t>
      </w:r>
      <w:r w:rsidR="00C267BA" w:rsidRPr="00D72A90">
        <w:rPr>
          <w:rFonts w:ascii="Book Antiqua" w:hAnsi="Book Antiqua" w:cs="Arial"/>
          <w:sz w:val="24"/>
          <w:szCs w:val="24"/>
        </w:rPr>
        <w:t>A</w:t>
      </w:r>
      <w:r w:rsidR="004A35AB" w:rsidRPr="00D72A90">
        <w:rPr>
          <w:rFonts w:ascii="Book Antiqua" w:hAnsi="Book Antiqua" w:cs="Arial"/>
          <w:sz w:val="24"/>
          <w:szCs w:val="24"/>
        </w:rPr>
        <w:t>rea nationals: qualified persons (</w:t>
      </w:r>
      <w:r w:rsidR="00C267BA" w:rsidRPr="00D72A90">
        <w:rPr>
          <w:rFonts w:ascii="Book Antiqua" w:hAnsi="Book Antiqua" w:cs="Arial"/>
          <w:sz w:val="24"/>
          <w:szCs w:val="24"/>
        </w:rPr>
        <w:t>V</w:t>
      </w:r>
      <w:r w:rsidR="004A35AB" w:rsidRPr="00D72A90">
        <w:rPr>
          <w:rFonts w:ascii="Book Antiqua" w:hAnsi="Book Antiqua" w:cs="Arial"/>
          <w:sz w:val="24"/>
          <w:szCs w:val="24"/>
        </w:rPr>
        <w:t xml:space="preserve">ersion 4 </w:t>
      </w:r>
      <w:r w:rsidR="00C267BA" w:rsidRPr="00D72A90">
        <w:rPr>
          <w:rFonts w:ascii="Book Antiqua" w:hAnsi="Book Antiqua" w:cs="Arial"/>
          <w:sz w:val="24"/>
          <w:szCs w:val="24"/>
        </w:rPr>
        <w:t>of 01/02/</w:t>
      </w:r>
      <w:r w:rsidR="004A35AB" w:rsidRPr="00D72A90">
        <w:rPr>
          <w:rFonts w:ascii="Book Antiqua" w:hAnsi="Book Antiqua" w:cs="Arial"/>
          <w:sz w:val="24"/>
          <w:szCs w:val="24"/>
        </w:rPr>
        <w:t>2014</w:t>
      </w:r>
      <w:r w:rsidR="00C267BA" w:rsidRPr="00D72A90">
        <w:rPr>
          <w:rFonts w:ascii="Book Antiqua" w:hAnsi="Book Antiqua" w:cs="Arial"/>
          <w:sz w:val="24"/>
          <w:szCs w:val="24"/>
        </w:rPr>
        <w:t>)</w:t>
      </w:r>
      <w:r w:rsidR="004A35AB" w:rsidRPr="00D72A90">
        <w:rPr>
          <w:rFonts w:ascii="Book Antiqua" w:hAnsi="Book Antiqua" w:cs="Arial"/>
          <w:sz w:val="24"/>
          <w:szCs w:val="24"/>
        </w:rPr>
        <w:t xml:space="preserve"> which stated</w:t>
      </w:r>
      <w:r w:rsidR="00C54BAB" w:rsidRPr="00D72A90">
        <w:rPr>
          <w:rFonts w:ascii="Book Antiqua" w:hAnsi="Book Antiqua" w:cs="Arial"/>
          <w:sz w:val="24"/>
          <w:szCs w:val="24"/>
        </w:rPr>
        <w:t xml:space="preserve"> that for applications for a registration certificate or a residence card one of the documents needed to show CSI was a valid European health Insurance card (EHIC</w:t>
      </w:r>
      <w:r w:rsidR="00C54BAB" w:rsidRPr="008C4DC5">
        <w:rPr>
          <w:rFonts w:ascii="Book Antiqua" w:hAnsi="Book Antiqua" w:cs="Arial"/>
          <w:sz w:val="24"/>
          <w:szCs w:val="24"/>
        </w:rPr>
        <w:t xml:space="preserve">) </w:t>
      </w:r>
      <w:r w:rsidR="00EA0823" w:rsidRPr="00D72A90">
        <w:rPr>
          <w:rFonts w:ascii="Book Antiqua" w:hAnsi="Book Antiqua" w:cs="Arial"/>
          <w:sz w:val="24"/>
          <w:szCs w:val="24"/>
          <w:u w:val="single"/>
        </w:rPr>
        <w:t>issued by an EEA member state other than the UK</w:t>
      </w:r>
      <w:r w:rsidR="001E500F" w:rsidRPr="00D72A90">
        <w:rPr>
          <w:rFonts w:ascii="Book Antiqua" w:hAnsi="Book Antiqua" w:cs="Arial"/>
          <w:sz w:val="24"/>
          <w:szCs w:val="24"/>
        </w:rPr>
        <w:t xml:space="preserve">. </w:t>
      </w:r>
      <w:bookmarkStart w:id="1" w:name="_GoBack"/>
      <w:bookmarkEnd w:id="1"/>
    </w:p>
    <w:p w14:paraId="250AFF05" w14:textId="79F498ED" w:rsidR="003E3437" w:rsidRPr="00D72A90" w:rsidRDefault="001E500F" w:rsidP="004E1835">
      <w:pPr>
        <w:spacing w:before="240" w:after="0" w:line="240" w:lineRule="auto"/>
        <w:ind w:left="567"/>
        <w:jc w:val="both"/>
        <w:rPr>
          <w:rFonts w:ascii="Book Antiqua" w:hAnsi="Book Antiqua" w:cs="Arial"/>
          <w:sz w:val="24"/>
          <w:szCs w:val="24"/>
        </w:rPr>
      </w:pPr>
      <w:r w:rsidRPr="00D72A90">
        <w:rPr>
          <w:rFonts w:ascii="Book Antiqua" w:hAnsi="Book Antiqua" w:cs="Arial"/>
          <w:sz w:val="24"/>
          <w:szCs w:val="24"/>
        </w:rPr>
        <w:t>The judge failed to consider that</w:t>
      </w:r>
      <w:r w:rsidR="002F2DCD" w:rsidRPr="00D72A90">
        <w:rPr>
          <w:rFonts w:ascii="Book Antiqua" w:hAnsi="Book Antiqua" w:cs="Arial"/>
          <w:sz w:val="24"/>
          <w:szCs w:val="24"/>
        </w:rPr>
        <w:t xml:space="preserve"> (a) both appellants had the relevant documents to demonstrate that they held CSI, (b)the principal appellant’s pension had deductions that contributed to the health insurance scheme every month, (c)</w:t>
      </w:r>
      <w:r w:rsidR="004E1835" w:rsidRPr="00D72A90">
        <w:rPr>
          <w:rFonts w:ascii="Book Antiqua" w:hAnsi="Book Antiqua" w:cs="Arial"/>
          <w:sz w:val="24"/>
          <w:szCs w:val="24"/>
        </w:rPr>
        <w:t xml:space="preserve"> the appellants were not reliant on public funds.</w:t>
      </w:r>
    </w:p>
    <w:p w14:paraId="379BA42D" w14:textId="162A10C6" w:rsidR="00BC0A12" w:rsidRPr="00D72A90" w:rsidRDefault="00BC0A12" w:rsidP="004E1835">
      <w:pPr>
        <w:spacing w:before="240" w:after="0" w:line="240" w:lineRule="auto"/>
        <w:ind w:left="567"/>
        <w:jc w:val="both"/>
        <w:rPr>
          <w:rFonts w:ascii="Book Antiqua" w:hAnsi="Book Antiqua" w:cs="Arial"/>
          <w:i/>
          <w:sz w:val="24"/>
          <w:szCs w:val="24"/>
        </w:rPr>
      </w:pPr>
      <w:r w:rsidRPr="00D72A90">
        <w:rPr>
          <w:rFonts w:ascii="Book Antiqua" w:hAnsi="Book Antiqua" w:cs="Arial"/>
          <w:sz w:val="24"/>
          <w:szCs w:val="24"/>
        </w:rPr>
        <w:t xml:space="preserve">The refusal letter had accepted the appellant had provided </w:t>
      </w:r>
      <w:r w:rsidRPr="00D72A90">
        <w:rPr>
          <w:rFonts w:ascii="Book Antiqua" w:hAnsi="Book Antiqua" w:cs="Arial"/>
          <w:i/>
          <w:sz w:val="24"/>
          <w:szCs w:val="24"/>
        </w:rPr>
        <w:t>“evidence of medical insurance via German health card valid until</w:t>
      </w:r>
      <w:r w:rsidR="000020A2" w:rsidRPr="00D72A90">
        <w:rPr>
          <w:rFonts w:ascii="Book Antiqua" w:hAnsi="Book Antiqua" w:cs="Arial"/>
          <w:i/>
          <w:sz w:val="24"/>
          <w:szCs w:val="24"/>
        </w:rPr>
        <w:t xml:space="preserve"> 30/06/18”.</w:t>
      </w:r>
    </w:p>
    <w:p w14:paraId="66D23FBD" w14:textId="1BC0C4F5" w:rsidR="00516720" w:rsidRPr="00D72A90" w:rsidRDefault="00F63086" w:rsidP="004E1835">
      <w:pPr>
        <w:spacing w:before="240" w:after="0" w:line="240" w:lineRule="auto"/>
        <w:ind w:left="567"/>
        <w:jc w:val="both"/>
        <w:rPr>
          <w:rFonts w:ascii="Book Antiqua" w:hAnsi="Book Antiqua" w:cs="Arial"/>
          <w:sz w:val="24"/>
          <w:szCs w:val="24"/>
        </w:rPr>
      </w:pPr>
      <w:r w:rsidRPr="00D72A90">
        <w:rPr>
          <w:rFonts w:ascii="Book Antiqua" w:hAnsi="Book Antiqua" w:cs="Arial"/>
          <w:sz w:val="24"/>
          <w:szCs w:val="24"/>
        </w:rPr>
        <w:t xml:space="preserve">The respondent had concluded that the appellant provided insufficient evidence and self-sufficiency </w:t>
      </w:r>
      <w:r w:rsidR="0071769D" w:rsidRPr="00D72A90">
        <w:rPr>
          <w:rFonts w:ascii="Book Antiqua" w:hAnsi="Book Antiqua" w:cs="Arial"/>
          <w:sz w:val="24"/>
          <w:szCs w:val="24"/>
        </w:rPr>
        <w:t xml:space="preserve">was the issue, </w:t>
      </w:r>
      <w:r w:rsidRPr="00D72A90">
        <w:rPr>
          <w:rFonts w:ascii="Book Antiqua" w:hAnsi="Book Antiqua" w:cs="Arial"/>
          <w:sz w:val="24"/>
          <w:szCs w:val="24"/>
        </w:rPr>
        <w:t>as the evidence only covered up to 24 April 2016</w:t>
      </w:r>
      <w:r w:rsidR="0071769D" w:rsidRPr="00D72A90">
        <w:rPr>
          <w:rFonts w:ascii="Book Antiqua" w:hAnsi="Book Antiqua" w:cs="Arial"/>
          <w:sz w:val="24"/>
          <w:szCs w:val="24"/>
        </w:rPr>
        <w:t>,</w:t>
      </w:r>
      <w:r w:rsidRPr="00D72A90">
        <w:rPr>
          <w:rFonts w:ascii="Book Antiqua" w:hAnsi="Book Antiqua" w:cs="Arial"/>
          <w:sz w:val="24"/>
          <w:szCs w:val="24"/>
        </w:rPr>
        <w:t xml:space="preserve"> but the judge failed to acknowledge the updated documents provided to date in the appellant’s bundle</w:t>
      </w:r>
      <w:r w:rsidR="0081054A" w:rsidRPr="00D72A90">
        <w:rPr>
          <w:rFonts w:ascii="Book Antiqua" w:hAnsi="Book Antiqua" w:cs="Arial"/>
          <w:sz w:val="24"/>
          <w:szCs w:val="24"/>
        </w:rPr>
        <w:t xml:space="preserve">. </w:t>
      </w:r>
    </w:p>
    <w:p w14:paraId="63190F6E" w14:textId="2F14B1F3" w:rsidR="003D4A10" w:rsidRPr="00D72A90" w:rsidRDefault="003D4A10" w:rsidP="004E1835">
      <w:pPr>
        <w:spacing w:before="240" w:after="0" w:line="240" w:lineRule="auto"/>
        <w:ind w:left="567"/>
        <w:jc w:val="both"/>
        <w:rPr>
          <w:rFonts w:ascii="Book Antiqua" w:hAnsi="Book Antiqua" w:cs="Arial"/>
          <w:sz w:val="24"/>
          <w:szCs w:val="24"/>
        </w:rPr>
      </w:pPr>
      <w:r w:rsidRPr="00D72A90">
        <w:rPr>
          <w:rFonts w:ascii="Book Antiqua" w:hAnsi="Book Antiqua" w:cs="Arial"/>
          <w:sz w:val="24"/>
          <w:szCs w:val="24"/>
        </w:rPr>
        <w:t>The judge at paragraph 30 acknowledged the respondent was not entitled to challenge the issue of CSI at the trial.  The issue was the lack of documents provided.</w:t>
      </w:r>
    </w:p>
    <w:p w14:paraId="47FB8487" w14:textId="7897B9C9" w:rsidR="005E5B02" w:rsidRPr="00D72A90" w:rsidRDefault="005E5B02" w:rsidP="004E1835">
      <w:pPr>
        <w:spacing w:before="240" w:after="0" w:line="240" w:lineRule="auto"/>
        <w:ind w:left="567"/>
        <w:jc w:val="both"/>
        <w:rPr>
          <w:rFonts w:ascii="Book Antiqua" w:hAnsi="Book Antiqua" w:cs="Arial"/>
          <w:sz w:val="24"/>
          <w:szCs w:val="24"/>
        </w:rPr>
      </w:pPr>
      <w:r w:rsidRPr="00D72A90">
        <w:rPr>
          <w:rFonts w:ascii="Book Antiqua" w:hAnsi="Book Antiqua" w:cs="Arial"/>
          <w:sz w:val="24"/>
          <w:szCs w:val="24"/>
        </w:rPr>
        <w:t>Both appellants had CSI in accordance with the Home Office guidance</w:t>
      </w:r>
      <w:r w:rsidR="00100E2C" w:rsidRPr="00D72A90">
        <w:rPr>
          <w:rFonts w:ascii="Book Antiqua" w:hAnsi="Book Antiqua" w:cs="Arial"/>
          <w:sz w:val="24"/>
          <w:szCs w:val="24"/>
        </w:rPr>
        <w:t>. The judge failed to address the self-sufficiency issue for which ample documents and explanations were provided. The judge failed to give due weight to the appellants’ documentation.</w:t>
      </w:r>
    </w:p>
    <w:p w14:paraId="02422DFD" w14:textId="77777777" w:rsidR="006542EE" w:rsidRPr="00D72A90" w:rsidRDefault="006542EE" w:rsidP="006542EE">
      <w:pPr>
        <w:spacing w:before="240"/>
        <w:jc w:val="both"/>
        <w:rPr>
          <w:rFonts w:ascii="Book Antiqua" w:hAnsi="Book Antiqua" w:cs="Arial"/>
          <w:b/>
          <w:sz w:val="24"/>
          <w:szCs w:val="24"/>
          <w:u w:val="single"/>
        </w:rPr>
      </w:pPr>
      <w:r w:rsidRPr="00D72A90">
        <w:rPr>
          <w:rFonts w:ascii="Book Antiqua" w:hAnsi="Book Antiqua" w:cs="Arial"/>
          <w:b/>
          <w:sz w:val="24"/>
          <w:szCs w:val="24"/>
          <w:u w:val="single"/>
        </w:rPr>
        <w:t>The Hearing</w:t>
      </w:r>
    </w:p>
    <w:p w14:paraId="3FEB04C6" w14:textId="3F1E94E8" w:rsidR="006542EE" w:rsidRPr="00D72A90" w:rsidRDefault="006542EE"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At the hearing, </w:t>
      </w:r>
      <w:r w:rsidR="00861F85" w:rsidRPr="00D72A90">
        <w:rPr>
          <w:rFonts w:ascii="Book Antiqua" w:hAnsi="Book Antiqua" w:cs="Arial"/>
          <w:sz w:val="24"/>
          <w:szCs w:val="24"/>
        </w:rPr>
        <w:t>Mr Rahman drew my attention to the Home Office guidance version 5, (</w:t>
      </w:r>
      <w:r w:rsidR="008349C3" w:rsidRPr="00D72A90">
        <w:rPr>
          <w:rFonts w:ascii="Book Antiqua" w:hAnsi="Book Antiqua" w:cs="Arial"/>
          <w:sz w:val="24"/>
          <w:szCs w:val="24"/>
        </w:rPr>
        <w:t>which was similar to version 4) and which</w:t>
      </w:r>
      <w:r w:rsidR="00CF5DC5" w:rsidRPr="00D72A90">
        <w:rPr>
          <w:rFonts w:ascii="Book Antiqua" w:hAnsi="Book Antiqua" w:cs="Arial"/>
          <w:sz w:val="24"/>
          <w:szCs w:val="24"/>
        </w:rPr>
        <w:t xml:space="preserve"> repeated</w:t>
      </w:r>
      <w:r w:rsidR="008349C3" w:rsidRPr="00D72A90">
        <w:rPr>
          <w:rFonts w:ascii="Book Antiqua" w:hAnsi="Book Antiqua" w:cs="Arial"/>
          <w:sz w:val="24"/>
          <w:szCs w:val="24"/>
        </w:rPr>
        <w:t xml:space="preserve"> that set out in the written grounds of appeal.</w:t>
      </w:r>
      <w:r w:rsidR="00340DEB" w:rsidRPr="00D72A90">
        <w:rPr>
          <w:rFonts w:ascii="Book Antiqua" w:hAnsi="Book Antiqua" w:cs="Arial"/>
          <w:sz w:val="24"/>
          <w:szCs w:val="24"/>
        </w:rPr>
        <w:t xml:space="preserve"> There was only one issue that was self-sufficiency. Both appellants had valid </w:t>
      </w:r>
      <w:r w:rsidR="000D093E" w:rsidRPr="00D72A90">
        <w:rPr>
          <w:rFonts w:ascii="Book Antiqua" w:hAnsi="Book Antiqua" w:cs="Arial"/>
          <w:sz w:val="24"/>
          <w:szCs w:val="24"/>
        </w:rPr>
        <w:t xml:space="preserve">comprehensive </w:t>
      </w:r>
      <w:r w:rsidR="00C47B8B" w:rsidRPr="00D72A90">
        <w:rPr>
          <w:rFonts w:ascii="Book Antiqua" w:hAnsi="Book Antiqua" w:cs="Arial"/>
          <w:sz w:val="24"/>
          <w:szCs w:val="24"/>
        </w:rPr>
        <w:t>sickness</w:t>
      </w:r>
      <w:r w:rsidR="000D093E" w:rsidRPr="00D72A90">
        <w:rPr>
          <w:rFonts w:ascii="Book Antiqua" w:hAnsi="Book Antiqua" w:cs="Arial"/>
          <w:sz w:val="24"/>
          <w:szCs w:val="24"/>
        </w:rPr>
        <w:t xml:space="preserve"> insurance, and that could be seen from the documentation within the bundle.</w:t>
      </w:r>
    </w:p>
    <w:p w14:paraId="300FD314" w14:textId="3B356C5E" w:rsidR="00743DD8" w:rsidRPr="00D72A90" w:rsidRDefault="00D10A16"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lastRenderedPageBreak/>
        <w:t xml:space="preserve">Mr </w:t>
      </w:r>
      <w:r w:rsidR="00743DD8" w:rsidRPr="00D72A90">
        <w:rPr>
          <w:rFonts w:ascii="Book Antiqua" w:hAnsi="Book Antiqua" w:cs="Arial"/>
          <w:sz w:val="24"/>
          <w:szCs w:val="24"/>
        </w:rPr>
        <w:t xml:space="preserve">Clarke </w:t>
      </w:r>
      <w:r w:rsidRPr="00D72A90">
        <w:rPr>
          <w:rFonts w:ascii="Book Antiqua" w:hAnsi="Book Antiqua" w:cs="Arial"/>
          <w:sz w:val="24"/>
          <w:szCs w:val="24"/>
        </w:rPr>
        <w:t>noted that the judge identified that at paragraph 20</w:t>
      </w:r>
      <w:r w:rsidR="0075484B" w:rsidRPr="00D72A90">
        <w:rPr>
          <w:rFonts w:ascii="Book Antiqua" w:hAnsi="Book Antiqua" w:cs="Arial"/>
          <w:sz w:val="24"/>
          <w:szCs w:val="24"/>
        </w:rPr>
        <w:t xml:space="preserve"> that self-sufficiency engaged considerations of the requisite comprehensive sickness insurance cover under regulation </w:t>
      </w:r>
      <w:r w:rsidR="00890128" w:rsidRPr="00D72A90">
        <w:rPr>
          <w:rFonts w:ascii="Book Antiqua" w:hAnsi="Book Antiqua" w:cs="Arial"/>
          <w:sz w:val="24"/>
          <w:szCs w:val="24"/>
        </w:rPr>
        <w:t>4. The issue was raised at the hearing and the judge was entitled to raise it. The appellant had significant medical problems and pre-existing illnesses prior to entering the United Kingdom</w:t>
      </w:r>
      <w:r w:rsidR="00474A57" w:rsidRPr="00D72A90">
        <w:rPr>
          <w:rFonts w:ascii="Book Antiqua" w:hAnsi="Book Antiqua" w:cs="Arial"/>
          <w:sz w:val="24"/>
          <w:szCs w:val="24"/>
        </w:rPr>
        <w:t>. The judge found there was no explanation of how the card worked and if the E card was sufficient why was further insurance needed by AOK? There was no policy documentation</w:t>
      </w:r>
      <w:r w:rsidR="00B31FC8" w:rsidRPr="00D72A90">
        <w:rPr>
          <w:rFonts w:ascii="Book Antiqua" w:hAnsi="Book Antiqua" w:cs="Arial"/>
          <w:sz w:val="24"/>
          <w:szCs w:val="24"/>
        </w:rPr>
        <w:t xml:space="preserve"> and no explanation of the level of cover. For this </w:t>
      </w:r>
      <w:r w:rsidR="00C47B8B" w:rsidRPr="00D72A90">
        <w:rPr>
          <w:rFonts w:ascii="Book Antiqua" w:hAnsi="Book Antiqua" w:cs="Arial"/>
          <w:sz w:val="24"/>
          <w:szCs w:val="24"/>
        </w:rPr>
        <w:t>application</w:t>
      </w:r>
      <w:r w:rsidR="00402AD3" w:rsidRPr="00D72A90">
        <w:rPr>
          <w:rFonts w:ascii="Book Antiqua" w:hAnsi="Book Antiqua" w:cs="Arial"/>
          <w:sz w:val="24"/>
          <w:szCs w:val="24"/>
        </w:rPr>
        <w:t xml:space="preserve"> the appellant needed comprehensive insurance. The findings were open to the judge. This was a residence card application and the EHIC card</w:t>
      </w:r>
      <w:r w:rsidR="00D85F72" w:rsidRPr="00D72A90">
        <w:rPr>
          <w:rFonts w:ascii="Book Antiqua" w:hAnsi="Book Antiqua" w:cs="Arial"/>
          <w:sz w:val="24"/>
          <w:szCs w:val="24"/>
        </w:rPr>
        <w:t xml:space="preserve"> was relevant if the residen</w:t>
      </w:r>
      <w:r w:rsidR="00F34D88">
        <w:rPr>
          <w:rFonts w:ascii="Book Antiqua" w:hAnsi="Book Antiqua" w:cs="Arial"/>
          <w:sz w:val="24"/>
          <w:szCs w:val="24"/>
        </w:rPr>
        <w:t>ce</w:t>
      </w:r>
      <w:r w:rsidR="00D85F72" w:rsidRPr="00D72A90">
        <w:rPr>
          <w:rFonts w:ascii="Book Antiqua" w:hAnsi="Book Antiqua" w:cs="Arial"/>
          <w:sz w:val="24"/>
          <w:szCs w:val="24"/>
        </w:rPr>
        <w:t xml:space="preserve"> was temporary and further if there was a statement of intent to that effect by the appellants. These appellants had resided in the United Kingdom since 2016. </w:t>
      </w:r>
      <w:r w:rsidR="002D125E" w:rsidRPr="00D72A90">
        <w:rPr>
          <w:rFonts w:ascii="Book Antiqua" w:hAnsi="Book Antiqua" w:cs="Arial"/>
          <w:sz w:val="24"/>
          <w:szCs w:val="24"/>
        </w:rPr>
        <w:t>As such the EHIC card did not assist and that was made clear by the guidance. The provisions regarding permanent residen</w:t>
      </w:r>
      <w:r w:rsidR="00D50569" w:rsidRPr="00D72A90">
        <w:rPr>
          <w:rFonts w:ascii="Book Antiqua" w:hAnsi="Book Antiqua" w:cs="Arial"/>
          <w:sz w:val="24"/>
          <w:szCs w:val="24"/>
        </w:rPr>
        <w:t>ce</w:t>
      </w:r>
      <w:r w:rsidR="004A539B" w:rsidRPr="00D72A90">
        <w:rPr>
          <w:rFonts w:ascii="Book Antiqua" w:hAnsi="Book Antiqua" w:cs="Arial"/>
          <w:sz w:val="24"/>
          <w:szCs w:val="24"/>
        </w:rPr>
        <w:t xml:space="preserve"> are different. The question was whether under the European law the appellant would be a burden on the host state. There was insufficient evidence on that point and is the judge stated it was for the appellant to prove his case</w:t>
      </w:r>
      <w:r w:rsidR="00B92C2E" w:rsidRPr="00D72A90">
        <w:rPr>
          <w:rFonts w:ascii="Book Antiqua" w:hAnsi="Book Antiqua" w:cs="Arial"/>
          <w:sz w:val="24"/>
          <w:szCs w:val="24"/>
        </w:rPr>
        <w:t>.</w:t>
      </w:r>
      <w:r w:rsidR="00252A54" w:rsidRPr="00D72A90">
        <w:rPr>
          <w:rFonts w:ascii="Book Antiqua" w:hAnsi="Book Antiqua" w:cs="Arial"/>
          <w:sz w:val="24"/>
          <w:szCs w:val="24"/>
        </w:rPr>
        <w:t xml:space="preserve"> Mr Clarke relied on the authority</w:t>
      </w:r>
      <w:r w:rsidR="0018569D" w:rsidRPr="00D72A90">
        <w:rPr>
          <w:rFonts w:ascii="Book Antiqua" w:hAnsi="Book Antiqua" w:cs="Arial"/>
          <w:sz w:val="24"/>
          <w:szCs w:val="24"/>
        </w:rPr>
        <w:t xml:space="preserve"> of </w:t>
      </w:r>
      <w:r w:rsidR="0018569D" w:rsidRPr="00D72A90">
        <w:rPr>
          <w:rFonts w:ascii="Book Antiqua" w:hAnsi="Book Antiqua" w:cs="Arial"/>
          <w:b/>
          <w:sz w:val="24"/>
          <w:szCs w:val="24"/>
          <w:u w:val="single"/>
        </w:rPr>
        <w:t xml:space="preserve">Ahmad v Aire Centre </w:t>
      </w:r>
      <w:r w:rsidR="0018569D" w:rsidRPr="00D72A90">
        <w:rPr>
          <w:rFonts w:ascii="Book Antiqua" w:hAnsi="Book Antiqua" w:cs="Arial"/>
          <w:sz w:val="24"/>
          <w:szCs w:val="24"/>
        </w:rPr>
        <w:t xml:space="preserve">[2014] EWCA </w:t>
      </w:r>
      <w:proofErr w:type="spellStart"/>
      <w:r w:rsidR="0018569D" w:rsidRPr="00D72A90">
        <w:rPr>
          <w:rFonts w:ascii="Book Antiqua" w:hAnsi="Book Antiqua" w:cs="Arial"/>
          <w:sz w:val="24"/>
          <w:szCs w:val="24"/>
        </w:rPr>
        <w:t>Civ</w:t>
      </w:r>
      <w:proofErr w:type="spellEnd"/>
      <w:r w:rsidR="0018569D" w:rsidRPr="00D72A90">
        <w:rPr>
          <w:rFonts w:ascii="Book Antiqua" w:hAnsi="Book Antiqua" w:cs="Arial"/>
          <w:sz w:val="24"/>
          <w:szCs w:val="24"/>
        </w:rPr>
        <w:t xml:space="preserve"> 988 and referred me to</w:t>
      </w:r>
      <w:r w:rsidR="0043383A" w:rsidRPr="00D72A90">
        <w:rPr>
          <w:rFonts w:ascii="Book Antiqua" w:hAnsi="Book Antiqua" w:cs="Arial"/>
          <w:sz w:val="24"/>
          <w:szCs w:val="24"/>
        </w:rPr>
        <w:t xml:space="preserve"> </w:t>
      </w:r>
      <w:r w:rsidR="000C4576" w:rsidRPr="00D72A90">
        <w:rPr>
          <w:rFonts w:ascii="Book Antiqua" w:hAnsi="Book Antiqua" w:cs="Arial"/>
          <w:sz w:val="24"/>
          <w:szCs w:val="24"/>
        </w:rPr>
        <w:t xml:space="preserve">paragraph 71. </w:t>
      </w:r>
      <w:r w:rsidR="006D3D71" w:rsidRPr="00D72A90">
        <w:rPr>
          <w:rFonts w:ascii="Book Antiqua" w:hAnsi="Book Antiqua" w:cs="Arial"/>
          <w:sz w:val="24"/>
          <w:szCs w:val="24"/>
        </w:rPr>
        <w:t>There was no statement of intent</w:t>
      </w:r>
      <w:r w:rsidR="008A0FBF" w:rsidRPr="00D72A90">
        <w:rPr>
          <w:rFonts w:ascii="Book Antiqua" w:hAnsi="Book Antiqua" w:cs="Arial"/>
          <w:sz w:val="24"/>
          <w:szCs w:val="24"/>
        </w:rPr>
        <w:t>.</w:t>
      </w:r>
      <w:r w:rsidR="0018569D" w:rsidRPr="00D72A90">
        <w:rPr>
          <w:rFonts w:ascii="Book Antiqua" w:hAnsi="Book Antiqua" w:cs="Arial"/>
          <w:sz w:val="24"/>
          <w:szCs w:val="24"/>
        </w:rPr>
        <w:t xml:space="preserve"> </w:t>
      </w:r>
    </w:p>
    <w:p w14:paraId="60C81233" w14:textId="63BC542F" w:rsidR="00D01C3D" w:rsidRPr="00022708" w:rsidRDefault="00B92C2E" w:rsidP="00A15866">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Mr Rahman responded that </w:t>
      </w:r>
      <w:r w:rsidR="0088569A" w:rsidRPr="00D72A90">
        <w:rPr>
          <w:rFonts w:ascii="Book Antiqua" w:hAnsi="Book Antiqua" w:cs="Arial"/>
          <w:sz w:val="24"/>
          <w:szCs w:val="24"/>
        </w:rPr>
        <w:t>the definition of comprehensive sickness insurance was clear and it was in the guidance.</w:t>
      </w:r>
      <w:r w:rsidR="008A0FBF" w:rsidRPr="00D72A90">
        <w:rPr>
          <w:rFonts w:ascii="Book Antiqua" w:hAnsi="Book Antiqua" w:cs="Arial"/>
          <w:sz w:val="24"/>
          <w:szCs w:val="24"/>
        </w:rPr>
        <w:t xml:space="preserve"> It was for the Home Office if not satisfied with the application</w:t>
      </w:r>
      <w:r w:rsidR="00AF2450" w:rsidRPr="00D72A90">
        <w:rPr>
          <w:rFonts w:ascii="Book Antiqua" w:hAnsi="Book Antiqua" w:cs="Arial"/>
          <w:sz w:val="24"/>
          <w:szCs w:val="24"/>
        </w:rPr>
        <w:t>,</w:t>
      </w:r>
      <w:r w:rsidR="008A0FBF" w:rsidRPr="00D72A90">
        <w:rPr>
          <w:rFonts w:ascii="Book Antiqua" w:hAnsi="Book Antiqua" w:cs="Arial"/>
          <w:sz w:val="24"/>
          <w:szCs w:val="24"/>
        </w:rPr>
        <w:t xml:space="preserve"> to request a statement of intent</w:t>
      </w:r>
      <w:r w:rsidR="0088617C" w:rsidRPr="00D72A90">
        <w:rPr>
          <w:rFonts w:ascii="Book Antiqua" w:hAnsi="Book Antiqua" w:cs="Arial"/>
          <w:sz w:val="24"/>
          <w:szCs w:val="24"/>
        </w:rPr>
        <w:t xml:space="preserve"> and to satisfy the Secretary of State on the point of temporary residence</w:t>
      </w:r>
      <w:r w:rsidR="001A78E7" w:rsidRPr="00D72A90">
        <w:rPr>
          <w:rFonts w:ascii="Book Antiqua" w:hAnsi="Book Antiqua" w:cs="Arial"/>
          <w:sz w:val="24"/>
          <w:szCs w:val="24"/>
        </w:rPr>
        <w:t>.</w:t>
      </w:r>
      <w:r w:rsidR="00991ECE" w:rsidRPr="00D72A90">
        <w:rPr>
          <w:rFonts w:ascii="Book Antiqua" w:hAnsi="Book Antiqua" w:cs="Arial"/>
          <w:sz w:val="24"/>
          <w:szCs w:val="24"/>
        </w:rPr>
        <w:t xml:space="preserve"> </w:t>
      </w:r>
      <w:r w:rsidR="00991ECE" w:rsidRPr="00D72A90">
        <w:rPr>
          <w:rFonts w:ascii="Book Antiqua" w:hAnsi="Book Antiqua" w:cs="Arial"/>
          <w:b/>
          <w:sz w:val="24"/>
          <w:szCs w:val="24"/>
          <w:u w:val="single"/>
        </w:rPr>
        <w:t xml:space="preserve">Ahmad </w:t>
      </w:r>
      <w:r w:rsidR="00991ECE" w:rsidRPr="00D72A90">
        <w:rPr>
          <w:rFonts w:ascii="Book Antiqua" w:hAnsi="Book Antiqua" w:cs="Arial"/>
          <w:sz w:val="24"/>
          <w:szCs w:val="24"/>
        </w:rPr>
        <w:t>was not relevant</w:t>
      </w:r>
      <w:r w:rsidR="00A36BB9" w:rsidRPr="00D72A90">
        <w:rPr>
          <w:rFonts w:ascii="Book Antiqua" w:hAnsi="Book Antiqua" w:cs="Arial"/>
          <w:sz w:val="24"/>
          <w:szCs w:val="24"/>
        </w:rPr>
        <w:t xml:space="preserve">. Both appellants had </w:t>
      </w:r>
      <w:r w:rsidR="00A15866" w:rsidRPr="00D72A90">
        <w:rPr>
          <w:rFonts w:ascii="Book Antiqua" w:hAnsi="Book Antiqua" w:cs="Arial"/>
          <w:sz w:val="24"/>
          <w:szCs w:val="24"/>
        </w:rPr>
        <w:t xml:space="preserve">current and </w:t>
      </w:r>
      <w:r w:rsidR="00A36BB9" w:rsidRPr="00D72A90">
        <w:rPr>
          <w:rFonts w:ascii="Book Antiqua" w:hAnsi="Book Antiqua" w:cs="Arial"/>
          <w:sz w:val="24"/>
          <w:szCs w:val="24"/>
        </w:rPr>
        <w:t>valid</w:t>
      </w:r>
      <w:r w:rsidR="00A15866" w:rsidRPr="00D72A90">
        <w:rPr>
          <w:rFonts w:ascii="Book Antiqua" w:hAnsi="Book Antiqua" w:cs="Arial"/>
          <w:sz w:val="24"/>
          <w:szCs w:val="24"/>
        </w:rPr>
        <w:t xml:space="preserve"> EHIC cards.</w:t>
      </w:r>
    </w:p>
    <w:p w14:paraId="4667245C" w14:textId="4EA666F1" w:rsidR="00743DD8" w:rsidRPr="00D72A90" w:rsidRDefault="006542EE" w:rsidP="00A15866">
      <w:pPr>
        <w:spacing w:before="240" w:after="0" w:line="240" w:lineRule="auto"/>
        <w:jc w:val="both"/>
        <w:rPr>
          <w:rFonts w:ascii="Book Antiqua" w:hAnsi="Book Antiqua" w:cs="Arial"/>
          <w:sz w:val="24"/>
          <w:szCs w:val="24"/>
        </w:rPr>
      </w:pPr>
      <w:r w:rsidRPr="00D72A90">
        <w:rPr>
          <w:rFonts w:ascii="Book Antiqua" w:hAnsi="Book Antiqua" w:cs="Arial"/>
          <w:b/>
          <w:sz w:val="24"/>
          <w:szCs w:val="24"/>
          <w:u w:val="single"/>
        </w:rPr>
        <w:t>Conclusions</w:t>
      </w:r>
    </w:p>
    <w:p w14:paraId="15D899B7" w14:textId="250EB357" w:rsidR="00102AEE" w:rsidRPr="00B42F34" w:rsidRDefault="006542EE" w:rsidP="00743DD8">
      <w:pPr>
        <w:numPr>
          <w:ilvl w:val="0"/>
          <w:numId w:val="1"/>
        </w:numPr>
        <w:tabs>
          <w:tab w:val="clear" w:pos="720"/>
        </w:tabs>
        <w:spacing w:before="240" w:after="0" w:line="240" w:lineRule="auto"/>
        <w:ind w:left="567" w:hanging="567"/>
        <w:jc w:val="both"/>
        <w:rPr>
          <w:rFonts w:ascii="Book Antiqua" w:hAnsi="Book Antiqua" w:cs="Arial"/>
          <w:sz w:val="24"/>
          <w:szCs w:val="24"/>
        </w:rPr>
      </w:pPr>
      <w:r w:rsidRPr="00B42F34">
        <w:rPr>
          <w:rFonts w:ascii="Book Antiqua" w:hAnsi="Book Antiqua" w:cs="Arial"/>
          <w:sz w:val="24"/>
          <w:szCs w:val="24"/>
        </w:rPr>
        <w:t>The</w:t>
      </w:r>
      <w:r w:rsidR="00743DD8" w:rsidRPr="00B42F34">
        <w:rPr>
          <w:rFonts w:ascii="Book Antiqua" w:hAnsi="Book Antiqua" w:cs="Arial"/>
          <w:sz w:val="24"/>
          <w:szCs w:val="24"/>
        </w:rPr>
        <w:t xml:space="preserve"> EEA Regulations </w:t>
      </w:r>
      <w:r w:rsidR="00102AEE" w:rsidRPr="00B42F34">
        <w:rPr>
          <w:rFonts w:ascii="Book Antiqua" w:hAnsi="Book Antiqua" w:cs="Arial"/>
          <w:sz w:val="24"/>
          <w:szCs w:val="24"/>
        </w:rPr>
        <w:t>which apply in this instance are as follows:</w:t>
      </w:r>
    </w:p>
    <w:p w14:paraId="7FE078E7" w14:textId="14C29B60" w:rsidR="006542EE" w:rsidRPr="004778E8" w:rsidRDefault="00102AEE" w:rsidP="00B42F34">
      <w:pPr>
        <w:spacing w:before="120" w:after="0" w:line="240" w:lineRule="auto"/>
        <w:ind w:left="1134"/>
        <w:rPr>
          <w:rFonts w:ascii="Book Antiqua" w:hAnsi="Book Antiqua" w:cs="Arial"/>
          <w:i/>
          <w:sz w:val="24"/>
          <w:szCs w:val="24"/>
        </w:rPr>
      </w:pPr>
      <w:r w:rsidRPr="004778E8">
        <w:rPr>
          <w:rFonts w:ascii="Book Antiqua" w:hAnsi="Book Antiqua" w:cs="Arial"/>
          <w:i/>
          <w:sz w:val="24"/>
          <w:szCs w:val="24"/>
        </w:rPr>
        <w:t>‘</w:t>
      </w:r>
      <w:r w:rsidR="006542EE" w:rsidRPr="004778E8">
        <w:rPr>
          <w:rFonts w:ascii="Book Antiqua" w:eastAsia="Times New Roman" w:hAnsi="Book Antiqua" w:cs="Arial"/>
          <w:b/>
          <w:bCs/>
          <w:i/>
          <w:color w:val="000000"/>
          <w:sz w:val="24"/>
          <w:szCs w:val="24"/>
          <w:lang w:eastAsia="en-GB"/>
        </w:rPr>
        <w:t>Qualified person”</w:t>
      </w:r>
    </w:p>
    <w:p w14:paraId="618B3658" w14:textId="50D3C6D5" w:rsidR="006542EE" w:rsidRPr="004778E8" w:rsidRDefault="006542EE" w:rsidP="00B42F34">
      <w:pPr>
        <w:shd w:val="clear" w:color="auto" w:fill="FFFFFF"/>
        <w:tabs>
          <w:tab w:val="left" w:pos="1701"/>
        </w:tabs>
        <w:spacing w:before="120" w:after="0" w:line="240" w:lineRule="auto"/>
        <w:ind w:left="1134"/>
        <w:rPr>
          <w:rFonts w:ascii="Book Antiqua" w:eastAsia="Times New Roman" w:hAnsi="Book Antiqua" w:cs="Arial"/>
          <w:i/>
          <w:color w:val="494949"/>
          <w:sz w:val="24"/>
          <w:szCs w:val="24"/>
          <w:lang w:eastAsia="en-GB"/>
        </w:rPr>
      </w:pPr>
      <w:r w:rsidRPr="004778E8">
        <w:rPr>
          <w:rFonts w:ascii="Book Antiqua" w:eastAsia="Times New Roman" w:hAnsi="Book Antiqua" w:cs="Arial"/>
          <w:b/>
          <w:bCs/>
          <w:i/>
          <w:color w:val="494949"/>
          <w:sz w:val="24"/>
          <w:szCs w:val="24"/>
          <w:lang w:eastAsia="en-GB"/>
        </w:rPr>
        <w:t>6.</w:t>
      </w:r>
      <w:r w:rsidRPr="004778E8">
        <w:rPr>
          <w:rFonts w:ascii="Book Antiqua" w:eastAsia="Times New Roman" w:hAnsi="Book Antiqua" w:cs="Arial"/>
          <w:i/>
          <w:color w:val="494949"/>
          <w:sz w:val="24"/>
          <w:szCs w:val="24"/>
          <w:lang w:eastAsia="en-GB"/>
        </w:rPr>
        <w:t>—</w:t>
      </w:r>
      <w:r w:rsidR="00B42F34">
        <w:rPr>
          <w:rFonts w:ascii="Book Antiqua" w:eastAsia="Times New Roman" w:hAnsi="Book Antiqua" w:cs="Arial"/>
          <w:i/>
          <w:color w:val="494949"/>
          <w:sz w:val="24"/>
          <w:szCs w:val="24"/>
          <w:lang w:eastAsia="en-GB"/>
        </w:rPr>
        <w:tab/>
      </w:r>
      <w:r w:rsidRPr="004778E8">
        <w:rPr>
          <w:rFonts w:ascii="Book Antiqua" w:eastAsia="Times New Roman" w:hAnsi="Book Antiqua" w:cs="Arial"/>
          <w:i/>
          <w:color w:val="494949"/>
          <w:sz w:val="24"/>
          <w:szCs w:val="24"/>
          <w:lang w:eastAsia="en-GB"/>
        </w:rPr>
        <w:t xml:space="preserve">(1) In these Regulations, “qualified person” means a person who is an EEA national and in the United Kingdom as— </w:t>
      </w:r>
    </w:p>
    <w:p w14:paraId="34B0B4B2" w14:textId="4764290B" w:rsidR="006542EE" w:rsidRPr="004778E8" w:rsidRDefault="006542EE" w:rsidP="00B42F34">
      <w:pPr>
        <w:shd w:val="clear" w:color="auto" w:fill="FFFFFF"/>
        <w:tabs>
          <w:tab w:val="left" w:pos="2268"/>
        </w:tabs>
        <w:spacing w:before="120" w:after="0" w:line="240" w:lineRule="auto"/>
        <w:ind w:left="1701"/>
        <w:rPr>
          <w:rFonts w:ascii="Book Antiqua" w:eastAsia="Times New Roman" w:hAnsi="Book Antiqua" w:cs="Arial"/>
          <w:i/>
          <w:color w:val="494949"/>
          <w:sz w:val="24"/>
          <w:szCs w:val="24"/>
          <w:lang w:eastAsia="en-GB"/>
        </w:rPr>
      </w:pPr>
      <w:r w:rsidRPr="004778E8">
        <w:rPr>
          <w:rFonts w:ascii="Book Antiqua" w:eastAsia="Times New Roman" w:hAnsi="Book Antiqua" w:cs="Arial"/>
          <w:i/>
          <w:color w:val="494949"/>
          <w:sz w:val="24"/>
          <w:szCs w:val="24"/>
          <w:lang w:eastAsia="en-GB"/>
        </w:rPr>
        <w:t>(a)</w:t>
      </w:r>
      <w:r w:rsidR="00B42F34">
        <w:rPr>
          <w:rFonts w:ascii="Book Antiqua" w:eastAsia="Times New Roman" w:hAnsi="Book Antiqua" w:cs="Arial"/>
          <w:i/>
          <w:color w:val="494949"/>
          <w:sz w:val="24"/>
          <w:szCs w:val="24"/>
          <w:lang w:eastAsia="en-GB"/>
        </w:rPr>
        <w:tab/>
      </w:r>
      <w:r w:rsidRPr="004778E8">
        <w:rPr>
          <w:rFonts w:ascii="Book Antiqua" w:eastAsia="Times New Roman" w:hAnsi="Book Antiqua" w:cs="Arial"/>
          <w:i/>
          <w:color w:val="494949"/>
          <w:sz w:val="24"/>
          <w:szCs w:val="24"/>
          <w:lang w:eastAsia="en-GB"/>
        </w:rPr>
        <w:t xml:space="preserve">a jobseeker; </w:t>
      </w:r>
    </w:p>
    <w:p w14:paraId="7A10EBA0" w14:textId="65EAA982" w:rsidR="006542EE" w:rsidRPr="004778E8" w:rsidRDefault="006542EE" w:rsidP="00B42F34">
      <w:pPr>
        <w:shd w:val="clear" w:color="auto" w:fill="FFFFFF"/>
        <w:tabs>
          <w:tab w:val="left" w:pos="2268"/>
        </w:tabs>
        <w:spacing w:before="120" w:after="0" w:line="240" w:lineRule="auto"/>
        <w:ind w:left="1701"/>
        <w:rPr>
          <w:rFonts w:ascii="Book Antiqua" w:eastAsia="Times New Roman" w:hAnsi="Book Antiqua" w:cs="Arial"/>
          <w:i/>
          <w:color w:val="494949"/>
          <w:sz w:val="24"/>
          <w:szCs w:val="24"/>
          <w:lang w:eastAsia="en-GB"/>
        </w:rPr>
      </w:pPr>
      <w:r w:rsidRPr="004778E8">
        <w:rPr>
          <w:rFonts w:ascii="Book Antiqua" w:eastAsia="Times New Roman" w:hAnsi="Book Antiqua" w:cs="Arial"/>
          <w:i/>
          <w:color w:val="494949"/>
          <w:sz w:val="24"/>
          <w:szCs w:val="24"/>
          <w:lang w:eastAsia="en-GB"/>
        </w:rPr>
        <w:t>(b)</w:t>
      </w:r>
      <w:r w:rsidR="00B42F34">
        <w:rPr>
          <w:rFonts w:ascii="Book Antiqua" w:eastAsia="Times New Roman" w:hAnsi="Book Antiqua" w:cs="Arial"/>
          <w:i/>
          <w:color w:val="494949"/>
          <w:sz w:val="24"/>
          <w:szCs w:val="24"/>
          <w:lang w:eastAsia="en-GB"/>
        </w:rPr>
        <w:tab/>
      </w:r>
      <w:r w:rsidRPr="004778E8">
        <w:rPr>
          <w:rFonts w:ascii="Book Antiqua" w:eastAsia="Times New Roman" w:hAnsi="Book Antiqua" w:cs="Arial"/>
          <w:i/>
          <w:color w:val="494949"/>
          <w:sz w:val="24"/>
          <w:szCs w:val="24"/>
          <w:lang w:eastAsia="en-GB"/>
        </w:rPr>
        <w:t xml:space="preserve">a worker; </w:t>
      </w:r>
    </w:p>
    <w:p w14:paraId="762C4698" w14:textId="1CDBBD43" w:rsidR="006542EE" w:rsidRPr="004778E8" w:rsidRDefault="006542EE" w:rsidP="00B42F34">
      <w:pPr>
        <w:shd w:val="clear" w:color="auto" w:fill="FFFFFF"/>
        <w:tabs>
          <w:tab w:val="left" w:pos="2268"/>
        </w:tabs>
        <w:spacing w:before="120" w:after="0" w:line="240" w:lineRule="auto"/>
        <w:ind w:left="1701"/>
        <w:rPr>
          <w:rFonts w:ascii="Book Antiqua" w:eastAsia="Times New Roman" w:hAnsi="Book Antiqua" w:cs="Arial"/>
          <w:i/>
          <w:color w:val="494949"/>
          <w:sz w:val="24"/>
          <w:szCs w:val="24"/>
          <w:lang w:eastAsia="en-GB"/>
        </w:rPr>
      </w:pPr>
      <w:r w:rsidRPr="004778E8">
        <w:rPr>
          <w:rFonts w:ascii="Book Antiqua" w:eastAsia="Times New Roman" w:hAnsi="Book Antiqua" w:cs="Arial"/>
          <w:i/>
          <w:color w:val="494949"/>
          <w:sz w:val="24"/>
          <w:szCs w:val="24"/>
          <w:lang w:eastAsia="en-GB"/>
        </w:rPr>
        <w:t>(c)</w:t>
      </w:r>
      <w:r w:rsidR="00B42F34">
        <w:rPr>
          <w:rFonts w:ascii="Book Antiqua" w:eastAsia="Times New Roman" w:hAnsi="Book Antiqua" w:cs="Arial"/>
          <w:i/>
          <w:color w:val="494949"/>
          <w:sz w:val="24"/>
          <w:szCs w:val="24"/>
          <w:lang w:eastAsia="en-GB"/>
        </w:rPr>
        <w:tab/>
      </w:r>
      <w:r w:rsidRPr="004778E8">
        <w:rPr>
          <w:rFonts w:ascii="Book Antiqua" w:eastAsia="Times New Roman" w:hAnsi="Book Antiqua" w:cs="Arial"/>
          <w:i/>
          <w:color w:val="494949"/>
          <w:sz w:val="24"/>
          <w:szCs w:val="24"/>
          <w:lang w:eastAsia="en-GB"/>
        </w:rPr>
        <w:t xml:space="preserve">a self-employed person; </w:t>
      </w:r>
    </w:p>
    <w:p w14:paraId="1B9D1D99" w14:textId="59FD8FAF" w:rsidR="006542EE" w:rsidRPr="004778E8" w:rsidRDefault="006542EE" w:rsidP="00B42F34">
      <w:pPr>
        <w:shd w:val="clear" w:color="auto" w:fill="FFFFFF"/>
        <w:tabs>
          <w:tab w:val="left" w:pos="2268"/>
        </w:tabs>
        <w:spacing w:before="120" w:after="0" w:line="240" w:lineRule="auto"/>
        <w:ind w:left="1701"/>
        <w:rPr>
          <w:rFonts w:ascii="Book Antiqua" w:eastAsia="Times New Roman" w:hAnsi="Book Antiqua" w:cs="Arial"/>
          <w:i/>
          <w:color w:val="494949"/>
          <w:sz w:val="24"/>
          <w:szCs w:val="24"/>
          <w:lang w:eastAsia="en-GB"/>
        </w:rPr>
      </w:pPr>
      <w:r w:rsidRPr="004778E8">
        <w:rPr>
          <w:rFonts w:ascii="Book Antiqua" w:eastAsia="Times New Roman" w:hAnsi="Book Antiqua" w:cs="Arial"/>
          <w:i/>
          <w:color w:val="494949"/>
          <w:sz w:val="24"/>
          <w:szCs w:val="24"/>
          <w:lang w:eastAsia="en-GB"/>
        </w:rPr>
        <w:t>(d)</w:t>
      </w:r>
      <w:r w:rsidR="00B42F34">
        <w:rPr>
          <w:rFonts w:ascii="Book Antiqua" w:eastAsia="Times New Roman" w:hAnsi="Book Antiqua" w:cs="Arial"/>
          <w:i/>
          <w:color w:val="494949"/>
          <w:sz w:val="24"/>
          <w:szCs w:val="24"/>
          <w:lang w:eastAsia="en-GB"/>
        </w:rPr>
        <w:tab/>
      </w:r>
      <w:r w:rsidRPr="004778E8">
        <w:rPr>
          <w:rFonts w:ascii="Book Antiqua" w:eastAsia="Times New Roman" w:hAnsi="Book Antiqua" w:cs="Arial"/>
          <w:i/>
          <w:color w:val="494949"/>
          <w:sz w:val="24"/>
          <w:szCs w:val="24"/>
          <w:lang w:eastAsia="en-GB"/>
        </w:rPr>
        <w:t xml:space="preserve">a self-sufficient person; or </w:t>
      </w:r>
    </w:p>
    <w:p w14:paraId="10D39150" w14:textId="69977317" w:rsidR="006542EE" w:rsidRPr="004778E8" w:rsidRDefault="006542EE" w:rsidP="00B42F34">
      <w:pPr>
        <w:shd w:val="clear" w:color="auto" w:fill="FFFFFF"/>
        <w:tabs>
          <w:tab w:val="left" w:pos="2268"/>
        </w:tabs>
        <w:spacing w:before="120" w:after="0" w:line="240" w:lineRule="auto"/>
        <w:ind w:left="1701"/>
        <w:rPr>
          <w:rFonts w:ascii="Book Antiqua" w:eastAsia="Times New Roman" w:hAnsi="Book Antiqua" w:cs="Arial"/>
          <w:i/>
          <w:color w:val="494949"/>
          <w:sz w:val="24"/>
          <w:szCs w:val="24"/>
          <w:lang w:eastAsia="en-GB"/>
        </w:rPr>
      </w:pPr>
      <w:r w:rsidRPr="004778E8">
        <w:rPr>
          <w:rFonts w:ascii="Book Antiqua" w:eastAsia="Times New Roman" w:hAnsi="Book Antiqua" w:cs="Arial"/>
          <w:i/>
          <w:color w:val="494949"/>
          <w:sz w:val="24"/>
          <w:szCs w:val="24"/>
          <w:lang w:eastAsia="en-GB"/>
        </w:rPr>
        <w:t>(e)</w:t>
      </w:r>
      <w:r w:rsidR="00B42F34">
        <w:rPr>
          <w:rFonts w:ascii="Book Antiqua" w:eastAsia="Times New Roman" w:hAnsi="Book Antiqua" w:cs="Arial"/>
          <w:i/>
          <w:color w:val="494949"/>
          <w:sz w:val="24"/>
          <w:szCs w:val="24"/>
          <w:lang w:eastAsia="en-GB"/>
        </w:rPr>
        <w:tab/>
      </w:r>
      <w:r w:rsidRPr="004778E8">
        <w:rPr>
          <w:rFonts w:ascii="Book Antiqua" w:eastAsia="Times New Roman" w:hAnsi="Book Antiqua" w:cs="Arial"/>
          <w:i/>
          <w:color w:val="494949"/>
          <w:sz w:val="24"/>
          <w:szCs w:val="24"/>
          <w:lang w:eastAsia="en-GB"/>
        </w:rPr>
        <w:t>a student.</w:t>
      </w:r>
    </w:p>
    <w:p w14:paraId="1F7A701F" w14:textId="77777777" w:rsidR="006542EE" w:rsidRPr="004778E8" w:rsidRDefault="006542EE" w:rsidP="00B42F34">
      <w:pPr>
        <w:spacing w:before="120" w:after="0" w:line="240" w:lineRule="auto"/>
        <w:ind w:left="1134"/>
        <w:rPr>
          <w:rFonts w:ascii="Book Antiqua" w:hAnsi="Book Antiqua"/>
          <w:i/>
          <w:sz w:val="24"/>
          <w:szCs w:val="24"/>
        </w:rPr>
      </w:pPr>
    </w:p>
    <w:p w14:paraId="372C28BC" w14:textId="77777777" w:rsidR="006542EE" w:rsidRPr="004778E8" w:rsidRDefault="006542EE" w:rsidP="00B42F34">
      <w:pPr>
        <w:pStyle w:val="Heading3"/>
        <w:spacing w:before="120" w:beforeAutospacing="0" w:after="0" w:afterAutospacing="0"/>
        <w:ind w:left="1134"/>
        <w:rPr>
          <w:rFonts w:ascii="Book Antiqua" w:hAnsi="Book Antiqua" w:cs="Arial"/>
          <w:i/>
          <w:color w:val="000000"/>
          <w:sz w:val="24"/>
          <w:szCs w:val="24"/>
        </w:rPr>
      </w:pPr>
      <w:r w:rsidRPr="004778E8">
        <w:rPr>
          <w:rFonts w:ascii="Book Antiqua" w:hAnsi="Book Antiqua" w:cs="Arial"/>
          <w:i/>
          <w:color w:val="000000"/>
          <w:sz w:val="24"/>
          <w:szCs w:val="24"/>
        </w:rPr>
        <w:t>“Worker”, “self-employed person”, “self-sufficient person” and “student”</w:t>
      </w:r>
    </w:p>
    <w:p w14:paraId="3423751C" w14:textId="2518EA8C" w:rsidR="006542EE" w:rsidRPr="004778E8" w:rsidRDefault="006542EE" w:rsidP="00B42F34">
      <w:pPr>
        <w:pStyle w:val="legp1paratext"/>
        <w:shd w:val="clear" w:color="auto" w:fill="FFFFFF"/>
        <w:tabs>
          <w:tab w:val="left" w:pos="1701"/>
        </w:tabs>
        <w:spacing w:before="120" w:beforeAutospacing="0" w:after="0" w:afterAutospacing="0"/>
        <w:ind w:left="1134"/>
        <w:rPr>
          <w:rFonts w:ascii="Book Antiqua" w:hAnsi="Book Antiqua" w:cs="Arial"/>
          <w:i/>
          <w:color w:val="494949"/>
        </w:rPr>
      </w:pPr>
      <w:r w:rsidRPr="004778E8">
        <w:rPr>
          <w:rStyle w:val="legp1no"/>
          <w:rFonts w:ascii="Book Antiqua" w:hAnsi="Book Antiqua" w:cs="Arial"/>
          <w:b/>
          <w:bCs/>
          <w:i/>
          <w:color w:val="494949"/>
        </w:rPr>
        <w:t>4.</w:t>
      </w:r>
      <w:r w:rsidRPr="004778E8">
        <w:rPr>
          <w:rFonts w:ascii="Book Antiqua" w:hAnsi="Book Antiqua" w:cs="Arial"/>
          <w:i/>
          <w:color w:val="494949"/>
        </w:rPr>
        <w:t>—</w:t>
      </w:r>
      <w:r w:rsidR="00B42F34">
        <w:rPr>
          <w:rFonts w:ascii="Book Antiqua" w:hAnsi="Book Antiqua" w:cs="Arial"/>
          <w:i/>
          <w:color w:val="494949"/>
        </w:rPr>
        <w:tab/>
      </w:r>
      <w:r w:rsidRPr="004778E8">
        <w:rPr>
          <w:rFonts w:ascii="Book Antiqua" w:hAnsi="Book Antiqua" w:cs="Arial"/>
          <w:i/>
          <w:color w:val="494949"/>
        </w:rPr>
        <w:t xml:space="preserve">(1) In these Regulations — </w:t>
      </w:r>
    </w:p>
    <w:p w14:paraId="4F509195" w14:textId="40FD37B2" w:rsidR="006542EE" w:rsidRPr="004778E8" w:rsidRDefault="006542EE" w:rsidP="00B42F34">
      <w:pPr>
        <w:pStyle w:val="legclearfix"/>
        <w:shd w:val="clear" w:color="auto" w:fill="FFFFFF"/>
        <w:tabs>
          <w:tab w:val="left" w:pos="2268"/>
        </w:tabs>
        <w:spacing w:before="120" w:beforeAutospacing="0" w:after="0" w:afterAutospacing="0"/>
        <w:ind w:left="1701"/>
        <w:rPr>
          <w:rFonts w:ascii="Book Antiqua" w:hAnsi="Book Antiqua" w:cs="Arial"/>
          <w:i/>
          <w:color w:val="494949"/>
        </w:rPr>
      </w:pPr>
      <w:r w:rsidRPr="004778E8">
        <w:rPr>
          <w:rStyle w:val="legds"/>
          <w:rFonts w:ascii="Book Antiqua" w:hAnsi="Book Antiqua" w:cs="Arial"/>
          <w:i/>
          <w:color w:val="494949"/>
        </w:rPr>
        <w:t>(a)</w:t>
      </w:r>
      <w:r w:rsidR="00B42F34">
        <w:rPr>
          <w:rStyle w:val="legds"/>
          <w:rFonts w:ascii="Book Antiqua" w:hAnsi="Book Antiqua" w:cs="Arial"/>
          <w:i/>
          <w:color w:val="494949"/>
        </w:rPr>
        <w:tab/>
      </w:r>
      <w:r w:rsidRPr="004778E8">
        <w:rPr>
          <w:rStyle w:val="legds"/>
          <w:rFonts w:ascii="Book Antiqua" w:hAnsi="Book Antiqua" w:cs="Arial"/>
          <w:i/>
          <w:color w:val="494949"/>
        </w:rPr>
        <w:t>“worker” means a worker within the meaning of Article 39 of the Treaty establishing the European Community(</w:t>
      </w:r>
      <w:hyperlink r:id="rId9" w:anchor="f00008" w:tooltip="Go to footnote 1" w:history="1">
        <w:r w:rsidRPr="004778E8">
          <w:rPr>
            <w:rStyle w:val="Hyperlink"/>
            <w:rFonts w:ascii="Book Antiqua" w:hAnsi="Book Antiqua" w:cs="Arial"/>
            <w:b/>
            <w:bCs/>
            <w:i/>
            <w:color w:val="006699"/>
            <w:u w:val="none"/>
          </w:rPr>
          <w:t>1</w:t>
        </w:r>
      </w:hyperlink>
      <w:r w:rsidRPr="004778E8">
        <w:rPr>
          <w:rStyle w:val="legds"/>
          <w:rFonts w:ascii="Book Antiqua" w:hAnsi="Book Antiqua" w:cs="Arial"/>
          <w:i/>
          <w:color w:val="494949"/>
        </w:rPr>
        <w:t>);</w:t>
      </w:r>
      <w:r w:rsidRPr="004778E8">
        <w:rPr>
          <w:rFonts w:ascii="Book Antiqua" w:hAnsi="Book Antiqua" w:cs="Arial"/>
          <w:i/>
          <w:color w:val="494949"/>
        </w:rPr>
        <w:t xml:space="preserve"> </w:t>
      </w:r>
    </w:p>
    <w:p w14:paraId="60EDD5DF" w14:textId="37953723" w:rsidR="006542EE" w:rsidRPr="004778E8" w:rsidRDefault="006542EE" w:rsidP="00B42F34">
      <w:pPr>
        <w:pStyle w:val="legclearfix"/>
        <w:shd w:val="clear" w:color="auto" w:fill="FFFFFF"/>
        <w:tabs>
          <w:tab w:val="left" w:pos="2268"/>
        </w:tabs>
        <w:spacing w:before="120" w:beforeAutospacing="0" w:after="0" w:afterAutospacing="0"/>
        <w:ind w:left="1701"/>
        <w:rPr>
          <w:rFonts w:ascii="Book Antiqua" w:hAnsi="Book Antiqua" w:cs="Arial"/>
          <w:i/>
          <w:color w:val="494949"/>
        </w:rPr>
      </w:pPr>
      <w:r w:rsidRPr="004778E8">
        <w:rPr>
          <w:rStyle w:val="legds"/>
          <w:rFonts w:ascii="Book Antiqua" w:hAnsi="Book Antiqua" w:cs="Arial"/>
          <w:i/>
          <w:color w:val="494949"/>
        </w:rPr>
        <w:lastRenderedPageBreak/>
        <w:t>(b)</w:t>
      </w:r>
      <w:r w:rsidR="00B42F34">
        <w:rPr>
          <w:rStyle w:val="legds"/>
          <w:rFonts w:ascii="Book Antiqua" w:hAnsi="Book Antiqua" w:cs="Arial"/>
          <w:i/>
          <w:color w:val="494949"/>
        </w:rPr>
        <w:tab/>
      </w:r>
      <w:r w:rsidRPr="004778E8">
        <w:rPr>
          <w:rStyle w:val="legds"/>
          <w:rFonts w:ascii="Book Antiqua" w:hAnsi="Book Antiqua" w:cs="Arial"/>
          <w:i/>
          <w:color w:val="494949"/>
        </w:rPr>
        <w:t>“self-employed person” means a person who establishes himself in order to pursue activity as a self-employed person in accordance with Article 43 of the Treaty establishing the European Community;</w:t>
      </w:r>
      <w:r w:rsidRPr="004778E8">
        <w:rPr>
          <w:rFonts w:ascii="Book Antiqua" w:hAnsi="Book Antiqua" w:cs="Arial"/>
          <w:i/>
          <w:color w:val="494949"/>
        </w:rPr>
        <w:t xml:space="preserve"> </w:t>
      </w:r>
    </w:p>
    <w:p w14:paraId="1F32B690" w14:textId="037E8161" w:rsidR="006542EE" w:rsidRPr="004778E8" w:rsidRDefault="006542EE" w:rsidP="00B42F34">
      <w:pPr>
        <w:pStyle w:val="legclearfix"/>
        <w:shd w:val="clear" w:color="auto" w:fill="FFFFFF"/>
        <w:tabs>
          <w:tab w:val="left" w:pos="2268"/>
        </w:tabs>
        <w:spacing w:before="120" w:beforeAutospacing="0" w:after="0" w:afterAutospacing="0"/>
        <w:ind w:left="1701"/>
        <w:rPr>
          <w:rFonts w:ascii="Book Antiqua" w:hAnsi="Book Antiqua" w:cs="Arial"/>
          <w:i/>
          <w:color w:val="494949"/>
        </w:rPr>
      </w:pPr>
      <w:r w:rsidRPr="004778E8">
        <w:rPr>
          <w:rStyle w:val="legds"/>
          <w:rFonts w:ascii="Book Antiqua" w:hAnsi="Book Antiqua" w:cs="Arial"/>
          <w:i/>
          <w:color w:val="494949"/>
        </w:rPr>
        <w:t>(c)</w:t>
      </w:r>
      <w:r w:rsidR="00B42F34">
        <w:rPr>
          <w:rStyle w:val="legds"/>
          <w:rFonts w:ascii="Book Antiqua" w:hAnsi="Book Antiqua" w:cs="Arial"/>
          <w:i/>
          <w:color w:val="494949"/>
        </w:rPr>
        <w:tab/>
      </w:r>
      <w:r w:rsidRPr="004778E8">
        <w:rPr>
          <w:rStyle w:val="legds"/>
          <w:rFonts w:ascii="Book Antiqua" w:hAnsi="Book Antiqua" w:cs="Arial"/>
          <w:i/>
          <w:color w:val="494949"/>
        </w:rPr>
        <w:t>“self-sufficient person” means a person who has—</w:t>
      </w:r>
      <w:r w:rsidRPr="004778E8">
        <w:rPr>
          <w:rFonts w:ascii="Book Antiqua" w:hAnsi="Book Antiqua" w:cs="Arial"/>
          <w:i/>
          <w:color w:val="494949"/>
        </w:rPr>
        <w:t xml:space="preserve"> </w:t>
      </w:r>
    </w:p>
    <w:p w14:paraId="77927106" w14:textId="46928577" w:rsidR="006542EE" w:rsidRPr="004778E8" w:rsidRDefault="006542EE" w:rsidP="00B42F34">
      <w:pPr>
        <w:pStyle w:val="legclearfix"/>
        <w:shd w:val="clear" w:color="auto" w:fill="FFFFFF"/>
        <w:tabs>
          <w:tab w:val="left" w:pos="2835"/>
        </w:tabs>
        <w:spacing w:before="120" w:beforeAutospacing="0" w:after="0" w:afterAutospacing="0"/>
        <w:ind w:left="2268"/>
        <w:rPr>
          <w:rFonts w:ascii="Book Antiqua" w:hAnsi="Book Antiqua" w:cs="Arial"/>
          <w:i/>
          <w:color w:val="494949"/>
        </w:rPr>
      </w:pPr>
      <w:r w:rsidRPr="004778E8">
        <w:rPr>
          <w:rStyle w:val="legds"/>
          <w:rFonts w:ascii="Book Antiqua" w:hAnsi="Book Antiqua" w:cs="Arial"/>
          <w:i/>
          <w:color w:val="494949"/>
        </w:rPr>
        <w:t>(</w:t>
      </w:r>
      <w:proofErr w:type="spellStart"/>
      <w:r w:rsidRPr="004778E8">
        <w:rPr>
          <w:rStyle w:val="legds"/>
          <w:rFonts w:ascii="Book Antiqua" w:hAnsi="Book Antiqua" w:cs="Arial"/>
          <w:i/>
          <w:color w:val="494949"/>
        </w:rPr>
        <w:t>i</w:t>
      </w:r>
      <w:proofErr w:type="spellEnd"/>
      <w:r w:rsidRPr="004778E8">
        <w:rPr>
          <w:rStyle w:val="legds"/>
          <w:rFonts w:ascii="Book Antiqua" w:hAnsi="Book Antiqua" w:cs="Arial"/>
          <w:i/>
          <w:color w:val="494949"/>
        </w:rPr>
        <w:t>)</w:t>
      </w:r>
      <w:r w:rsidR="00B42F34">
        <w:rPr>
          <w:rStyle w:val="legds"/>
          <w:rFonts w:ascii="Book Antiqua" w:hAnsi="Book Antiqua" w:cs="Arial"/>
          <w:i/>
          <w:color w:val="494949"/>
        </w:rPr>
        <w:tab/>
      </w:r>
      <w:r w:rsidRPr="004778E8">
        <w:rPr>
          <w:rStyle w:val="legds"/>
          <w:rFonts w:ascii="Book Antiqua" w:hAnsi="Book Antiqua" w:cs="Arial"/>
          <w:i/>
          <w:color w:val="494949"/>
        </w:rPr>
        <w:t>sufficient resources not to become a burden on the social assistance system of the United Kingdom during his period of residence; and</w:t>
      </w:r>
      <w:r w:rsidRPr="004778E8">
        <w:rPr>
          <w:rFonts w:ascii="Book Antiqua" w:hAnsi="Book Antiqua" w:cs="Arial"/>
          <w:i/>
          <w:color w:val="494949"/>
        </w:rPr>
        <w:t xml:space="preserve"> </w:t>
      </w:r>
    </w:p>
    <w:p w14:paraId="4806F4A8" w14:textId="108FEC5B" w:rsidR="006542EE" w:rsidRPr="004778E8" w:rsidRDefault="006542EE" w:rsidP="00B42F34">
      <w:pPr>
        <w:pStyle w:val="legclearfix"/>
        <w:shd w:val="clear" w:color="auto" w:fill="FFFFFF"/>
        <w:tabs>
          <w:tab w:val="left" w:pos="2835"/>
        </w:tabs>
        <w:spacing w:before="120" w:beforeAutospacing="0" w:after="0" w:afterAutospacing="0"/>
        <w:ind w:left="2268"/>
        <w:rPr>
          <w:rFonts w:ascii="Book Antiqua" w:hAnsi="Book Antiqua" w:cs="Arial"/>
          <w:i/>
          <w:color w:val="494949"/>
        </w:rPr>
      </w:pPr>
      <w:r w:rsidRPr="004778E8">
        <w:rPr>
          <w:rStyle w:val="legds"/>
          <w:rFonts w:ascii="Book Antiqua" w:hAnsi="Book Antiqua" w:cs="Arial"/>
          <w:i/>
          <w:color w:val="494949"/>
        </w:rPr>
        <w:t>(ii)</w:t>
      </w:r>
      <w:r w:rsidR="00B42F34">
        <w:rPr>
          <w:rStyle w:val="legds"/>
          <w:rFonts w:ascii="Book Antiqua" w:hAnsi="Book Antiqua" w:cs="Arial"/>
          <w:i/>
          <w:color w:val="494949"/>
        </w:rPr>
        <w:tab/>
      </w:r>
      <w:r w:rsidRPr="004778E8">
        <w:rPr>
          <w:rStyle w:val="legds"/>
          <w:rFonts w:ascii="Book Antiqua" w:hAnsi="Book Antiqua" w:cs="Arial"/>
          <w:i/>
          <w:color w:val="494949"/>
        </w:rPr>
        <w:t>comprehensive sickness insurance cover in the United Kingdom;</w:t>
      </w:r>
    </w:p>
    <w:p w14:paraId="3279520B" w14:textId="0C266BEE" w:rsidR="004C7047" w:rsidRPr="00D72A90" w:rsidRDefault="00192755"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The Secretary</w:t>
      </w:r>
      <w:r w:rsidR="002C6F5C" w:rsidRPr="00D72A90">
        <w:rPr>
          <w:rFonts w:ascii="Book Antiqua" w:hAnsi="Book Antiqua" w:cs="Arial"/>
          <w:sz w:val="24"/>
          <w:szCs w:val="24"/>
        </w:rPr>
        <w:t xml:space="preserve"> of State’s refusal letter</w:t>
      </w:r>
      <w:r w:rsidR="0094579C" w:rsidRPr="00D72A90">
        <w:rPr>
          <w:rFonts w:ascii="Book Antiqua" w:hAnsi="Book Antiqua" w:cs="Arial"/>
          <w:sz w:val="24"/>
          <w:szCs w:val="24"/>
        </w:rPr>
        <w:t xml:space="preserve"> addressed to the lead appellant (and the letter to the wife was in similar terms)</w:t>
      </w:r>
      <w:r w:rsidR="002C6F5C" w:rsidRPr="00D72A90">
        <w:rPr>
          <w:rFonts w:ascii="Book Antiqua" w:hAnsi="Book Antiqua" w:cs="Arial"/>
          <w:sz w:val="24"/>
          <w:szCs w:val="24"/>
        </w:rPr>
        <w:t xml:space="preserve"> </w:t>
      </w:r>
      <w:r w:rsidR="00CC028C" w:rsidRPr="00D72A90">
        <w:rPr>
          <w:rFonts w:ascii="Book Antiqua" w:hAnsi="Book Antiqua" w:cs="Arial"/>
          <w:sz w:val="24"/>
          <w:szCs w:val="24"/>
        </w:rPr>
        <w:t xml:space="preserve">identified </w:t>
      </w:r>
      <w:r w:rsidRPr="00D72A90">
        <w:rPr>
          <w:rFonts w:ascii="Book Antiqua" w:hAnsi="Book Antiqua" w:cs="Arial"/>
          <w:sz w:val="24"/>
          <w:szCs w:val="24"/>
        </w:rPr>
        <w:t>that for</w:t>
      </w:r>
      <w:r w:rsidR="002C6F5C" w:rsidRPr="00D72A90">
        <w:rPr>
          <w:rFonts w:ascii="Book Antiqua" w:hAnsi="Book Antiqua" w:cs="Arial"/>
          <w:sz w:val="24"/>
          <w:szCs w:val="24"/>
        </w:rPr>
        <w:t xml:space="preserve"> both appellants</w:t>
      </w:r>
      <w:r w:rsidR="00935C06" w:rsidRPr="00D72A90">
        <w:rPr>
          <w:rFonts w:ascii="Book Antiqua" w:hAnsi="Book Antiqua" w:cs="Arial"/>
          <w:sz w:val="24"/>
          <w:szCs w:val="24"/>
        </w:rPr>
        <w:t>,</w:t>
      </w:r>
      <w:r w:rsidR="002C6F5C" w:rsidRPr="00D72A90">
        <w:rPr>
          <w:rFonts w:ascii="Book Antiqua" w:hAnsi="Book Antiqua" w:cs="Arial"/>
          <w:sz w:val="24"/>
          <w:szCs w:val="24"/>
        </w:rPr>
        <w:t xml:space="preserve"> the</w:t>
      </w:r>
      <w:r w:rsidR="00C11307">
        <w:rPr>
          <w:rFonts w:ascii="Book Antiqua" w:hAnsi="Book Antiqua" w:cs="Arial"/>
          <w:sz w:val="24"/>
          <w:szCs w:val="24"/>
        </w:rPr>
        <w:t>ir</w:t>
      </w:r>
      <w:r w:rsidR="009E7E1A" w:rsidRPr="00D72A90">
        <w:rPr>
          <w:rFonts w:ascii="Book Antiqua" w:hAnsi="Book Antiqua" w:cs="Arial"/>
          <w:sz w:val="24"/>
          <w:szCs w:val="24"/>
        </w:rPr>
        <w:t xml:space="preserve"> VA</w:t>
      </w:r>
      <w:r w:rsidR="0094579C" w:rsidRPr="00D72A90">
        <w:rPr>
          <w:rFonts w:ascii="Book Antiqua" w:hAnsi="Book Antiqua" w:cs="Arial"/>
          <w:sz w:val="24"/>
          <w:szCs w:val="24"/>
        </w:rPr>
        <w:t>F</w:t>
      </w:r>
      <w:r w:rsidR="009E7E1A" w:rsidRPr="00D72A90">
        <w:rPr>
          <w:rFonts w:ascii="Book Antiqua" w:hAnsi="Book Antiqua" w:cs="Arial"/>
          <w:sz w:val="24"/>
          <w:szCs w:val="24"/>
        </w:rPr>
        <w:t xml:space="preserve"> notes state</w:t>
      </w:r>
      <w:r w:rsidR="00935C06" w:rsidRPr="00D72A90">
        <w:rPr>
          <w:rFonts w:ascii="Book Antiqua" w:hAnsi="Book Antiqua" w:cs="Arial"/>
          <w:sz w:val="24"/>
          <w:szCs w:val="24"/>
        </w:rPr>
        <w:t>d</w:t>
      </w:r>
      <w:r w:rsidR="009E7E1A" w:rsidRPr="00D72A90">
        <w:rPr>
          <w:rFonts w:ascii="Book Antiqua" w:hAnsi="Book Antiqua" w:cs="Arial"/>
          <w:sz w:val="24"/>
          <w:szCs w:val="24"/>
        </w:rPr>
        <w:t xml:space="preserve"> the purpose of their visit was to visit their son, and they arrived on 23 May 2016 but on 19 August 2016 applied for a registration certificate and a residence card</w:t>
      </w:r>
      <w:r w:rsidR="00DA7BCA" w:rsidRPr="00D72A90">
        <w:rPr>
          <w:rFonts w:ascii="Book Antiqua" w:hAnsi="Book Antiqua" w:cs="Arial"/>
          <w:sz w:val="24"/>
          <w:szCs w:val="24"/>
        </w:rPr>
        <w:t xml:space="preserve"> which contradicted the purpose of their visit. The reasons for refusal letter cited </w:t>
      </w:r>
      <w:r w:rsidR="00984BC0" w:rsidRPr="00D72A90">
        <w:rPr>
          <w:rFonts w:ascii="Book Antiqua" w:hAnsi="Book Antiqua" w:cs="Arial"/>
          <w:sz w:val="24"/>
          <w:szCs w:val="24"/>
        </w:rPr>
        <w:t xml:space="preserve">both regulation 4 and 6 and set out regulation 4 in full. </w:t>
      </w:r>
      <w:r w:rsidR="004C7047" w:rsidRPr="00D72A90">
        <w:rPr>
          <w:rFonts w:ascii="Book Antiqua" w:hAnsi="Book Antiqua" w:cs="Arial"/>
          <w:sz w:val="24"/>
          <w:szCs w:val="24"/>
        </w:rPr>
        <w:t xml:space="preserve"> </w:t>
      </w:r>
    </w:p>
    <w:p w14:paraId="7D02CDF0" w14:textId="7118BF4F" w:rsidR="00F0230F" w:rsidRPr="00D72A90" w:rsidRDefault="004C7047"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The letter also </w:t>
      </w:r>
      <w:r w:rsidR="00F0230F" w:rsidRPr="00D72A90">
        <w:rPr>
          <w:rFonts w:ascii="Book Antiqua" w:hAnsi="Book Antiqua" w:cs="Arial"/>
          <w:sz w:val="24"/>
          <w:szCs w:val="24"/>
        </w:rPr>
        <w:t>recorded the evidence that had been provided, which included reference to the German health card valid to 30 June 2018.</w:t>
      </w:r>
      <w:r w:rsidRPr="00D72A90">
        <w:rPr>
          <w:rFonts w:ascii="Book Antiqua" w:hAnsi="Book Antiqua" w:cs="Arial"/>
          <w:sz w:val="24"/>
          <w:szCs w:val="24"/>
        </w:rPr>
        <w:t xml:space="preserve">  There was no specific acknowledgement </w:t>
      </w:r>
      <w:r w:rsidR="00C0588B" w:rsidRPr="00D72A90">
        <w:rPr>
          <w:rFonts w:ascii="Book Antiqua" w:hAnsi="Book Antiqua" w:cs="Arial"/>
          <w:sz w:val="24"/>
          <w:szCs w:val="24"/>
        </w:rPr>
        <w:t>as to the nature of the card</w:t>
      </w:r>
      <w:r w:rsidR="00507ADE" w:rsidRPr="00D72A90">
        <w:rPr>
          <w:rFonts w:ascii="Book Antiqua" w:hAnsi="Book Antiqua" w:cs="Arial"/>
          <w:sz w:val="24"/>
          <w:szCs w:val="24"/>
        </w:rPr>
        <w:t>.</w:t>
      </w:r>
    </w:p>
    <w:p w14:paraId="3597C440" w14:textId="77777777" w:rsidR="00567BCC" w:rsidRPr="00D72A90" w:rsidRDefault="00F0230F"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The letter</w:t>
      </w:r>
      <w:r w:rsidR="00B92C2E" w:rsidRPr="00D72A90">
        <w:rPr>
          <w:rFonts w:ascii="Book Antiqua" w:hAnsi="Book Antiqua" w:cs="Arial"/>
          <w:sz w:val="24"/>
          <w:szCs w:val="24"/>
        </w:rPr>
        <w:t xml:space="preserve"> </w:t>
      </w:r>
      <w:r w:rsidR="00DF62E6" w:rsidRPr="00D72A90">
        <w:rPr>
          <w:rFonts w:ascii="Book Antiqua" w:hAnsi="Book Antiqua" w:cs="Arial"/>
          <w:sz w:val="24"/>
          <w:szCs w:val="24"/>
        </w:rPr>
        <w:t xml:space="preserve">proceeded to state that the appellants had </w:t>
      </w:r>
    </w:p>
    <w:p w14:paraId="74E3999D" w14:textId="1BD555C3" w:rsidR="006542EE" w:rsidRPr="00D72A90" w:rsidRDefault="00DF62E6" w:rsidP="00B42F34">
      <w:pPr>
        <w:spacing w:before="120" w:after="0" w:line="240" w:lineRule="auto"/>
        <w:ind w:left="1134"/>
        <w:jc w:val="both"/>
        <w:rPr>
          <w:rFonts w:ascii="Book Antiqua" w:hAnsi="Book Antiqua" w:cs="Arial"/>
          <w:i/>
          <w:sz w:val="24"/>
          <w:szCs w:val="24"/>
        </w:rPr>
      </w:pPr>
      <w:r w:rsidRPr="00D72A90">
        <w:rPr>
          <w:rFonts w:ascii="Book Antiqua" w:hAnsi="Book Antiqua" w:cs="Arial"/>
          <w:sz w:val="24"/>
          <w:szCs w:val="24"/>
        </w:rPr>
        <w:t>‘</w:t>
      </w:r>
      <w:r w:rsidRPr="00D72A90">
        <w:rPr>
          <w:rFonts w:ascii="Book Antiqua" w:hAnsi="Book Antiqua" w:cs="Arial"/>
          <w:i/>
          <w:sz w:val="24"/>
          <w:szCs w:val="24"/>
        </w:rPr>
        <w:t xml:space="preserve">therefore, provided insufficient evidence of your self-sufficiency is the evidence only covers up to 29/4/2016 </w:t>
      </w:r>
      <w:r w:rsidR="00796CD9" w:rsidRPr="00D72A90">
        <w:rPr>
          <w:rFonts w:ascii="Book Antiqua" w:hAnsi="Book Antiqua" w:cs="Arial"/>
          <w:i/>
          <w:sz w:val="24"/>
          <w:szCs w:val="24"/>
        </w:rPr>
        <w:t>and there is no evidence of how you have been exercising treaty rights in the UK from that date. It does not appear that you are self-sufficient</w:t>
      </w:r>
      <w:r w:rsidR="00A64ACF" w:rsidRPr="00D72A90">
        <w:rPr>
          <w:rFonts w:ascii="Book Antiqua" w:hAnsi="Book Antiqua" w:cs="Arial"/>
          <w:i/>
          <w:sz w:val="24"/>
          <w:szCs w:val="24"/>
        </w:rPr>
        <w:t xml:space="preserve"> as you only appear to have an income of €350 a month for you and your wife. Your son is claimed to meet all your other living costs but have provided no evidence.</w:t>
      </w:r>
    </w:p>
    <w:p w14:paraId="6A3DE644" w14:textId="54E73ABC" w:rsidR="00A64ACF" w:rsidRPr="00D72A90" w:rsidRDefault="00567BCC" w:rsidP="00B42F34">
      <w:pPr>
        <w:spacing w:before="120" w:after="0" w:line="240" w:lineRule="auto"/>
        <w:ind w:left="1134"/>
        <w:jc w:val="both"/>
        <w:rPr>
          <w:rFonts w:ascii="Book Antiqua" w:hAnsi="Book Antiqua" w:cs="Arial"/>
          <w:sz w:val="24"/>
          <w:szCs w:val="24"/>
        </w:rPr>
      </w:pPr>
      <w:r w:rsidRPr="00D72A90">
        <w:rPr>
          <w:rFonts w:ascii="Book Antiqua" w:hAnsi="Book Antiqua" w:cs="Arial"/>
          <w:i/>
          <w:sz w:val="24"/>
          <w:szCs w:val="24"/>
        </w:rPr>
        <w:t>You have failed to provide evidence that you are a qualified person’</w:t>
      </w:r>
      <w:r w:rsidRPr="00D72A90">
        <w:rPr>
          <w:rFonts w:ascii="Book Antiqua" w:hAnsi="Book Antiqua" w:cs="Arial"/>
          <w:sz w:val="24"/>
          <w:szCs w:val="24"/>
        </w:rPr>
        <w:t>.</w:t>
      </w:r>
    </w:p>
    <w:p w14:paraId="36E0313B" w14:textId="53AE0E7B" w:rsidR="00A64ACF" w:rsidRPr="00D72A90" w:rsidRDefault="00567BCC" w:rsidP="006542E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The refusal letter did not specifically accept the</w:t>
      </w:r>
      <w:r w:rsidR="00232FEA" w:rsidRPr="00D72A90">
        <w:rPr>
          <w:rFonts w:ascii="Book Antiqua" w:hAnsi="Book Antiqua" w:cs="Arial"/>
          <w:sz w:val="24"/>
          <w:szCs w:val="24"/>
        </w:rPr>
        <w:t xml:space="preserve"> health card as evidence of comprehensive sickness insurance and specifically went on to state that the </w:t>
      </w:r>
      <w:r w:rsidR="0094579C" w:rsidRPr="00D72A90">
        <w:rPr>
          <w:rFonts w:ascii="Book Antiqua" w:hAnsi="Book Antiqua" w:cs="Arial"/>
          <w:sz w:val="24"/>
          <w:szCs w:val="24"/>
        </w:rPr>
        <w:t xml:space="preserve">appellant </w:t>
      </w:r>
      <w:r w:rsidR="0078040F" w:rsidRPr="00D72A90">
        <w:rPr>
          <w:rFonts w:ascii="Book Antiqua" w:hAnsi="Book Antiqua" w:cs="Arial"/>
          <w:sz w:val="24"/>
          <w:szCs w:val="24"/>
        </w:rPr>
        <w:t>had failed to provide evidence he was a qualified person.</w:t>
      </w:r>
      <w:r w:rsidR="00643AA4" w:rsidRPr="00D72A90">
        <w:rPr>
          <w:rFonts w:ascii="Book Antiqua" w:hAnsi="Book Antiqua" w:cs="Arial"/>
          <w:sz w:val="24"/>
          <w:szCs w:val="24"/>
        </w:rPr>
        <w:t xml:space="preserve"> The provisions in relation to a qualified person includes the reference to self-sufficient person which is defined at regulation 4(1)(c) </w:t>
      </w:r>
      <w:r w:rsidR="00725F97" w:rsidRPr="00D72A90">
        <w:rPr>
          <w:rFonts w:ascii="Book Antiqua" w:hAnsi="Book Antiqua" w:cs="Arial"/>
          <w:sz w:val="24"/>
          <w:szCs w:val="24"/>
        </w:rPr>
        <w:t xml:space="preserve">and to which the judge referred. </w:t>
      </w:r>
    </w:p>
    <w:p w14:paraId="0EAF607F" w14:textId="6265237B" w:rsidR="00743661" w:rsidRPr="00D72A90" w:rsidRDefault="00743661" w:rsidP="00743661">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I am not persuaded that the judge ‘acknowledged’ that the Secretary of State was a not entitled to raise the issue of comprehensive insurance at the hearing before the first tribunal. That is a misunderstanding of </w:t>
      </w:r>
      <w:r w:rsidR="00CF08DB">
        <w:rPr>
          <w:rFonts w:ascii="Book Antiqua" w:hAnsi="Book Antiqua" w:cs="Arial"/>
          <w:sz w:val="24"/>
          <w:szCs w:val="24"/>
        </w:rPr>
        <w:t>the judge’s approach and finding</w:t>
      </w:r>
      <w:r w:rsidRPr="00D72A90">
        <w:rPr>
          <w:rFonts w:ascii="Book Antiqua" w:hAnsi="Book Antiqua" w:cs="Arial"/>
          <w:sz w:val="24"/>
          <w:szCs w:val="24"/>
        </w:rPr>
        <w:t xml:space="preserve">.  </w:t>
      </w:r>
      <w:r w:rsidR="00D305E5" w:rsidRPr="00D72A90">
        <w:rPr>
          <w:rFonts w:ascii="Book Antiqua" w:hAnsi="Book Antiqua" w:cs="Arial"/>
          <w:sz w:val="24"/>
          <w:szCs w:val="24"/>
        </w:rPr>
        <w:t>He</w:t>
      </w:r>
      <w:r w:rsidRPr="00D72A90">
        <w:rPr>
          <w:rFonts w:ascii="Book Antiqua" w:hAnsi="Book Antiqua" w:cs="Arial"/>
          <w:sz w:val="24"/>
          <w:szCs w:val="24"/>
        </w:rPr>
        <w:t xml:space="preserve"> recorded that it was </w:t>
      </w:r>
      <w:r w:rsidRPr="00D72A90">
        <w:rPr>
          <w:rFonts w:ascii="Book Antiqua" w:hAnsi="Book Antiqua" w:cs="Arial"/>
          <w:i/>
          <w:sz w:val="24"/>
          <w:szCs w:val="24"/>
        </w:rPr>
        <w:t>Mr Rahman’s</w:t>
      </w:r>
      <w:r w:rsidRPr="00D72A90">
        <w:rPr>
          <w:rFonts w:ascii="Book Antiqua" w:hAnsi="Book Antiqua" w:cs="Arial"/>
          <w:sz w:val="24"/>
          <w:szCs w:val="24"/>
        </w:rPr>
        <w:t xml:space="preserve"> position that</w:t>
      </w:r>
      <w:r w:rsidR="00D305E5" w:rsidRPr="00D72A90">
        <w:rPr>
          <w:rFonts w:ascii="Book Antiqua" w:hAnsi="Book Antiqua" w:cs="Arial"/>
          <w:sz w:val="24"/>
          <w:szCs w:val="24"/>
        </w:rPr>
        <w:t>,</w:t>
      </w:r>
      <w:r w:rsidRPr="00D72A90">
        <w:rPr>
          <w:rFonts w:ascii="Book Antiqua" w:hAnsi="Book Antiqua" w:cs="Arial"/>
          <w:sz w:val="24"/>
          <w:szCs w:val="24"/>
        </w:rPr>
        <w:t xml:space="preserve"> as a result of the refusal letter</w:t>
      </w:r>
      <w:r w:rsidR="00D305E5" w:rsidRPr="00D72A90">
        <w:rPr>
          <w:rFonts w:ascii="Book Antiqua" w:hAnsi="Book Antiqua" w:cs="Arial"/>
          <w:sz w:val="24"/>
          <w:szCs w:val="24"/>
        </w:rPr>
        <w:t>,</w:t>
      </w:r>
      <w:r w:rsidRPr="00D72A90">
        <w:rPr>
          <w:rFonts w:ascii="Book Antiqua" w:hAnsi="Book Antiqua" w:cs="Arial"/>
          <w:sz w:val="24"/>
          <w:szCs w:val="24"/>
        </w:rPr>
        <w:t xml:space="preserve"> the respondent was not now entitled to challenge that issue.</w:t>
      </w:r>
    </w:p>
    <w:p w14:paraId="6602F887" w14:textId="0427866E" w:rsidR="00A7027D" w:rsidRPr="00D72A90" w:rsidRDefault="00D305E5" w:rsidP="00297CE1">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The judge </w:t>
      </w:r>
      <w:r w:rsidR="005522C2" w:rsidRPr="00D72A90">
        <w:rPr>
          <w:rFonts w:ascii="Book Antiqua" w:hAnsi="Book Antiqua" w:cs="Arial"/>
          <w:sz w:val="24"/>
          <w:szCs w:val="24"/>
        </w:rPr>
        <w:t xml:space="preserve">turned his mind to the issue </w:t>
      </w:r>
      <w:r w:rsidR="004000EE" w:rsidRPr="00D72A90">
        <w:rPr>
          <w:rFonts w:ascii="Book Antiqua" w:hAnsi="Book Antiqua" w:cs="Arial"/>
          <w:sz w:val="24"/>
          <w:szCs w:val="24"/>
        </w:rPr>
        <w:t>of the C</w:t>
      </w:r>
      <w:r w:rsidR="00CF08DB">
        <w:rPr>
          <w:rFonts w:ascii="Book Antiqua" w:hAnsi="Book Antiqua" w:cs="Arial"/>
          <w:sz w:val="24"/>
          <w:szCs w:val="24"/>
        </w:rPr>
        <w:t>SI</w:t>
      </w:r>
      <w:r w:rsidR="004000EE" w:rsidRPr="00D72A90">
        <w:rPr>
          <w:rFonts w:ascii="Book Antiqua" w:hAnsi="Book Antiqua" w:cs="Arial"/>
          <w:sz w:val="24"/>
          <w:szCs w:val="24"/>
        </w:rPr>
        <w:t xml:space="preserve"> and </w:t>
      </w:r>
      <w:r w:rsidR="00327BDB" w:rsidRPr="00D72A90">
        <w:rPr>
          <w:rFonts w:ascii="Book Antiqua" w:hAnsi="Book Antiqua" w:cs="Arial"/>
          <w:sz w:val="24"/>
          <w:szCs w:val="24"/>
        </w:rPr>
        <w:t xml:space="preserve">openly addressed it, </w:t>
      </w:r>
      <w:r w:rsidR="005522C2" w:rsidRPr="00D72A90">
        <w:rPr>
          <w:rFonts w:ascii="Book Antiqua" w:hAnsi="Book Antiqua" w:cs="Arial"/>
          <w:sz w:val="24"/>
          <w:szCs w:val="24"/>
        </w:rPr>
        <w:t xml:space="preserve">and as he </w:t>
      </w:r>
      <w:r w:rsidR="00A7027D" w:rsidRPr="00D72A90">
        <w:rPr>
          <w:rFonts w:ascii="Book Antiqua" w:hAnsi="Book Antiqua" w:cs="Arial"/>
          <w:sz w:val="24"/>
          <w:szCs w:val="24"/>
        </w:rPr>
        <w:t>recorded</w:t>
      </w:r>
      <w:r w:rsidRPr="00D72A90">
        <w:rPr>
          <w:rFonts w:ascii="Book Antiqua" w:hAnsi="Book Antiqua" w:cs="Arial"/>
          <w:sz w:val="24"/>
          <w:szCs w:val="24"/>
        </w:rPr>
        <w:t>,</w:t>
      </w:r>
      <w:r w:rsidR="00A7027D" w:rsidRPr="00D72A90">
        <w:rPr>
          <w:rFonts w:ascii="Book Antiqua" w:hAnsi="Book Antiqua" w:cs="Arial"/>
          <w:sz w:val="24"/>
          <w:szCs w:val="24"/>
        </w:rPr>
        <w:t xml:space="preserve"> no application for an adjournment was made by Mr Rahman at the hearing</w:t>
      </w:r>
      <w:r w:rsidR="005522C2" w:rsidRPr="00D72A90">
        <w:rPr>
          <w:rFonts w:ascii="Book Antiqua" w:hAnsi="Book Antiqua" w:cs="Arial"/>
          <w:sz w:val="24"/>
          <w:szCs w:val="24"/>
        </w:rPr>
        <w:t xml:space="preserve"> despite the issue being raised</w:t>
      </w:r>
      <w:r w:rsidR="00A7027D" w:rsidRPr="00D72A90">
        <w:rPr>
          <w:rFonts w:ascii="Book Antiqua" w:hAnsi="Book Antiqua" w:cs="Arial"/>
          <w:sz w:val="24"/>
          <w:szCs w:val="24"/>
        </w:rPr>
        <w:t xml:space="preserve">. </w:t>
      </w:r>
      <w:r w:rsidR="00297CE1" w:rsidRPr="00D72A90">
        <w:rPr>
          <w:rFonts w:ascii="Book Antiqua" w:hAnsi="Book Antiqua" w:cs="Arial"/>
          <w:sz w:val="24"/>
          <w:szCs w:val="24"/>
        </w:rPr>
        <w:t xml:space="preserve">I also note that the grounds to the first Tier Tribunal made reference to the comprehensive sickness insurance and produced evidence thereto.  The appellants’ representatives clearly therefore were aware that the matter was a live issue.    </w:t>
      </w:r>
    </w:p>
    <w:p w14:paraId="6685C150" w14:textId="73F839E4" w:rsidR="00327BDB" w:rsidRPr="00D72A90" w:rsidRDefault="00327BDB" w:rsidP="009F7211">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lastRenderedPageBreak/>
        <w:t>I</w:t>
      </w:r>
      <w:r w:rsidR="00623AEB" w:rsidRPr="00D72A90">
        <w:rPr>
          <w:rFonts w:ascii="Book Antiqua" w:hAnsi="Book Antiqua" w:cs="Arial"/>
          <w:sz w:val="24"/>
          <w:szCs w:val="24"/>
        </w:rPr>
        <w:t>t was open to the judge to conclude that he must be satisfied that the regulations were fulfilled</w:t>
      </w:r>
      <w:r w:rsidR="003A74DE" w:rsidRPr="00D72A90">
        <w:rPr>
          <w:rFonts w:ascii="Book Antiqua" w:hAnsi="Book Antiqua" w:cs="Arial"/>
          <w:sz w:val="24"/>
          <w:szCs w:val="24"/>
        </w:rPr>
        <w:t xml:space="preserve"> and that </w:t>
      </w:r>
      <w:r w:rsidR="00CF08DB">
        <w:rPr>
          <w:rFonts w:ascii="Book Antiqua" w:hAnsi="Book Antiqua" w:cs="Arial"/>
          <w:sz w:val="24"/>
          <w:szCs w:val="24"/>
        </w:rPr>
        <w:t xml:space="preserve">he was entitled </w:t>
      </w:r>
      <w:r w:rsidR="003A74DE" w:rsidRPr="00D72A90">
        <w:rPr>
          <w:rFonts w:ascii="Book Antiqua" w:hAnsi="Book Antiqua" w:cs="Arial"/>
          <w:sz w:val="24"/>
          <w:szCs w:val="24"/>
        </w:rPr>
        <w:t xml:space="preserve">to make the findings on the health insurance that he did. </w:t>
      </w:r>
    </w:p>
    <w:p w14:paraId="7DA8DD68" w14:textId="2916A143" w:rsidR="009F7211" w:rsidRPr="00D72A90" w:rsidRDefault="003A74DE" w:rsidP="009F7211">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As Mr Clarke indicated the lead appellant has significant health issues</w:t>
      </w:r>
      <w:r w:rsidR="00436376" w:rsidRPr="00D72A90">
        <w:rPr>
          <w:rFonts w:ascii="Book Antiqua" w:hAnsi="Book Antiqua" w:cs="Arial"/>
          <w:sz w:val="24"/>
          <w:szCs w:val="24"/>
        </w:rPr>
        <w:t>,</w:t>
      </w:r>
      <w:r w:rsidR="005E57CF">
        <w:rPr>
          <w:rFonts w:ascii="Book Antiqua" w:hAnsi="Book Antiqua" w:cs="Arial"/>
          <w:sz w:val="24"/>
          <w:szCs w:val="24"/>
        </w:rPr>
        <w:t xml:space="preserve"> of</w:t>
      </w:r>
      <w:r w:rsidR="00436376" w:rsidRPr="00D72A90">
        <w:rPr>
          <w:rFonts w:ascii="Book Antiqua" w:hAnsi="Book Antiqua" w:cs="Arial"/>
          <w:sz w:val="24"/>
          <w:szCs w:val="24"/>
        </w:rPr>
        <w:t xml:space="preserve"> which the judge was clearly aware, but there was no policy document</w:t>
      </w:r>
      <w:r w:rsidR="000E0789" w:rsidRPr="00D72A90">
        <w:rPr>
          <w:rFonts w:ascii="Book Antiqua" w:hAnsi="Book Antiqua" w:cs="Arial"/>
          <w:sz w:val="24"/>
          <w:szCs w:val="24"/>
        </w:rPr>
        <w:t xml:space="preserve"> for the appellants</w:t>
      </w:r>
      <w:r w:rsidR="00436376" w:rsidRPr="00D72A90">
        <w:rPr>
          <w:rFonts w:ascii="Book Antiqua" w:hAnsi="Book Antiqua" w:cs="Arial"/>
          <w:sz w:val="24"/>
          <w:szCs w:val="24"/>
        </w:rPr>
        <w:t xml:space="preserve"> which </w:t>
      </w:r>
      <w:r w:rsidR="004E7B28" w:rsidRPr="00D72A90">
        <w:rPr>
          <w:rFonts w:ascii="Book Antiqua" w:hAnsi="Book Antiqua" w:cs="Arial"/>
          <w:sz w:val="24"/>
          <w:szCs w:val="24"/>
        </w:rPr>
        <w:t>outlined</w:t>
      </w:r>
      <w:r w:rsidR="0083786D" w:rsidRPr="00D72A90">
        <w:rPr>
          <w:rFonts w:ascii="Book Antiqua" w:hAnsi="Book Antiqua" w:cs="Arial"/>
          <w:sz w:val="24"/>
          <w:szCs w:val="24"/>
        </w:rPr>
        <w:t xml:space="preserve"> </w:t>
      </w:r>
      <w:r w:rsidR="00436376" w:rsidRPr="00D72A90">
        <w:rPr>
          <w:rFonts w:ascii="Book Antiqua" w:hAnsi="Book Antiqua" w:cs="Arial"/>
          <w:sz w:val="24"/>
          <w:szCs w:val="24"/>
        </w:rPr>
        <w:t xml:space="preserve">the extent of the insurance cover. </w:t>
      </w:r>
      <w:r w:rsidR="0083786D" w:rsidRPr="00D72A90">
        <w:rPr>
          <w:rFonts w:ascii="Book Antiqua" w:hAnsi="Book Antiqua" w:cs="Arial"/>
          <w:sz w:val="24"/>
          <w:szCs w:val="24"/>
        </w:rPr>
        <w:t>The regulations confirm</w:t>
      </w:r>
      <w:r w:rsidR="005E57CF">
        <w:rPr>
          <w:rFonts w:ascii="Book Antiqua" w:hAnsi="Book Antiqua" w:cs="Arial"/>
          <w:sz w:val="24"/>
          <w:szCs w:val="24"/>
        </w:rPr>
        <w:t>ed</w:t>
      </w:r>
      <w:r w:rsidR="0083786D" w:rsidRPr="00D72A90">
        <w:rPr>
          <w:rFonts w:ascii="Book Antiqua" w:hAnsi="Book Antiqua" w:cs="Arial"/>
          <w:sz w:val="24"/>
          <w:szCs w:val="24"/>
        </w:rPr>
        <w:t xml:space="preserve"> that the cover must be comprehensive.</w:t>
      </w:r>
      <w:r w:rsidR="00436376" w:rsidRPr="00D72A90">
        <w:rPr>
          <w:rFonts w:ascii="Book Antiqua" w:hAnsi="Book Antiqua" w:cs="Arial"/>
          <w:sz w:val="24"/>
          <w:szCs w:val="24"/>
        </w:rPr>
        <w:t xml:space="preserve"> </w:t>
      </w:r>
      <w:r w:rsidR="000E0789" w:rsidRPr="00D72A90">
        <w:rPr>
          <w:rFonts w:ascii="Book Antiqua" w:hAnsi="Book Antiqua" w:cs="Arial"/>
          <w:sz w:val="24"/>
          <w:szCs w:val="24"/>
        </w:rPr>
        <w:t>Even with the further insurance documents provided in respect of the second appellant, which were not before the first Tier Tribunal judge, there was still no policy documents to identify the extent of cover.</w:t>
      </w:r>
    </w:p>
    <w:p w14:paraId="2350AB80" w14:textId="77777777" w:rsidR="004E7B28" w:rsidRDefault="00E4604D" w:rsidP="004E7B28">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Mr Rahman relied on the guidance stating that the</w:t>
      </w:r>
      <w:r w:rsidR="00313DB2" w:rsidRPr="00D72A90">
        <w:rPr>
          <w:rFonts w:ascii="Book Antiqua" w:hAnsi="Book Antiqua" w:cs="Arial"/>
          <w:sz w:val="24"/>
          <w:szCs w:val="24"/>
        </w:rPr>
        <w:t xml:space="preserve"> </w:t>
      </w:r>
      <w:r w:rsidRPr="00D72A90">
        <w:rPr>
          <w:rFonts w:ascii="Book Antiqua" w:hAnsi="Book Antiqua" w:cs="Arial"/>
          <w:sz w:val="24"/>
          <w:szCs w:val="24"/>
        </w:rPr>
        <w:t>cards which were produced</w:t>
      </w:r>
      <w:r w:rsidR="003B2FDC" w:rsidRPr="00D72A90">
        <w:rPr>
          <w:rFonts w:ascii="Book Antiqua" w:hAnsi="Book Antiqua" w:cs="Arial"/>
          <w:sz w:val="24"/>
          <w:szCs w:val="24"/>
        </w:rPr>
        <w:t xml:space="preserve"> were </w:t>
      </w:r>
      <w:r w:rsidR="00313DB2" w:rsidRPr="00D72A90">
        <w:rPr>
          <w:rFonts w:ascii="Book Antiqua" w:hAnsi="Book Antiqua" w:cs="Arial"/>
          <w:sz w:val="24"/>
          <w:szCs w:val="24"/>
        </w:rPr>
        <w:t xml:space="preserve">EHIC cards and </w:t>
      </w:r>
      <w:r w:rsidR="003B2FDC" w:rsidRPr="00D72A90">
        <w:rPr>
          <w:rFonts w:ascii="Book Antiqua" w:hAnsi="Book Antiqua" w:cs="Arial"/>
          <w:sz w:val="24"/>
          <w:szCs w:val="24"/>
        </w:rPr>
        <w:t xml:space="preserve">sufficient because the appellants were not </w:t>
      </w:r>
      <w:r w:rsidR="00F23125" w:rsidRPr="00D72A90">
        <w:rPr>
          <w:rFonts w:ascii="Book Antiqua" w:hAnsi="Book Antiqua" w:cs="Arial"/>
          <w:sz w:val="24"/>
          <w:szCs w:val="24"/>
        </w:rPr>
        <w:t xml:space="preserve">applying </w:t>
      </w:r>
      <w:r w:rsidR="003B2FDC" w:rsidRPr="00D72A90">
        <w:rPr>
          <w:rFonts w:ascii="Book Antiqua" w:hAnsi="Book Antiqua" w:cs="Arial"/>
          <w:sz w:val="24"/>
          <w:szCs w:val="24"/>
        </w:rPr>
        <w:t xml:space="preserve">for permanent residence.  </w:t>
      </w:r>
      <w:r w:rsidR="00723E4A" w:rsidRPr="00D72A90">
        <w:rPr>
          <w:rFonts w:ascii="Book Antiqua" w:hAnsi="Book Antiqua" w:cs="Arial"/>
          <w:sz w:val="24"/>
          <w:szCs w:val="24"/>
        </w:rPr>
        <w:t xml:space="preserve">He noted that the guidance specifically </w:t>
      </w:r>
      <w:r w:rsidR="0064183D" w:rsidRPr="00D72A90">
        <w:rPr>
          <w:rFonts w:ascii="Book Antiqua" w:hAnsi="Book Antiqua" w:cs="Arial"/>
          <w:sz w:val="24"/>
          <w:szCs w:val="24"/>
        </w:rPr>
        <w:t xml:space="preserve">identified </w:t>
      </w:r>
      <w:r w:rsidR="00723E4A" w:rsidRPr="00D72A90">
        <w:rPr>
          <w:rFonts w:ascii="Book Antiqua" w:hAnsi="Book Antiqua" w:cs="Arial"/>
          <w:sz w:val="24"/>
          <w:szCs w:val="24"/>
        </w:rPr>
        <w:t xml:space="preserve">the EHIC cards as being an acceptable form of insurance.  </w:t>
      </w:r>
    </w:p>
    <w:p w14:paraId="7DBDE016" w14:textId="4B9F9BD2" w:rsidR="00C06777" w:rsidRPr="004E7B28" w:rsidRDefault="004D21C0" w:rsidP="004E7B28">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A</w:t>
      </w:r>
      <w:r w:rsidR="00723E4A" w:rsidRPr="00D72A90">
        <w:rPr>
          <w:rFonts w:ascii="Book Antiqua" w:hAnsi="Book Antiqua" w:cs="Arial"/>
          <w:sz w:val="24"/>
          <w:szCs w:val="24"/>
        </w:rPr>
        <w:t>t</w:t>
      </w:r>
      <w:r w:rsidRPr="00D72A90">
        <w:rPr>
          <w:rFonts w:ascii="Book Antiqua" w:hAnsi="Book Antiqua" w:cs="Arial"/>
          <w:sz w:val="24"/>
          <w:szCs w:val="24"/>
        </w:rPr>
        <w:t xml:space="preserve"> regulation 4(1)(c) however</w:t>
      </w:r>
      <w:r w:rsidR="0064183D" w:rsidRPr="00D72A90">
        <w:rPr>
          <w:rFonts w:ascii="Book Antiqua" w:hAnsi="Book Antiqua" w:cs="Arial"/>
          <w:sz w:val="24"/>
          <w:szCs w:val="24"/>
        </w:rPr>
        <w:t xml:space="preserve"> there is reference to </w:t>
      </w:r>
      <w:r w:rsidR="0064183D" w:rsidRPr="00D72A90">
        <w:rPr>
          <w:rFonts w:ascii="Book Antiqua" w:hAnsi="Book Antiqua" w:cs="Arial"/>
          <w:i/>
          <w:sz w:val="24"/>
          <w:szCs w:val="24"/>
        </w:rPr>
        <w:t>comprehensive</w:t>
      </w:r>
      <w:r w:rsidR="0064183D" w:rsidRPr="00D72A90">
        <w:rPr>
          <w:rFonts w:ascii="Book Antiqua" w:hAnsi="Book Antiqua" w:cs="Arial"/>
          <w:sz w:val="24"/>
          <w:szCs w:val="24"/>
        </w:rPr>
        <w:t xml:space="preserve"> sickness insurance cover</w:t>
      </w:r>
      <w:r w:rsidR="00711137" w:rsidRPr="00D72A90">
        <w:rPr>
          <w:rFonts w:ascii="Book Antiqua" w:hAnsi="Book Antiqua" w:cs="Arial"/>
          <w:sz w:val="24"/>
          <w:szCs w:val="24"/>
        </w:rPr>
        <w:t xml:space="preserve"> and</w:t>
      </w:r>
      <w:r w:rsidR="004E2CAB" w:rsidRPr="00D72A90">
        <w:rPr>
          <w:rFonts w:ascii="Book Antiqua" w:hAnsi="Book Antiqua" w:cs="Arial"/>
          <w:sz w:val="24"/>
          <w:szCs w:val="24"/>
        </w:rPr>
        <w:t xml:space="preserve"> </w:t>
      </w:r>
      <w:r w:rsidR="00711137" w:rsidRPr="00D72A90">
        <w:rPr>
          <w:rFonts w:ascii="Book Antiqua" w:hAnsi="Book Antiqua" w:cs="Arial"/>
          <w:sz w:val="24"/>
          <w:szCs w:val="24"/>
        </w:rPr>
        <w:t xml:space="preserve">the guidance considers that </w:t>
      </w:r>
      <w:r w:rsidR="004E2CAB" w:rsidRPr="00D72A90">
        <w:rPr>
          <w:rFonts w:ascii="Book Antiqua" w:hAnsi="Book Antiqua" w:cs="Arial"/>
          <w:sz w:val="24"/>
          <w:szCs w:val="24"/>
        </w:rPr>
        <w:t xml:space="preserve">comprehensive </w:t>
      </w:r>
      <w:r w:rsidR="00711137" w:rsidRPr="00D72A90">
        <w:rPr>
          <w:rFonts w:ascii="Book Antiqua" w:hAnsi="Book Antiqua" w:cs="Arial"/>
          <w:sz w:val="24"/>
          <w:szCs w:val="24"/>
        </w:rPr>
        <w:t>sicknes</w:t>
      </w:r>
      <w:r w:rsidR="004E2CAB" w:rsidRPr="00D72A90">
        <w:rPr>
          <w:rFonts w:ascii="Book Antiqua" w:hAnsi="Book Antiqua" w:cs="Arial"/>
          <w:sz w:val="24"/>
          <w:szCs w:val="24"/>
        </w:rPr>
        <w:t>s</w:t>
      </w:r>
      <w:r w:rsidR="004E7B28">
        <w:rPr>
          <w:rFonts w:ascii="Book Antiqua" w:hAnsi="Book Antiqua" w:cs="Arial"/>
          <w:sz w:val="24"/>
          <w:szCs w:val="24"/>
        </w:rPr>
        <w:t xml:space="preserve"> </w:t>
      </w:r>
      <w:r w:rsidR="00711137" w:rsidRPr="00D72A90">
        <w:rPr>
          <w:rFonts w:ascii="Book Antiqua" w:hAnsi="Book Antiqua" w:cs="Arial"/>
          <w:sz w:val="24"/>
          <w:szCs w:val="24"/>
        </w:rPr>
        <w:t>insuran</w:t>
      </w:r>
      <w:r w:rsidR="001E5285" w:rsidRPr="00D72A90">
        <w:rPr>
          <w:rFonts w:ascii="Book Antiqua" w:hAnsi="Book Antiqua" w:cs="Arial"/>
          <w:sz w:val="24"/>
          <w:szCs w:val="24"/>
        </w:rPr>
        <w:t>ce is</w:t>
      </w:r>
      <w:r w:rsidR="004E7B28">
        <w:rPr>
          <w:rFonts w:ascii="Book Antiqua" w:hAnsi="Book Antiqua" w:cs="Arial"/>
          <w:sz w:val="24"/>
          <w:szCs w:val="24"/>
        </w:rPr>
        <w:t xml:space="preserve"> </w:t>
      </w:r>
      <w:r w:rsidR="00711137" w:rsidRPr="00D72A90">
        <w:rPr>
          <w:rFonts w:ascii="Book Antiqua" w:hAnsi="Book Antiqua" w:cs="Arial"/>
          <w:sz w:val="24"/>
          <w:szCs w:val="24"/>
        </w:rPr>
        <w:t>any form </w:t>
      </w:r>
      <w:r w:rsidR="004E7B28" w:rsidRPr="00D72A90">
        <w:rPr>
          <w:rFonts w:ascii="Book Antiqua" w:hAnsi="Book Antiqua" w:cs="Arial"/>
          <w:sz w:val="24"/>
          <w:szCs w:val="24"/>
        </w:rPr>
        <w:t>of insurance</w:t>
      </w:r>
      <w:r w:rsidR="00711137" w:rsidRPr="00D72A90">
        <w:rPr>
          <w:rFonts w:ascii="Book Antiqua" w:hAnsi="Book Antiqua" w:cs="Arial"/>
          <w:sz w:val="24"/>
          <w:szCs w:val="24"/>
        </w:rPr>
        <w:t> that will cover the costs of the majority of medical treatment</w:t>
      </w:r>
      <w:r w:rsidR="001B0A0D">
        <w:rPr>
          <w:rFonts w:ascii="Book Antiqua" w:hAnsi="Book Antiqua" w:cs="Arial"/>
          <w:sz w:val="24"/>
          <w:szCs w:val="24"/>
        </w:rPr>
        <w:t xml:space="preserve"> a</w:t>
      </w:r>
      <w:r w:rsidR="00711137" w:rsidRPr="00D72A90">
        <w:rPr>
          <w:rFonts w:ascii="Book Antiqua" w:hAnsi="Book Antiqua" w:cs="Arial"/>
          <w:sz w:val="24"/>
          <w:szCs w:val="24"/>
        </w:rPr>
        <w:t>n EEA </w:t>
      </w:r>
      <w:r w:rsidR="001B0A0D" w:rsidRPr="00D72A90">
        <w:rPr>
          <w:rFonts w:ascii="Book Antiqua" w:hAnsi="Book Antiqua" w:cs="Arial"/>
          <w:sz w:val="24"/>
          <w:szCs w:val="24"/>
        </w:rPr>
        <w:t>national may</w:t>
      </w:r>
      <w:r w:rsidR="00711137" w:rsidRPr="00D72A90">
        <w:rPr>
          <w:rFonts w:ascii="Book Antiqua" w:hAnsi="Book Antiqua" w:cs="Arial"/>
          <w:sz w:val="24"/>
          <w:szCs w:val="24"/>
        </w:rPr>
        <w:t> receive in the UK</w:t>
      </w:r>
      <w:r w:rsidR="001E5285" w:rsidRPr="004E7B28">
        <w:rPr>
          <w:rFonts w:ascii="Book Antiqua" w:hAnsi="Book Antiqua" w:cs="Arial"/>
          <w:sz w:val="24"/>
          <w:szCs w:val="24"/>
        </w:rPr>
        <w:t>.</w:t>
      </w:r>
      <w:r w:rsidR="006E7415" w:rsidRPr="004E7B28">
        <w:rPr>
          <w:rFonts w:ascii="Book Antiqua" w:hAnsi="Book Antiqua" w:cs="Arial"/>
          <w:sz w:val="24"/>
          <w:szCs w:val="24"/>
        </w:rPr>
        <w:t xml:space="preserve">  </w:t>
      </w:r>
    </w:p>
    <w:p w14:paraId="0EC6F31C" w14:textId="09EA9D38" w:rsidR="009F7211" w:rsidRPr="00D72A90" w:rsidRDefault="00CB65AF" w:rsidP="009F7211">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Mr Clarke submitted </w:t>
      </w:r>
      <w:r w:rsidR="003B0F91" w:rsidRPr="00D72A90">
        <w:rPr>
          <w:rFonts w:ascii="Book Antiqua" w:hAnsi="Book Antiqua" w:cs="Arial"/>
          <w:sz w:val="24"/>
          <w:szCs w:val="24"/>
        </w:rPr>
        <w:t>that an</w:t>
      </w:r>
      <w:r w:rsidR="00A61CD6" w:rsidRPr="00D72A90">
        <w:rPr>
          <w:rFonts w:ascii="Book Antiqua" w:hAnsi="Book Antiqua" w:cs="Arial"/>
          <w:sz w:val="24"/>
          <w:szCs w:val="24"/>
        </w:rPr>
        <w:t xml:space="preserve"> EHIC card is </w:t>
      </w:r>
      <w:r w:rsidRPr="00D72A90">
        <w:rPr>
          <w:rFonts w:ascii="Book Antiqua" w:hAnsi="Book Antiqua" w:cs="Arial"/>
          <w:sz w:val="24"/>
          <w:szCs w:val="24"/>
        </w:rPr>
        <w:t xml:space="preserve">only </w:t>
      </w:r>
      <w:r w:rsidR="00A61CD6" w:rsidRPr="00D72A90">
        <w:rPr>
          <w:rFonts w:ascii="Book Antiqua" w:hAnsi="Book Antiqua" w:cs="Arial"/>
          <w:sz w:val="24"/>
          <w:szCs w:val="24"/>
        </w:rPr>
        <w:t xml:space="preserve">relevant if the applicant is here temporarily. </w:t>
      </w:r>
      <w:r w:rsidR="00903FC7" w:rsidRPr="00D72A90">
        <w:rPr>
          <w:rFonts w:ascii="Book Antiqua" w:hAnsi="Book Antiqua" w:cs="Arial"/>
          <w:sz w:val="24"/>
          <w:szCs w:val="24"/>
        </w:rPr>
        <w:t xml:space="preserve">That </w:t>
      </w:r>
      <w:r w:rsidR="00D00483" w:rsidRPr="00D72A90">
        <w:rPr>
          <w:rFonts w:ascii="Book Antiqua" w:hAnsi="Book Antiqua" w:cs="Arial"/>
          <w:sz w:val="24"/>
          <w:szCs w:val="24"/>
        </w:rPr>
        <w:t>he stated was</w:t>
      </w:r>
      <w:r w:rsidR="00903FC7" w:rsidRPr="00D72A90">
        <w:rPr>
          <w:rFonts w:ascii="Book Antiqua" w:hAnsi="Book Antiqua" w:cs="Arial"/>
          <w:sz w:val="24"/>
          <w:szCs w:val="24"/>
        </w:rPr>
        <w:t xml:space="preserve"> clear from the guidance</w:t>
      </w:r>
      <w:r w:rsidR="006816FF" w:rsidRPr="00D72A90">
        <w:rPr>
          <w:rFonts w:ascii="Book Antiqua" w:hAnsi="Book Antiqua" w:cs="Arial"/>
          <w:sz w:val="24"/>
          <w:szCs w:val="24"/>
        </w:rPr>
        <w:t xml:space="preserve">. </w:t>
      </w:r>
      <w:r w:rsidR="00A61CD6" w:rsidRPr="00D72A90">
        <w:rPr>
          <w:rFonts w:ascii="Book Antiqua" w:hAnsi="Book Antiqua" w:cs="Arial"/>
          <w:sz w:val="24"/>
          <w:szCs w:val="24"/>
        </w:rPr>
        <w:t xml:space="preserve"> As indicated these appellants entered the UK in May 2016.  The witness statements confirmed that they had been added to the council tax. </w:t>
      </w:r>
      <w:r w:rsidR="006816FF" w:rsidRPr="00D72A90">
        <w:rPr>
          <w:rFonts w:ascii="Book Antiqua" w:hAnsi="Book Antiqua" w:cs="Arial"/>
          <w:sz w:val="24"/>
          <w:szCs w:val="24"/>
        </w:rPr>
        <w:t xml:space="preserve">Can it </w:t>
      </w:r>
      <w:r w:rsidR="00617DB3" w:rsidRPr="00D72A90">
        <w:rPr>
          <w:rFonts w:ascii="Book Antiqua" w:hAnsi="Book Antiqua" w:cs="Arial"/>
          <w:sz w:val="24"/>
          <w:szCs w:val="24"/>
        </w:rPr>
        <w:t>be said that by the date of the hearing before the judge that they were in the UK temporarily</w:t>
      </w:r>
      <w:r w:rsidR="006816FF" w:rsidRPr="00D72A90">
        <w:rPr>
          <w:rFonts w:ascii="Book Antiqua" w:hAnsi="Book Antiqua" w:cs="Arial"/>
          <w:sz w:val="24"/>
          <w:szCs w:val="24"/>
        </w:rPr>
        <w:t>?</w:t>
      </w:r>
      <w:r w:rsidR="00617DB3" w:rsidRPr="00D72A90">
        <w:rPr>
          <w:rFonts w:ascii="Book Antiqua" w:hAnsi="Book Antiqua" w:cs="Arial"/>
          <w:sz w:val="24"/>
          <w:szCs w:val="24"/>
        </w:rPr>
        <w:t xml:space="preserve"> </w:t>
      </w:r>
      <w:r w:rsidR="00C22377" w:rsidRPr="00D72A90">
        <w:rPr>
          <w:rFonts w:ascii="Book Antiqua" w:hAnsi="Book Antiqua" w:cs="Arial"/>
          <w:sz w:val="24"/>
          <w:szCs w:val="24"/>
        </w:rPr>
        <w:t xml:space="preserve">Although Mr Rahman </w:t>
      </w:r>
      <w:r w:rsidR="003B0F91" w:rsidRPr="00D72A90">
        <w:rPr>
          <w:rFonts w:ascii="Book Antiqua" w:hAnsi="Book Antiqua" w:cs="Arial"/>
          <w:sz w:val="24"/>
          <w:szCs w:val="24"/>
        </w:rPr>
        <w:t>emphasised</w:t>
      </w:r>
      <w:r w:rsidR="00C22377" w:rsidRPr="00D72A90">
        <w:rPr>
          <w:rFonts w:ascii="Book Antiqua" w:hAnsi="Book Antiqua" w:cs="Arial"/>
          <w:sz w:val="24"/>
          <w:szCs w:val="24"/>
        </w:rPr>
        <w:t xml:space="preserve"> that the guidance for applications for a document certifying permanent residence </w:t>
      </w:r>
      <w:r w:rsidR="009B0CE5" w:rsidRPr="00D72A90">
        <w:rPr>
          <w:rFonts w:ascii="Book Antiqua" w:hAnsi="Book Antiqua" w:cs="Arial"/>
          <w:sz w:val="24"/>
          <w:szCs w:val="24"/>
        </w:rPr>
        <w:t>refe</w:t>
      </w:r>
      <w:r w:rsidR="004E4D2A" w:rsidRPr="00D72A90">
        <w:rPr>
          <w:rFonts w:ascii="Book Antiqua" w:hAnsi="Book Antiqua" w:cs="Arial"/>
          <w:sz w:val="24"/>
          <w:szCs w:val="24"/>
        </w:rPr>
        <w:t>rs to</w:t>
      </w:r>
      <w:r w:rsidR="009B0CE5" w:rsidRPr="00D72A90">
        <w:rPr>
          <w:rFonts w:ascii="Book Antiqua" w:hAnsi="Book Antiqua" w:cs="Arial"/>
          <w:sz w:val="24"/>
          <w:szCs w:val="24"/>
        </w:rPr>
        <w:t xml:space="preserve"> an EHIC card</w:t>
      </w:r>
      <w:r w:rsidR="004E4D2A" w:rsidRPr="00D72A90">
        <w:rPr>
          <w:rFonts w:ascii="Book Antiqua" w:hAnsi="Book Antiqua" w:cs="Arial"/>
          <w:sz w:val="24"/>
          <w:szCs w:val="24"/>
        </w:rPr>
        <w:t xml:space="preserve"> there is also a statement to the effect that </w:t>
      </w:r>
    </w:p>
    <w:p w14:paraId="6F5DC90A" w14:textId="2DD63BF5" w:rsidR="004E4D2A" w:rsidRPr="00D72A90" w:rsidRDefault="004E4D2A" w:rsidP="00B42F34">
      <w:pPr>
        <w:spacing w:before="120" w:after="0" w:line="240" w:lineRule="auto"/>
        <w:ind w:left="1134"/>
        <w:jc w:val="both"/>
        <w:rPr>
          <w:rFonts w:ascii="Book Antiqua" w:hAnsi="Book Antiqua" w:cs="Arial"/>
          <w:i/>
          <w:sz w:val="24"/>
          <w:szCs w:val="24"/>
        </w:rPr>
      </w:pPr>
      <w:r w:rsidRPr="00D72A90">
        <w:rPr>
          <w:rFonts w:ascii="Book Antiqua" w:hAnsi="Book Antiqua" w:cs="Arial"/>
          <w:i/>
          <w:sz w:val="24"/>
          <w:szCs w:val="24"/>
        </w:rPr>
        <w:t xml:space="preserve">‘you </w:t>
      </w:r>
      <w:r w:rsidR="007C71CD" w:rsidRPr="00D72A90">
        <w:rPr>
          <w:rFonts w:ascii="Book Antiqua" w:hAnsi="Book Antiqua" w:cs="Arial"/>
          <w:i/>
          <w:sz w:val="24"/>
          <w:szCs w:val="24"/>
        </w:rPr>
        <w:t>can only accept the valid EHIC as CSI if the applicant is living in the UK on a temporary basis</w:t>
      </w:r>
      <w:r w:rsidR="00950713" w:rsidRPr="00D72A90">
        <w:rPr>
          <w:rFonts w:ascii="Book Antiqua" w:hAnsi="Book Antiqua" w:cs="Arial"/>
          <w:i/>
          <w:sz w:val="24"/>
          <w:szCs w:val="24"/>
        </w:rPr>
        <w:t>’</w:t>
      </w:r>
    </w:p>
    <w:p w14:paraId="3C24F27A" w14:textId="3D10D588" w:rsidR="00436376" w:rsidRPr="00D72A90" w:rsidRDefault="00176EB1" w:rsidP="00B42F34">
      <w:pPr>
        <w:spacing w:before="120" w:after="0" w:line="240" w:lineRule="auto"/>
        <w:ind w:left="1134"/>
        <w:jc w:val="both"/>
        <w:rPr>
          <w:rFonts w:ascii="Book Antiqua" w:hAnsi="Book Antiqua" w:cs="Arial"/>
          <w:i/>
          <w:sz w:val="24"/>
          <w:szCs w:val="24"/>
        </w:rPr>
      </w:pPr>
      <w:r w:rsidRPr="00D72A90">
        <w:rPr>
          <w:rFonts w:ascii="Book Antiqua" w:hAnsi="Book Antiqua" w:cs="Arial"/>
          <w:i/>
          <w:sz w:val="24"/>
          <w:szCs w:val="24"/>
        </w:rPr>
        <w:t xml:space="preserve">if it is clear from other information they provide they are in the UK temporarily you do not need </w:t>
      </w:r>
      <w:r w:rsidR="009F7211" w:rsidRPr="00D72A90">
        <w:rPr>
          <w:rFonts w:ascii="Book Antiqua" w:hAnsi="Book Antiqua" w:cs="Arial"/>
          <w:i/>
          <w:sz w:val="24"/>
          <w:szCs w:val="24"/>
        </w:rPr>
        <w:t>to request further information</w:t>
      </w:r>
      <w:r w:rsidR="00711137" w:rsidRPr="00D72A90">
        <w:rPr>
          <w:rFonts w:ascii="Book Antiqua" w:hAnsi="Book Antiqua" w:cs="Arial"/>
          <w:i/>
          <w:sz w:val="24"/>
          <w:szCs w:val="24"/>
        </w:rPr>
        <w:t>.</w:t>
      </w:r>
      <w:r w:rsidR="009F7211" w:rsidRPr="00D72A90">
        <w:rPr>
          <w:rFonts w:ascii="Book Antiqua" w:hAnsi="Book Antiqua" w:cs="Arial"/>
          <w:i/>
          <w:sz w:val="24"/>
          <w:szCs w:val="24"/>
        </w:rPr>
        <w:t xml:space="preserve">  For example, a student may be undertaking a </w:t>
      </w:r>
      <w:proofErr w:type="spellStart"/>
      <w:r w:rsidR="009F7211" w:rsidRPr="00D72A90">
        <w:rPr>
          <w:rFonts w:ascii="Book Antiqua" w:hAnsi="Book Antiqua" w:cs="Arial"/>
          <w:i/>
          <w:sz w:val="24"/>
          <w:szCs w:val="24"/>
        </w:rPr>
        <w:t>year long</w:t>
      </w:r>
      <w:proofErr w:type="spellEnd"/>
      <w:r w:rsidR="009F7211" w:rsidRPr="00D72A90">
        <w:rPr>
          <w:rFonts w:ascii="Book Antiqua" w:hAnsi="Book Antiqua" w:cs="Arial"/>
          <w:i/>
          <w:sz w:val="24"/>
          <w:szCs w:val="24"/>
        </w:rPr>
        <w:t xml:space="preserve"> course and a provisional job offer in their country</w:t>
      </w:r>
    </w:p>
    <w:p w14:paraId="16BAB9FC" w14:textId="459F5B1E" w:rsidR="004E2CAB" w:rsidRPr="00D72A90" w:rsidRDefault="00121D2D" w:rsidP="00B42F34">
      <w:pPr>
        <w:spacing w:before="120" w:after="0" w:line="240" w:lineRule="auto"/>
        <w:ind w:left="1134"/>
        <w:jc w:val="both"/>
        <w:rPr>
          <w:rFonts w:ascii="Book Antiqua" w:hAnsi="Book Antiqua" w:cs="Arial"/>
          <w:i/>
          <w:sz w:val="24"/>
          <w:szCs w:val="24"/>
        </w:rPr>
      </w:pPr>
      <w:r w:rsidRPr="00D72A90">
        <w:rPr>
          <w:rFonts w:ascii="Book Antiqua" w:hAnsi="Book Antiqua" w:cs="Arial"/>
          <w:i/>
          <w:sz w:val="24"/>
          <w:szCs w:val="24"/>
        </w:rPr>
        <w:t>if it is not clear and they have not provided specific evidence you must request a statement of intent showing they are in the UK on a temporary basis. The statement signed and dated by the applicant and assessed on its individual merits</w:t>
      </w:r>
      <w:r w:rsidR="00D46791" w:rsidRPr="00D72A90">
        <w:rPr>
          <w:rFonts w:ascii="Book Antiqua" w:hAnsi="Book Antiqua" w:cs="Arial"/>
          <w:i/>
          <w:sz w:val="24"/>
          <w:szCs w:val="24"/>
        </w:rPr>
        <w:t>’.</w:t>
      </w:r>
    </w:p>
    <w:p w14:paraId="639864FC" w14:textId="2C744A19" w:rsidR="006C0A74" w:rsidRPr="00D72A90" w:rsidRDefault="000C7B15" w:rsidP="006C0A74">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The </w:t>
      </w:r>
      <w:r w:rsidR="00D46791" w:rsidRPr="00D72A90">
        <w:rPr>
          <w:rFonts w:ascii="Book Antiqua" w:hAnsi="Book Antiqua" w:cs="Arial"/>
          <w:sz w:val="24"/>
          <w:szCs w:val="24"/>
        </w:rPr>
        <w:t>refusal letter as identified above</w:t>
      </w:r>
      <w:r w:rsidRPr="00D72A90">
        <w:rPr>
          <w:rFonts w:ascii="Book Antiqua" w:hAnsi="Book Antiqua" w:cs="Arial"/>
          <w:sz w:val="24"/>
          <w:szCs w:val="24"/>
        </w:rPr>
        <w:t xml:space="preserve"> made it </w:t>
      </w:r>
      <w:r w:rsidR="00F2615E" w:rsidRPr="00D72A90">
        <w:rPr>
          <w:rFonts w:ascii="Book Antiqua" w:hAnsi="Book Antiqua" w:cs="Arial"/>
          <w:sz w:val="24"/>
          <w:szCs w:val="24"/>
        </w:rPr>
        <w:t>clear</w:t>
      </w:r>
      <w:r w:rsidRPr="00D72A90">
        <w:rPr>
          <w:rFonts w:ascii="Book Antiqua" w:hAnsi="Book Antiqua" w:cs="Arial"/>
          <w:sz w:val="24"/>
          <w:szCs w:val="24"/>
        </w:rPr>
        <w:t xml:space="preserve"> that it was not considered that the appellants were in the UK on a temporary basis because </w:t>
      </w:r>
      <w:r w:rsidR="00E453C4" w:rsidRPr="00D72A90">
        <w:rPr>
          <w:rFonts w:ascii="Book Antiqua" w:hAnsi="Book Antiqua" w:cs="Arial"/>
          <w:sz w:val="24"/>
          <w:szCs w:val="24"/>
        </w:rPr>
        <w:t>they no longer remained as visitors</w:t>
      </w:r>
      <w:r w:rsidR="006542EE" w:rsidRPr="00D72A90">
        <w:rPr>
          <w:rFonts w:ascii="Book Antiqua" w:hAnsi="Book Antiqua" w:cs="Arial"/>
          <w:sz w:val="24"/>
          <w:szCs w:val="24"/>
        </w:rPr>
        <w:t xml:space="preserve">. </w:t>
      </w:r>
      <w:r w:rsidR="00F2615E" w:rsidRPr="00D72A90">
        <w:rPr>
          <w:rFonts w:ascii="Book Antiqua" w:hAnsi="Book Antiqua" w:cs="Arial"/>
          <w:sz w:val="24"/>
          <w:szCs w:val="24"/>
        </w:rPr>
        <w:t xml:space="preserve"> </w:t>
      </w:r>
      <w:r w:rsidR="00401515" w:rsidRPr="00D72A90">
        <w:rPr>
          <w:rFonts w:ascii="Book Antiqua" w:hAnsi="Book Antiqua" w:cs="Arial"/>
          <w:sz w:val="24"/>
          <w:szCs w:val="24"/>
        </w:rPr>
        <w:t>The question is what is the nature of ‘temporary’</w:t>
      </w:r>
      <w:r w:rsidR="00F16C53" w:rsidRPr="00D72A90">
        <w:rPr>
          <w:rFonts w:ascii="Book Antiqua" w:hAnsi="Book Antiqua" w:cs="Arial"/>
          <w:sz w:val="24"/>
          <w:szCs w:val="24"/>
        </w:rPr>
        <w:t xml:space="preserve">? </w:t>
      </w:r>
      <w:r w:rsidR="00BF47FB" w:rsidRPr="00D72A90">
        <w:rPr>
          <w:rFonts w:ascii="Book Antiqua" w:hAnsi="Book Antiqua" w:cs="Arial"/>
          <w:sz w:val="24"/>
          <w:szCs w:val="24"/>
        </w:rPr>
        <w:t>The guidance</w:t>
      </w:r>
      <w:r w:rsidR="00522539">
        <w:rPr>
          <w:rFonts w:ascii="Book Antiqua" w:hAnsi="Book Antiqua" w:cs="Arial"/>
          <w:sz w:val="24"/>
          <w:szCs w:val="24"/>
        </w:rPr>
        <w:t xml:space="preserve"> </w:t>
      </w:r>
      <w:r w:rsidR="006A7518" w:rsidRPr="00D72A90">
        <w:rPr>
          <w:rFonts w:ascii="Book Antiqua" w:hAnsi="Book Antiqua" w:cs="Arial"/>
          <w:sz w:val="24"/>
          <w:szCs w:val="24"/>
        </w:rPr>
        <w:t xml:space="preserve">also refers </w:t>
      </w:r>
      <w:r w:rsidR="00EA45F1" w:rsidRPr="00D72A90">
        <w:rPr>
          <w:rFonts w:ascii="Book Antiqua" w:hAnsi="Book Antiqua" w:cs="Arial"/>
          <w:sz w:val="24"/>
          <w:szCs w:val="24"/>
        </w:rPr>
        <w:t xml:space="preserve">to applications for permanent residence as requiring applicants to show they had an </w:t>
      </w:r>
      <w:r w:rsidR="00E55B91" w:rsidRPr="00D72A90">
        <w:rPr>
          <w:rFonts w:ascii="Book Antiqua" w:hAnsi="Book Antiqua" w:cs="Arial"/>
          <w:i/>
          <w:sz w:val="24"/>
          <w:szCs w:val="24"/>
        </w:rPr>
        <w:t>‘</w:t>
      </w:r>
      <w:r w:rsidR="00EA45F1" w:rsidRPr="00D72A90">
        <w:rPr>
          <w:rFonts w:ascii="Book Antiqua" w:hAnsi="Book Antiqua" w:cs="Arial"/>
          <w:i/>
          <w:sz w:val="24"/>
          <w:szCs w:val="24"/>
        </w:rPr>
        <w:t>EHIC</w:t>
      </w:r>
      <w:r w:rsidR="00E55B91" w:rsidRPr="00D72A90">
        <w:rPr>
          <w:rFonts w:ascii="Book Antiqua" w:hAnsi="Book Antiqua" w:cs="Arial"/>
          <w:i/>
          <w:sz w:val="24"/>
          <w:szCs w:val="24"/>
        </w:rPr>
        <w:t xml:space="preserve">… </w:t>
      </w:r>
      <w:r w:rsidR="00EA45F1" w:rsidRPr="00D72A90">
        <w:rPr>
          <w:rFonts w:ascii="Book Antiqua" w:hAnsi="Book Antiqua" w:cs="Arial"/>
          <w:i/>
          <w:sz w:val="24"/>
          <w:szCs w:val="24"/>
        </w:rPr>
        <w:t xml:space="preserve"> for the whole of their 5 years </w:t>
      </w:r>
      <w:r w:rsidR="00DB2445" w:rsidRPr="00D72A90">
        <w:rPr>
          <w:rFonts w:ascii="Book Antiqua" w:hAnsi="Book Antiqua" w:cs="Arial"/>
          <w:i/>
          <w:sz w:val="24"/>
          <w:szCs w:val="24"/>
        </w:rPr>
        <w:t xml:space="preserve">continuous </w:t>
      </w:r>
      <w:r w:rsidR="00EA45F1" w:rsidRPr="00D72A90">
        <w:rPr>
          <w:rFonts w:ascii="Book Antiqua" w:hAnsi="Book Antiqua" w:cs="Arial"/>
          <w:i/>
          <w:sz w:val="24"/>
          <w:szCs w:val="24"/>
        </w:rPr>
        <w:t>residence</w:t>
      </w:r>
      <w:r w:rsidR="00DB2445" w:rsidRPr="00D72A90">
        <w:rPr>
          <w:rFonts w:ascii="Book Antiqua" w:hAnsi="Book Antiqua" w:cs="Arial"/>
          <w:i/>
          <w:sz w:val="24"/>
          <w:szCs w:val="24"/>
        </w:rPr>
        <w:t>’</w:t>
      </w:r>
      <w:r w:rsidR="00DB2445" w:rsidRPr="00D72A90">
        <w:rPr>
          <w:rFonts w:ascii="Book Antiqua" w:hAnsi="Book Antiqua" w:cs="Arial"/>
          <w:sz w:val="24"/>
          <w:szCs w:val="24"/>
        </w:rPr>
        <w:t xml:space="preserve">, </w:t>
      </w:r>
      <w:r w:rsidR="00EA45F1" w:rsidRPr="00D72A90">
        <w:rPr>
          <w:rFonts w:ascii="Book Antiqua" w:hAnsi="Book Antiqua" w:cs="Arial"/>
          <w:sz w:val="24"/>
          <w:szCs w:val="24"/>
        </w:rPr>
        <w:t>which</w:t>
      </w:r>
      <w:r w:rsidR="00AD3A80" w:rsidRPr="00D72A90">
        <w:rPr>
          <w:rFonts w:ascii="Book Antiqua" w:hAnsi="Book Antiqua" w:cs="Arial"/>
          <w:sz w:val="24"/>
          <w:szCs w:val="24"/>
        </w:rPr>
        <w:t xml:space="preserve"> </w:t>
      </w:r>
      <w:r w:rsidR="00EA45F1" w:rsidRPr="00D72A90">
        <w:rPr>
          <w:rFonts w:ascii="Book Antiqua" w:hAnsi="Book Antiqua" w:cs="Arial"/>
          <w:sz w:val="24"/>
          <w:szCs w:val="24"/>
        </w:rPr>
        <w:t>i</w:t>
      </w:r>
      <w:r w:rsidR="005D7251" w:rsidRPr="00D72A90">
        <w:rPr>
          <w:rFonts w:ascii="Book Antiqua" w:hAnsi="Book Antiqua" w:cs="Arial"/>
          <w:sz w:val="24"/>
          <w:szCs w:val="24"/>
        </w:rPr>
        <w:t xml:space="preserve">ndicates that an applicant can be here for </w:t>
      </w:r>
      <w:r w:rsidR="005D7251" w:rsidRPr="00D72A90">
        <w:rPr>
          <w:rFonts w:ascii="Book Antiqua" w:hAnsi="Book Antiqua" w:cs="Arial"/>
          <w:i/>
          <w:sz w:val="24"/>
          <w:szCs w:val="24"/>
        </w:rPr>
        <w:t>5 years</w:t>
      </w:r>
      <w:r w:rsidR="005D7251" w:rsidRPr="00D72A90">
        <w:rPr>
          <w:rFonts w:ascii="Book Antiqua" w:hAnsi="Book Antiqua" w:cs="Arial"/>
          <w:sz w:val="24"/>
          <w:szCs w:val="24"/>
        </w:rPr>
        <w:t xml:space="preserve"> in a temporary capacity.</w:t>
      </w:r>
      <w:r w:rsidR="00FA417E" w:rsidRPr="00D72A90">
        <w:rPr>
          <w:rFonts w:ascii="Book Antiqua" w:hAnsi="Book Antiqua" w:cs="Arial"/>
          <w:sz w:val="24"/>
          <w:szCs w:val="24"/>
        </w:rPr>
        <w:t xml:space="preserve">  </w:t>
      </w:r>
      <w:r w:rsidR="002162EF">
        <w:rPr>
          <w:rFonts w:ascii="Book Antiqua" w:hAnsi="Book Antiqua" w:cs="Arial"/>
          <w:sz w:val="24"/>
          <w:szCs w:val="24"/>
        </w:rPr>
        <w:t xml:space="preserve"> The issue on the intention of the length of the visit in my view is not material for the following reason.</w:t>
      </w:r>
    </w:p>
    <w:p w14:paraId="66804445" w14:textId="621BDC73" w:rsidR="00EE25DE" w:rsidRPr="00D72A90" w:rsidRDefault="00EE25DE" w:rsidP="006C0A74">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The </w:t>
      </w:r>
      <w:r w:rsidR="00C33D8D" w:rsidRPr="00D72A90">
        <w:rPr>
          <w:rFonts w:ascii="Book Antiqua" w:hAnsi="Book Antiqua" w:cs="Arial"/>
          <w:sz w:val="24"/>
          <w:szCs w:val="24"/>
        </w:rPr>
        <w:t>‘</w:t>
      </w:r>
      <w:r w:rsidR="000D75E1" w:rsidRPr="00D72A90">
        <w:rPr>
          <w:rFonts w:ascii="Book Antiqua" w:hAnsi="Book Antiqua" w:cs="Arial"/>
          <w:sz w:val="24"/>
          <w:szCs w:val="24"/>
        </w:rPr>
        <w:t>European Economic Are</w:t>
      </w:r>
      <w:r w:rsidR="00C33D8D" w:rsidRPr="00D72A90">
        <w:rPr>
          <w:rFonts w:ascii="Book Antiqua" w:hAnsi="Book Antiqua" w:cs="Arial"/>
          <w:sz w:val="24"/>
          <w:szCs w:val="24"/>
        </w:rPr>
        <w:t>a</w:t>
      </w:r>
      <w:r w:rsidR="000D75E1" w:rsidRPr="00D72A90">
        <w:rPr>
          <w:rFonts w:ascii="Book Antiqua" w:hAnsi="Book Antiqua" w:cs="Arial"/>
          <w:sz w:val="24"/>
          <w:szCs w:val="24"/>
        </w:rPr>
        <w:t xml:space="preserve"> </w:t>
      </w:r>
      <w:r w:rsidR="003B0F91" w:rsidRPr="00D72A90">
        <w:rPr>
          <w:rFonts w:ascii="Book Antiqua" w:hAnsi="Book Antiqua" w:cs="Arial"/>
          <w:sz w:val="24"/>
          <w:szCs w:val="24"/>
        </w:rPr>
        <w:t>Nationals: Qualified</w:t>
      </w:r>
      <w:r w:rsidR="000D75E1" w:rsidRPr="00D72A90">
        <w:rPr>
          <w:rFonts w:ascii="Book Antiqua" w:hAnsi="Book Antiqua" w:cs="Arial"/>
          <w:sz w:val="24"/>
          <w:szCs w:val="24"/>
        </w:rPr>
        <w:t xml:space="preserve"> </w:t>
      </w:r>
      <w:r w:rsidR="00C33D8D" w:rsidRPr="00D72A90">
        <w:rPr>
          <w:rFonts w:ascii="Book Antiqua" w:hAnsi="Book Antiqua" w:cs="Arial"/>
          <w:sz w:val="24"/>
          <w:szCs w:val="24"/>
        </w:rPr>
        <w:t>P</w:t>
      </w:r>
      <w:r w:rsidR="000D75E1" w:rsidRPr="00D72A90">
        <w:rPr>
          <w:rFonts w:ascii="Book Antiqua" w:hAnsi="Book Antiqua" w:cs="Arial"/>
          <w:sz w:val="24"/>
          <w:szCs w:val="24"/>
        </w:rPr>
        <w:t>ersons</w:t>
      </w:r>
      <w:r w:rsidR="00C33D8D" w:rsidRPr="00D72A90">
        <w:rPr>
          <w:rFonts w:ascii="Book Antiqua" w:hAnsi="Book Antiqua" w:cs="Arial"/>
          <w:sz w:val="24"/>
          <w:szCs w:val="24"/>
        </w:rPr>
        <w:t xml:space="preserve">’ </w:t>
      </w:r>
      <w:r w:rsidRPr="00D72A90">
        <w:rPr>
          <w:rFonts w:ascii="Book Antiqua" w:hAnsi="Book Antiqua" w:cs="Arial"/>
          <w:sz w:val="24"/>
          <w:szCs w:val="24"/>
        </w:rPr>
        <w:t>guidance</w:t>
      </w:r>
      <w:r w:rsidR="001D5463" w:rsidRPr="00D72A90">
        <w:rPr>
          <w:rFonts w:ascii="Book Antiqua" w:hAnsi="Book Antiqua" w:cs="Arial"/>
          <w:sz w:val="24"/>
          <w:szCs w:val="24"/>
        </w:rPr>
        <w:t xml:space="preserve"> sets out the provisions in relation to medical insurance and states</w:t>
      </w:r>
      <w:r w:rsidRPr="00D72A90">
        <w:rPr>
          <w:rFonts w:ascii="Book Antiqua" w:hAnsi="Book Antiqua" w:cs="Arial"/>
          <w:sz w:val="24"/>
          <w:szCs w:val="24"/>
        </w:rPr>
        <w:t xml:space="preserve">, </w:t>
      </w:r>
    </w:p>
    <w:p w14:paraId="597F11E6" w14:textId="501F57B3" w:rsidR="004636E2" w:rsidRPr="00D72A90" w:rsidRDefault="006079D2" w:rsidP="00B42F34">
      <w:pPr>
        <w:spacing w:before="120" w:after="0" w:line="240" w:lineRule="auto"/>
        <w:ind w:left="1134"/>
        <w:jc w:val="both"/>
        <w:rPr>
          <w:rFonts w:ascii="Book Antiqua" w:hAnsi="Book Antiqua" w:cs="Arial"/>
          <w:i/>
          <w:sz w:val="24"/>
          <w:szCs w:val="24"/>
        </w:rPr>
      </w:pPr>
      <w:r w:rsidRPr="00D72A90">
        <w:rPr>
          <w:rFonts w:ascii="Book Antiqua" w:hAnsi="Book Antiqua" w:cs="Arial"/>
          <w:i/>
          <w:sz w:val="24"/>
          <w:szCs w:val="24"/>
        </w:rPr>
        <w:lastRenderedPageBreak/>
        <w:t>‘</w:t>
      </w:r>
      <w:r w:rsidR="00D76C4D" w:rsidRPr="00D72A90">
        <w:rPr>
          <w:rFonts w:ascii="Book Antiqua" w:hAnsi="Book Antiqua" w:cs="Arial"/>
          <w:i/>
          <w:sz w:val="24"/>
          <w:szCs w:val="24"/>
        </w:rPr>
        <w:t xml:space="preserve">Applications for a registration certificate or a residence card - EHIC is provided  </w:t>
      </w:r>
    </w:p>
    <w:p w14:paraId="36C7A025" w14:textId="0D0DD15C" w:rsidR="00D76C4D" w:rsidRPr="00D72A90" w:rsidRDefault="00D76C4D" w:rsidP="00B42F34">
      <w:pPr>
        <w:spacing w:before="120" w:after="0" w:line="240" w:lineRule="auto"/>
        <w:ind w:left="1134"/>
        <w:jc w:val="both"/>
        <w:rPr>
          <w:rFonts w:ascii="Book Antiqua" w:hAnsi="Book Antiqua" w:cs="Arial"/>
          <w:i/>
          <w:sz w:val="24"/>
          <w:szCs w:val="24"/>
        </w:rPr>
      </w:pPr>
      <w:r w:rsidRPr="00D72A90">
        <w:rPr>
          <w:rFonts w:ascii="Book Antiqua" w:hAnsi="Book Antiqua" w:cs="Arial"/>
          <w:i/>
          <w:sz w:val="24"/>
          <w:szCs w:val="24"/>
        </w:rPr>
        <w:t>If the applicant provides a valid EHIC as evidence of CSI</w:t>
      </w:r>
      <w:r w:rsidRPr="00D72A90">
        <w:rPr>
          <w:rFonts w:ascii="Book Antiqua" w:hAnsi="Book Antiqua" w:cs="Arial"/>
          <w:i/>
          <w:sz w:val="24"/>
          <w:szCs w:val="24"/>
          <w:u w:val="single"/>
        </w:rPr>
        <w:t>, it must have been issued by a member state</w:t>
      </w:r>
      <w:r w:rsidRPr="00D72A90">
        <w:rPr>
          <w:rFonts w:ascii="Book Antiqua" w:hAnsi="Book Antiqua" w:cs="Arial"/>
          <w:i/>
          <w:sz w:val="24"/>
          <w:szCs w:val="24"/>
        </w:rPr>
        <w:t xml:space="preserve"> other than the UK, because the member state that issued the card will cover the cost of treatment. </w:t>
      </w:r>
    </w:p>
    <w:p w14:paraId="23577566" w14:textId="76052F4D" w:rsidR="00D76C4D" w:rsidRPr="00D72A90" w:rsidRDefault="00D76C4D" w:rsidP="00B42F34">
      <w:pPr>
        <w:spacing w:before="120" w:after="0" w:line="240" w:lineRule="auto"/>
        <w:ind w:left="1134"/>
        <w:jc w:val="both"/>
        <w:rPr>
          <w:rFonts w:ascii="Book Antiqua" w:hAnsi="Book Antiqua" w:cs="Arial"/>
          <w:i/>
          <w:sz w:val="24"/>
          <w:szCs w:val="24"/>
        </w:rPr>
      </w:pPr>
      <w:r w:rsidRPr="00D72A90">
        <w:rPr>
          <w:rFonts w:ascii="Book Antiqua" w:hAnsi="Book Antiqua" w:cs="Arial"/>
          <w:i/>
          <w:sz w:val="24"/>
          <w:szCs w:val="24"/>
        </w:rPr>
        <w:t>You can only accept the valid EHIC as CSI if the applicant is living in the UK on a temporary basis</w:t>
      </w:r>
      <w:r w:rsidR="006079D2" w:rsidRPr="00D72A90">
        <w:rPr>
          <w:rFonts w:ascii="Book Antiqua" w:hAnsi="Book Antiqua" w:cs="Arial"/>
          <w:i/>
          <w:sz w:val="24"/>
          <w:szCs w:val="24"/>
        </w:rPr>
        <w:t>’</w:t>
      </w:r>
      <w:r w:rsidRPr="00D72A90">
        <w:rPr>
          <w:rFonts w:ascii="Book Antiqua" w:hAnsi="Book Antiqua" w:cs="Arial"/>
          <w:i/>
          <w:sz w:val="24"/>
          <w:szCs w:val="24"/>
        </w:rPr>
        <w:t xml:space="preserve">.  </w:t>
      </w:r>
    </w:p>
    <w:p w14:paraId="242F1A5C" w14:textId="3E130D18" w:rsidR="00B6235F" w:rsidRPr="00D72A90" w:rsidRDefault="004936F9" w:rsidP="00B6235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Mr Rahman contended the card produced was an EHIC card but it was not issued by the German State.  </w:t>
      </w:r>
      <w:r w:rsidR="00FE404D" w:rsidRPr="00D72A90">
        <w:rPr>
          <w:rFonts w:ascii="Book Antiqua" w:hAnsi="Book Antiqua" w:cs="Arial"/>
          <w:sz w:val="24"/>
          <w:szCs w:val="24"/>
        </w:rPr>
        <w:t xml:space="preserve">The judge found, as set out above, that the health card was issued by a German company AOK.  There was no evidence that the company was an agent for the state. </w:t>
      </w:r>
      <w:r w:rsidR="004C79C6" w:rsidRPr="00D72A90">
        <w:rPr>
          <w:rFonts w:ascii="Book Antiqua" w:hAnsi="Book Antiqua" w:cs="Arial"/>
          <w:sz w:val="24"/>
          <w:szCs w:val="24"/>
        </w:rPr>
        <w:t xml:space="preserve">  </w:t>
      </w:r>
      <w:r w:rsidR="00242D38" w:rsidRPr="00D72A90">
        <w:rPr>
          <w:rFonts w:ascii="Book Antiqua" w:hAnsi="Book Antiqua" w:cs="Arial"/>
          <w:sz w:val="24"/>
          <w:szCs w:val="24"/>
        </w:rPr>
        <w:t xml:space="preserve">Without an EHIC card there is no reciprocal arrangement. </w:t>
      </w:r>
      <w:r w:rsidR="00B6235F" w:rsidRPr="00D72A90">
        <w:rPr>
          <w:rFonts w:ascii="Book Antiqua" w:hAnsi="Book Antiqua" w:cs="Arial"/>
          <w:sz w:val="24"/>
          <w:szCs w:val="24"/>
        </w:rPr>
        <w:t>As the judge found there was no evidence of reimbursement for NHS care.  The point made by the guidance is that there must be a valid EHIC issued by an EEA member state other that the UK so that claims may be made.</w:t>
      </w:r>
    </w:p>
    <w:p w14:paraId="1DFEE1FE" w14:textId="23FF5EA4" w:rsidR="00D76C4D" w:rsidRPr="00D72A90" w:rsidRDefault="004C79C6" w:rsidP="006C0A74">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As such the judge, rightly, proceeded to consider the extent of the medical insurance cover. </w:t>
      </w:r>
    </w:p>
    <w:p w14:paraId="5A9EF244" w14:textId="18B71109" w:rsidR="005A280D" w:rsidRPr="00B42F34" w:rsidRDefault="004C79C6" w:rsidP="006C0A74">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sz w:val="24"/>
          <w:szCs w:val="24"/>
        </w:rPr>
        <w:t>With regard health insurance t</w:t>
      </w:r>
      <w:r w:rsidR="00BE4FEC" w:rsidRPr="00D72A90">
        <w:rPr>
          <w:rFonts w:ascii="Book Antiqua" w:hAnsi="Book Antiqua"/>
          <w:sz w:val="24"/>
          <w:szCs w:val="24"/>
        </w:rPr>
        <w:t>he key provision</w:t>
      </w:r>
      <w:r w:rsidRPr="00D72A90">
        <w:rPr>
          <w:rFonts w:ascii="Book Antiqua" w:hAnsi="Book Antiqua"/>
          <w:sz w:val="24"/>
          <w:szCs w:val="24"/>
        </w:rPr>
        <w:t>s</w:t>
      </w:r>
      <w:r w:rsidR="009F4CE4">
        <w:rPr>
          <w:rFonts w:ascii="Book Antiqua" w:hAnsi="Book Antiqua"/>
          <w:sz w:val="24"/>
          <w:szCs w:val="24"/>
        </w:rPr>
        <w:t>, and which underpin the regulations,</w:t>
      </w:r>
      <w:r w:rsidR="00BE4FEC" w:rsidRPr="00D72A90">
        <w:rPr>
          <w:rFonts w:ascii="Book Antiqua" w:hAnsi="Book Antiqua"/>
          <w:sz w:val="24"/>
          <w:szCs w:val="24"/>
        </w:rPr>
        <w:t xml:space="preserve"> </w:t>
      </w:r>
      <w:r w:rsidR="005A280D" w:rsidRPr="00D72A90">
        <w:rPr>
          <w:rFonts w:ascii="Book Antiqua" w:hAnsi="Book Antiqua"/>
          <w:sz w:val="24"/>
          <w:szCs w:val="24"/>
        </w:rPr>
        <w:t xml:space="preserve">are found </w:t>
      </w:r>
      <w:r w:rsidR="00BE4FEC" w:rsidRPr="00D72A90">
        <w:rPr>
          <w:rFonts w:ascii="Book Antiqua" w:hAnsi="Book Antiqua"/>
          <w:sz w:val="24"/>
          <w:szCs w:val="24"/>
        </w:rPr>
        <w:t xml:space="preserve">within </w:t>
      </w:r>
      <w:bookmarkStart w:id="2" w:name="para3"/>
      <w:r w:rsidR="002F1A87" w:rsidRPr="00D72A90">
        <w:rPr>
          <w:rFonts w:ascii="Book Antiqua" w:hAnsi="Book Antiqua"/>
          <w:sz w:val="24"/>
          <w:szCs w:val="24"/>
        </w:rPr>
        <w:t>the Directive 2004/38/EC ("the Directive")</w:t>
      </w:r>
      <w:r w:rsidR="006C0A74" w:rsidRPr="00D72A90">
        <w:rPr>
          <w:rFonts w:ascii="Book Antiqua" w:hAnsi="Book Antiqua"/>
          <w:sz w:val="24"/>
          <w:szCs w:val="24"/>
        </w:rPr>
        <w:t>.  T</w:t>
      </w:r>
      <w:r w:rsidR="005A280D" w:rsidRPr="00D72A90">
        <w:rPr>
          <w:rFonts w:ascii="Book Antiqua" w:hAnsi="Book Antiqua"/>
          <w:sz w:val="24"/>
          <w:szCs w:val="24"/>
        </w:rPr>
        <w:t xml:space="preserve">he Recital at </w:t>
      </w:r>
      <w:r w:rsidR="00553C92" w:rsidRPr="00D72A90">
        <w:rPr>
          <w:rFonts w:ascii="Book Antiqua" w:hAnsi="Book Antiqua"/>
          <w:sz w:val="24"/>
          <w:szCs w:val="24"/>
        </w:rPr>
        <w:t xml:space="preserve">10 </w:t>
      </w:r>
      <w:r w:rsidR="00995F46" w:rsidRPr="00D72A90">
        <w:rPr>
          <w:rFonts w:ascii="Book Antiqua" w:hAnsi="Book Antiqua"/>
          <w:sz w:val="24"/>
          <w:szCs w:val="24"/>
        </w:rPr>
        <w:t xml:space="preserve">is important and </w:t>
      </w:r>
      <w:r w:rsidR="00553C92" w:rsidRPr="00D72A90">
        <w:rPr>
          <w:rFonts w:ascii="Book Antiqua" w:hAnsi="Book Antiqua"/>
          <w:sz w:val="24"/>
          <w:szCs w:val="24"/>
        </w:rPr>
        <w:t>provides</w:t>
      </w:r>
      <w:r w:rsidR="006C0A74" w:rsidRPr="00D72A90">
        <w:rPr>
          <w:rFonts w:ascii="Book Antiqua" w:hAnsi="Book Antiqua"/>
          <w:sz w:val="24"/>
          <w:szCs w:val="24"/>
        </w:rPr>
        <w:t xml:space="preserve"> as follows:</w:t>
      </w:r>
    </w:p>
    <w:p w14:paraId="4215565E" w14:textId="467FB2D0" w:rsidR="00B42F34" w:rsidRPr="00D72A90" w:rsidRDefault="00B42F34" w:rsidP="00B42F34">
      <w:pPr>
        <w:spacing w:before="120" w:after="120" w:line="240" w:lineRule="auto"/>
        <w:ind w:left="1134"/>
        <w:jc w:val="both"/>
        <w:rPr>
          <w:rFonts w:ascii="Book Antiqua" w:hAnsi="Book Antiqua" w:cs="Arial"/>
          <w:sz w:val="24"/>
          <w:szCs w:val="24"/>
        </w:rPr>
      </w:pPr>
      <w:r w:rsidRPr="00D72A90">
        <w:rPr>
          <w:rFonts w:ascii="Book Antiqua" w:hAnsi="Book Antiqua"/>
          <w:i/>
          <w:sz w:val="24"/>
          <w:szCs w:val="24"/>
        </w:rPr>
        <w:t>(10)</w:t>
      </w:r>
      <w:r>
        <w:rPr>
          <w:rFonts w:ascii="Book Antiqua" w:hAnsi="Book Antiqua"/>
          <w:i/>
          <w:sz w:val="24"/>
          <w:szCs w:val="24"/>
        </w:rPr>
        <w:t xml:space="preserve"> </w:t>
      </w:r>
      <w:r w:rsidRPr="00D72A90">
        <w:rPr>
          <w:rFonts w:ascii="Book Antiqua" w:hAnsi="Book Antiqua"/>
          <w:i/>
          <w:sz w:val="24"/>
          <w:szCs w:val="24"/>
        </w:rPr>
        <w:t>Persons exercising their right of residence should not, however, become an unreasonable burden on the social assistance system of the host Member State during an initial period of residence. Therefore, the right of residence for Union citizens and their family members for periods in excess of three months should be subject to conditions.</w:t>
      </w:r>
    </w:p>
    <w:bookmarkEnd w:id="2"/>
    <w:p w14:paraId="2C08160A" w14:textId="381DFEBB" w:rsidR="00CF3675" w:rsidRPr="00D72A90" w:rsidRDefault="000807C4" w:rsidP="00B00841">
      <w:pPr>
        <w:ind w:left="567"/>
        <w:rPr>
          <w:rFonts w:ascii="Book Antiqua" w:hAnsi="Book Antiqua"/>
          <w:sz w:val="24"/>
          <w:szCs w:val="24"/>
        </w:rPr>
      </w:pPr>
      <w:r w:rsidRPr="00D72A90">
        <w:rPr>
          <w:rFonts w:ascii="Book Antiqua" w:hAnsi="Book Antiqua"/>
          <w:sz w:val="24"/>
          <w:szCs w:val="24"/>
        </w:rPr>
        <w:t xml:space="preserve">The relevant provision within the Directive </w:t>
      </w:r>
      <w:r w:rsidR="00FF6C19" w:rsidRPr="00D72A90">
        <w:rPr>
          <w:rFonts w:ascii="Book Antiqua" w:hAnsi="Book Antiqua"/>
          <w:sz w:val="24"/>
          <w:szCs w:val="24"/>
        </w:rPr>
        <w:t xml:space="preserve">for those relying on </w:t>
      </w:r>
      <w:r w:rsidR="008F0107" w:rsidRPr="00D72A90">
        <w:rPr>
          <w:rFonts w:ascii="Book Antiqua" w:hAnsi="Book Antiqua"/>
          <w:sz w:val="24"/>
          <w:szCs w:val="24"/>
        </w:rPr>
        <w:t>self-sufficiency</w:t>
      </w:r>
      <w:r w:rsidR="00FF6C19" w:rsidRPr="00D72A90">
        <w:rPr>
          <w:rFonts w:ascii="Book Antiqua" w:hAnsi="Book Antiqua"/>
          <w:sz w:val="24"/>
          <w:szCs w:val="24"/>
        </w:rPr>
        <w:t xml:space="preserve"> </w:t>
      </w:r>
      <w:r w:rsidR="001750D7" w:rsidRPr="00D72A90">
        <w:rPr>
          <w:rFonts w:ascii="Book Antiqua" w:hAnsi="Book Antiqua"/>
          <w:sz w:val="24"/>
          <w:szCs w:val="24"/>
        </w:rPr>
        <w:t>is Article 7</w:t>
      </w:r>
      <w:r w:rsidR="00E57AF1" w:rsidRPr="00D72A90">
        <w:rPr>
          <w:rFonts w:ascii="Book Antiqua" w:hAnsi="Book Antiqua"/>
          <w:sz w:val="24"/>
          <w:szCs w:val="24"/>
        </w:rPr>
        <w:t xml:space="preserve"> which identifies that </w:t>
      </w:r>
    </w:p>
    <w:p w14:paraId="2858CDF9" w14:textId="28CBA39E" w:rsidR="00CF3675" w:rsidRDefault="00CF3675" w:rsidP="00B42F34">
      <w:pPr>
        <w:tabs>
          <w:tab w:val="left" w:pos="1701"/>
        </w:tabs>
        <w:spacing w:before="120" w:after="120" w:line="240" w:lineRule="auto"/>
        <w:ind w:left="1134"/>
        <w:rPr>
          <w:rFonts w:ascii="Book Antiqua" w:hAnsi="Book Antiqua"/>
          <w:i/>
          <w:sz w:val="24"/>
          <w:szCs w:val="24"/>
        </w:rPr>
      </w:pPr>
      <w:r w:rsidRPr="00D72A90">
        <w:rPr>
          <w:rFonts w:ascii="Book Antiqua" w:hAnsi="Book Antiqua"/>
          <w:i/>
          <w:sz w:val="24"/>
          <w:szCs w:val="24"/>
        </w:rPr>
        <w:t>1.</w:t>
      </w:r>
      <w:r w:rsidR="00B42F34">
        <w:rPr>
          <w:rFonts w:ascii="Book Antiqua" w:hAnsi="Book Antiqua"/>
          <w:i/>
          <w:sz w:val="24"/>
          <w:szCs w:val="24"/>
        </w:rPr>
        <w:tab/>
      </w:r>
      <w:r w:rsidRPr="00D72A90">
        <w:rPr>
          <w:rFonts w:ascii="Book Antiqua" w:hAnsi="Book Antiqua"/>
          <w:i/>
          <w:sz w:val="24"/>
          <w:szCs w:val="24"/>
        </w:rPr>
        <w:t xml:space="preserve">All Union citizens shall have the right of residence on the territory of another Member State for a period of longer than three months if they: </w:t>
      </w:r>
    </w:p>
    <w:p w14:paraId="2750BFBD" w14:textId="12BB83AA" w:rsidR="00B42F34" w:rsidRDefault="00B42F34" w:rsidP="00B42F34">
      <w:pPr>
        <w:tabs>
          <w:tab w:val="left" w:pos="2268"/>
        </w:tabs>
        <w:spacing w:before="120" w:after="120" w:line="240" w:lineRule="auto"/>
        <w:ind w:left="1701"/>
        <w:rPr>
          <w:rFonts w:ascii="Book Antiqua" w:hAnsi="Book Antiqua"/>
          <w:i/>
          <w:sz w:val="24"/>
          <w:szCs w:val="24"/>
        </w:rPr>
      </w:pPr>
      <w:r w:rsidRPr="00D72A90">
        <w:rPr>
          <w:rFonts w:ascii="Book Antiqua" w:hAnsi="Book Antiqua"/>
          <w:i/>
          <w:sz w:val="24"/>
          <w:szCs w:val="24"/>
        </w:rPr>
        <w:t>(a)</w:t>
      </w:r>
      <w:r>
        <w:rPr>
          <w:rFonts w:ascii="Book Antiqua" w:hAnsi="Book Antiqua"/>
          <w:i/>
          <w:sz w:val="24"/>
          <w:szCs w:val="24"/>
        </w:rPr>
        <w:tab/>
      </w:r>
      <w:r w:rsidRPr="00D72A90">
        <w:rPr>
          <w:rFonts w:ascii="Book Antiqua" w:hAnsi="Book Antiqua"/>
          <w:i/>
          <w:sz w:val="24"/>
          <w:szCs w:val="24"/>
        </w:rPr>
        <w:t>are workers or self-employed persons in the host Member State; or</w:t>
      </w:r>
    </w:p>
    <w:p w14:paraId="1C3453F1" w14:textId="13529945" w:rsidR="00B42F34" w:rsidRPr="00D72A90" w:rsidRDefault="00B42F34" w:rsidP="00B42F34">
      <w:pPr>
        <w:tabs>
          <w:tab w:val="left" w:pos="2268"/>
        </w:tabs>
        <w:spacing w:before="120" w:after="120" w:line="240" w:lineRule="auto"/>
        <w:ind w:left="1701"/>
        <w:rPr>
          <w:rFonts w:ascii="Book Antiqua" w:hAnsi="Book Antiqua"/>
          <w:i/>
          <w:sz w:val="24"/>
          <w:szCs w:val="24"/>
        </w:rPr>
      </w:pPr>
      <w:r w:rsidRPr="00D72A90">
        <w:rPr>
          <w:rFonts w:ascii="Book Antiqua" w:hAnsi="Book Antiqua"/>
          <w:i/>
          <w:sz w:val="24"/>
          <w:szCs w:val="24"/>
        </w:rPr>
        <w:t>(b)</w:t>
      </w:r>
      <w:r>
        <w:rPr>
          <w:rFonts w:ascii="Book Antiqua" w:hAnsi="Book Antiqua"/>
          <w:i/>
          <w:sz w:val="24"/>
          <w:szCs w:val="24"/>
        </w:rPr>
        <w:tab/>
      </w:r>
      <w:r w:rsidRPr="00D72A90">
        <w:rPr>
          <w:rFonts w:ascii="Book Antiqua" w:hAnsi="Book Antiqua"/>
          <w:i/>
          <w:sz w:val="24"/>
          <w:szCs w:val="24"/>
        </w:rPr>
        <w:t xml:space="preserve">‘have sufficient resources for themselves and their family members not to become a burden on the social assistance system of the host Member State during their period of residence </w:t>
      </w:r>
      <w:r w:rsidRPr="00D72A90">
        <w:rPr>
          <w:rFonts w:ascii="Book Antiqua" w:hAnsi="Book Antiqua"/>
          <w:b/>
          <w:i/>
          <w:sz w:val="24"/>
          <w:szCs w:val="24"/>
          <w:u w:val="single"/>
        </w:rPr>
        <w:t>and</w:t>
      </w:r>
      <w:r w:rsidRPr="00D72A90">
        <w:rPr>
          <w:rFonts w:ascii="Book Antiqua" w:hAnsi="Book Antiqua"/>
          <w:i/>
          <w:sz w:val="24"/>
          <w:szCs w:val="24"/>
        </w:rPr>
        <w:t xml:space="preserve"> have comprehensive sickness insurance cover in the host Member State; or…’</w:t>
      </w:r>
    </w:p>
    <w:p w14:paraId="0AA284D8" w14:textId="62AF6BFA" w:rsidR="003F48CE" w:rsidRPr="00D72A90" w:rsidRDefault="00CD4B47" w:rsidP="00EB2AB6">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As explained in </w:t>
      </w:r>
      <w:r w:rsidRPr="00D72A90">
        <w:rPr>
          <w:rFonts w:ascii="Book Antiqua" w:hAnsi="Book Antiqua" w:cs="Arial"/>
          <w:b/>
          <w:sz w:val="24"/>
          <w:szCs w:val="24"/>
          <w:u w:val="single"/>
        </w:rPr>
        <w:t>Ahmad</w:t>
      </w:r>
      <w:r w:rsidR="00EB2AB6" w:rsidRPr="00D72A90">
        <w:rPr>
          <w:rFonts w:ascii="Book Antiqua" w:hAnsi="Book Antiqua" w:cs="Arial"/>
          <w:sz w:val="24"/>
          <w:szCs w:val="24"/>
        </w:rPr>
        <w:t xml:space="preserve"> a</w:t>
      </w:r>
      <w:r w:rsidR="003F48CE" w:rsidRPr="00D72A90">
        <w:rPr>
          <w:rFonts w:ascii="Book Antiqua" w:hAnsi="Book Antiqua" w:cs="Arial"/>
          <w:sz w:val="24"/>
          <w:szCs w:val="24"/>
        </w:rPr>
        <w:t xml:space="preserve">t [22]  </w:t>
      </w:r>
    </w:p>
    <w:p w14:paraId="7F12E914" w14:textId="267F0FDD" w:rsidR="003F48CE" w:rsidRPr="00D72A90" w:rsidRDefault="008C4DC5" w:rsidP="008C4DC5">
      <w:pPr>
        <w:spacing w:before="120" w:after="120" w:line="240" w:lineRule="auto"/>
        <w:ind w:left="1134"/>
        <w:jc w:val="both"/>
        <w:rPr>
          <w:rFonts w:ascii="Book Antiqua" w:eastAsia="Times New Roman" w:hAnsi="Book Antiqua" w:cs="Times New Roman"/>
          <w:i/>
          <w:sz w:val="24"/>
          <w:szCs w:val="24"/>
          <w:lang w:eastAsia="en-GB"/>
        </w:rPr>
      </w:pPr>
      <w:bookmarkStart w:id="3" w:name="para22"/>
      <w:r>
        <w:rPr>
          <w:rFonts w:ascii="Book Antiqua" w:eastAsia="Times New Roman" w:hAnsi="Book Antiqua" w:cs="Times New Roman"/>
          <w:i/>
          <w:sz w:val="24"/>
          <w:szCs w:val="24"/>
          <w:lang w:eastAsia="en-GB"/>
        </w:rPr>
        <w:t>“</w:t>
      </w:r>
      <w:r w:rsidR="003F48CE" w:rsidRPr="00D72A90">
        <w:rPr>
          <w:rFonts w:ascii="Book Antiqua" w:eastAsia="Times New Roman" w:hAnsi="Book Antiqua" w:cs="Times New Roman"/>
          <w:i/>
          <w:sz w:val="24"/>
          <w:szCs w:val="24"/>
          <w:lang w:eastAsia="en-GB"/>
        </w:rPr>
        <w:t>Buxton LJ disposed of the argument in the following terms ([10]</w:t>
      </w:r>
      <w:proofErr w:type="gramStart"/>
      <w:r w:rsidR="003F48CE" w:rsidRPr="00D72A90">
        <w:rPr>
          <w:rFonts w:ascii="Book Antiqua" w:eastAsia="Times New Roman" w:hAnsi="Book Antiqua" w:cs="Times New Roman"/>
          <w:i/>
          <w:sz w:val="24"/>
          <w:szCs w:val="24"/>
          <w:lang w:eastAsia="en-GB"/>
        </w:rPr>
        <w:t>-[</w:t>
      </w:r>
      <w:proofErr w:type="gramEnd"/>
      <w:r w:rsidR="003F48CE" w:rsidRPr="00D72A90">
        <w:rPr>
          <w:rFonts w:ascii="Book Antiqua" w:eastAsia="Times New Roman" w:hAnsi="Book Antiqua" w:cs="Times New Roman"/>
          <w:i/>
          <w:sz w:val="24"/>
          <w:szCs w:val="24"/>
          <w:lang w:eastAsia="en-GB"/>
        </w:rPr>
        <w:t xml:space="preserve">11]): </w:t>
      </w:r>
      <w:bookmarkEnd w:id="3"/>
    </w:p>
    <w:p w14:paraId="1384AB84" w14:textId="78A79183" w:rsidR="003F48CE" w:rsidRPr="00D72A90" w:rsidRDefault="003F48CE" w:rsidP="008C4DC5">
      <w:pPr>
        <w:tabs>
          <w:tab w:val="left" w:pos="2268"/>
        </w:tabs>
        <w:spacing w:before="120" w:after="120" w:line="240" w:lineRule="auto"/>
        <w:ind w:left="1701"/>
        <w:jc w:val="both"/>
        <w:rPr>
          <w:rFonts w:ascii="Book Antiqua" w:eastAsia="Times New Roman" w:hAnsi="Book Antiqua" w:cs="Times New Roman"/>
          <w:i/>
          <w:sz w:val="24"/>
          <w:szCs w:val="24"/>
          <w:lang w:eastAsia="en-GB"/>
        </w:rPr>
      </w:pPr>
      <w:r w:rsidRPr="00D72A90">
        <w:rPr>
          <w:rFonts w:ascii="Book Antiqua" w:eastAsia="Times New Roman" w:hAnsi="Book Antiqua" w:cs="Times New Roman"/>
          <w:i/>
          <w:sz w:val="24"/>
          <w:szCs w:val="24"/>
          <w:lang w:eastAsia="en-GB"/>
        </w:rPr>
        <w:t>"10</w:t>
      </w:r>
      <w:r w:rsidR="008C4DC5">
        <w:rPr>
          <w:rFonts w:ascii="Book Antiqua" w:eastAsia="Times New Roman" w:hAnsi="Book Antiqua" w:cs="Times New Roman"/>
          <w:i/>
          <w:sz w:val="24"/>
          <w:szCs w:val="24"/>
          <w:lang w:eastAsia="en-GB"/>
        </w:rPr>
        <w:t>.</w:t>
      </w:r>
      <w:r w:rsidR="008C4DC5">
        <w:rPr>
          <w:rFonts w:ascii="Book Antiqua" w:eastAsia="Times New Roman" w:hAnsi="Book Antiqua" w:cs="Times New Roman"/>
          <w:i/>
          <w:sz w:val="24"/>
          <w:szCs w:val="24"/>
          <w:lang w:eastAsia="en-GB"/>
        </w:rPr>
        <w:tab/>
      </w:r>
      <w:r w:rsidRPr="00D72A90">
        <w:rPr>
          <w:rFonts w:ascii="Book Antiqua" w:eastAsia="Times New Roman" w:hAnsi="Book Antiqua" w:cs="Times New Roman"/>
          <w:i/>
          <w:sz w:val="24"/>
          <w:szCs w:val="24"/>
          <w:lang w:eastAsia="en-GB"/>
        </w:rPr>
        <w:t>…</w:t>
      </w:r>
      <w:r w:rsidR="008C4DC5">
        <w:rPr>
          <w:rFonts w:ascii="Book Antiqua" w:eastAsia="Times New Roman" w:hAnsi="Book Antiqua" w:cs="Times New Roman"/>
          <w:i/>
          <w:sz w:val="24"/>
          <w:szCs w:val="24"/>
          <w:lang w:eastAsia="en-GB"/>
        </w:rPr>
        <w:t xml:space="preserve"> </w:t>
      </w:r>
      <w:r w:rsidRPr="00D72A90">
        <w:rPr>
          <w:rFonts w:ascii="Book Antiqua" w:eastAsia="Times New Roman" w:hAnsi="Book Antiqua" w:cs="Times New Roman"/>
          <w:i/>
          <w:sz w:val="24"/>
          <w:szCs w:val="24"/>
          <w:lang w:eastAsia="en-GB"/>
        </w:rPr>
        <w:t xml:space="preserve">That argument overlooks the fundamental reason for the insurance requirement that was identified as the basis of the scheme of the Directive in </w:t>
      </w:r>
      <w:r w:rsidRPr="00D72A90">
        <w:rPr>
          <w:rFonts w:ascii="Book Antiqua" w:eastAsia="Times New Roman" w:hAnsi="Book Antiqua" w:cs="Times New Roman"/>
          <w:i/>
          <w:iCs/>
          <w:sz w:val="24"/>
          <w:szCs w:val="24"/>
          <w:lang w:eastAsia="en-GB"/>
        </w:rPr>
        <w:t>Chen</w:t>
      </w:r>
      <w:r w:rsidRPr="00D72A90">
        <w:rPr>
          <w:rFonts w:ascii="Book Antiqua" w:eastAsia="Times New Roman" w:hAnsi="Book Antiqua" w:cs="Times New Roman"/>
          <w:i/>
          <w:sz w:val="24"/>
          <w:szCs w:val="24"/>
          <w:lang w:eastAsia="en-GB"/>
        </w:rPr>
        <w:t xml:space="preserve">: to prevent the presence of the EU citizen placing a burden on the host state. </w:t>
      </w:r>
      <w:r w:rsidRPr="00D72A90">
        <w:rPr>
          <w:rFonts w:ascii="Book Antiqua" w:eastAsia="Times New Roman" w:hAnsi="Book Antiqua" w:cs="Times New Roman"/>
          <w:i/>
          <w:sz w:val="24"/>
          <w:szCs w:val="24"/>
          <w:u w:val="single"/>
          <w:lang w:eastAsia="en-GB"/>
        </w:rPr>
        <w:t>Use of free state medical services exactly creates such a burden</w:t>
      </w:r>
      <w:r w:rsidRPr="00D72A90">
        <w:rPr>
          <w:rFonts w:ascii="Book Antiqua" w:eastAsia="Times New Roman" w:hAnsi="Book Antiqua" w:cs="Times New Roman"/>
          <w:i/>
          <w:sz w:val="24"/>
          <w:szCs w:val="24"/>
          <w:lang w:eastAsia="en-GB"/>
        </w:rPr>
        <w:t>. And in any event, even if the argument were otherwise valid its factual premise is false: Mr Gill did not demur from the assumption that, as citizens of a third country, W and X would not be entitled to free care under the NHS."</w:t>
      </w:r>
    </w:p>
    <w:p w14:paraId="63B4952F" w14:textId="77777777" w:rsidR="003F48CE" w:rsidRPr="00D72A90" w:rsidRDefault="003F48CE" w:rsidP="008C4DC5">
      <w:pPr>
        <w:tabs>
          <w:tab w:val="left" w:pos="2268"/>
        </w:tabs>
        <w:spacing w:before="120" w:after="120" w:line="240" w:lineRule="auto"/>
        <w:ind w:left="1701"/>
        <w:jc w:val="both"/>
        <w:rPr>
          <w:rFonts w:ascii="Book Antiqua" w:eastAsia="Times New Roman" w:hAnsi="Book Antiqua" w:cs="Times New Roman"/>
          <w:i/>
          <w:sz w:val="24"/>
          <w:szCs w:val="24"/>
          <w:lang w:eastAsia="en-GB"/>
        </w:rPr>
      </w:pPr>
      <w:r w:rsidRPr="00D72A90">
        <w:rPr>
          <w:rFonts w:ascii="Book Antiqua" w:eastAsia="Times New Roman" w:hAnsi="Book Antiqua" w:cs="Times New Roman"/>
          <w:i/>
          <w:sz w:val="24"/>
          <w:szCs w:val="24"/>
          <w:lang w:eastAsia="en-GB"/>
        </w:rPr>
        <w:lastRenderedPageBreak/>
        <w:t>11. It is also because of the nature of the NHS that the social security payments currently being made by W do not count as 'insurance' for these purposes. The NHS scheme is not financed solely out of the social security scheme, but is largely tax-financed. Contribution to the social security fund cannot therefore serve as any sort of proxy for insurance designed to remove from the taxpayer the burden of providing health care.'</w:t>
      </w:r>
    </w:p>
    <w:p w14:paraId="73BD7E0A" w14:textId="5835AA06" w:rsidR="003F48CE" w:rsidRPr="00D72A90" w:rsidRDefault="007C7DD1" w:rsidP="00ED64A5">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The question as to the comprehensive nature of the cover is a relevant factor</w:t>
      </w:r>
      <w:r w:rsidR="000B04FC" w:rsidRPr="00D72A90">
        <w:rPr>
          <w:rFonts w:ascii="Book Antiqua" w:hAnsi="Book Antiqua" w:cs="Arial"/>
          <w:sz w:val="24"/>
          <w:szCs w:val="24"/>
        </w:rPr>
        <w:t xml:space="preserve"> and the</w:t>
      </w:r>
      <w:r w:rsidR="00124F03" w:rsidRPr="00D72A90">
        <w:rPr>
          <w:rFonts w:ascii="Book Antiqua" w:hAnsi="Book Antiqua" w:cs="Arial"/>
          <w:sz w:val="24"/>
          <w:szCs w:val="24"/>
        </w:rPr>
        <w:t>re was insufficient evidence regarding a</w:t>
      </w:r>
      <w:r w:rsidR="000B04FC" w:rsidRPr="00D72A90">
        <w:rPr>
          <w:rFonts w:ascii="Book Antiqua" w:hAnsi="Book Antiqua" w:cs="Arial"/>
          <w:sz w:val="24"/>
          <w:szCs w:val="24"/>
        </w:rPr>
        <w:t xml:space="preserve"> policy document</w:t>
      </w:r>
      <w:r w:rsidR="005B5A82">
        <w:rPr>
          <w:rFonts w:ascii="Book Antiqua" w:hAnsi="Book Antiqua" w:cs="Arial"/>
          <w:sz w:val="24"/>
          <w:szCs w:val="24"/>
        </w:rPr>
        <w:t xml:space="preserve">.  In effect the documentation </w:t>
      </w:r>
      <w:r w:rsidR="00356360">
        <w:rPr>
          <w:rFonts w:ascii="Book Antiqua" w:hAnsi="Book Antiqua" w:cs="Arial"/>
          <w:sz w:val="24"/>
          <w:szCs w:val="24"/>
        </w:rPr>
        <w:t xml:space="preserve">did </w:t>
      </w:r>
      <w:r w:rsidR="00356360" w:rsidRPr="00D72A90">
        <w:rPr>
          <w:rFonts w:ascii="Book Antiqua" w:hAnsi="Book Antiqua" w:cs="Arial"/>
          <w:sz w:val="24"/>
          <w:szCs w:val="24"/>
        </w:rPr>
        <w:t>not</w:t>
      </w:r>
      <w:r w:rsidR="000B04FC" w:rsidRPr="00D72A90">
        <w:rPr>
          <w:rFonts w:ascii="Book Antiqua" w:hAnsi="Book Antiqua" w:cs="Arial"/>
          <w:sz w:val="24"/>
          <w:szCs w:val="24"/>
        </w:rPr>
        <w:t xml:space="preserve"> address the issue </w:t>
      </w:r>
      <w:r w:rsidR="008E003F" w:rsidRPr="00D72A90">
        <w:rPr>
          <w:rFonts w:ascii="Book Antiqua" w:hAnsi="Book Antiqua" w:cs="Arial"/>
          <w:sz w:val="24"/>
          <w:szCs w:val="24"/>
        </w:rPr>
        <w:t>of payment</w:t>
      </w:r>
      <w:r w:rsidR="00E85D72">
        <w:rPr>
          <w:rFonts w:ascii="Book Antiqua" w:hAnsi="Book Antiqua" w:cs="Arial"/>
          <w:sz w:val="24"/>
          <w:szCs w:val="24"/>
        </w:rPr>
        <w:t xml:space="preserve"> and this was important in view of the</w:t>
      </w:r>
      <w:r w:rsidR="000B04FC" w:rsidRPr="00D72A90">
        <w:rPr>
          <w:rFonts w:ascii="Book Antiqua" w:hAnsi="Book Antiqua" w:cs="Arial"/>
          <w:sz w:val="24"/>
          <w:szCs w:val="24"/>
        </w:rPr>
        <w:t xml:space="preserve"> significant health concerns. </w:t>
      </w:r>
      <w:r w:rsidR="008E003F" w:rsidRPr="00D72A90">
        <w:rPr>
          <w:rFonts w:ascii="Book Antiqua" w:hAnsi="Book Antiqua" w:cs="Arial"/>
          <w:sz w:val="24"/>
          <w:szCs w:val="24"/>
        </w:rPr>
        <w:t xml:space="preserve">This </w:t>
      </w:r>
      <w:r w:rsidR="00E85D72">
        <w:rPr>
          <w:rFonts w:ascii="Book Antiqua" w:hAnsi="Book Antiqua" w:cs="Arial"/>
          <w:sz w:val="24"/>
          <w:szCs w:val="24"/>
        </w:rPr>
        <w:t>was</w:t>
      </w:r>
      <w:r w:rsidR="008E003F" w:rsidRPr="00D72A90">
        <w:rPr>
          <w:rFonts w:ascii="Book Antiqua" w:hAnsi="Book Antiqua" w:cs="Arial"/>
          <w:sz w:val="24"/>
          <w:szCs w:val="24"/>
        </w:rPr>
        <w:t xml:space="preserve"> not merely a matter of</w:t>
      </w:r>
      <w:r w:rsidR="00385B0D">
        <w:rPr>
          <w:rFonts w:ascii="Book Antiqua" w:hAnsi="Book Antiqua" w:cs="Arial"/>
          <w:sz w:val="24"/>
          <w:szCs w:val="24"/>
        </w:rPr>
        <w:t xml:space="preserve"> limited</w:t>
      </w:r>
      <w:r w:rsidR="008E003F" w:rsidRPr="00D72A90">
        <w:rPr>
          <w:rFonts w:ascii="Book Antiqua" w:hAnsi="Book Antiqua" w:cs="Arial"/>
          <w:sz w:val="24"/>
          <w:szCs w:val="24"/>
        </w:rPr>
        <w:t xml:space="preserve"> discrepancies</w:t>
      </w:r>
      <w:r w:rsidR="00ED64A5" w:rsidRPr="00D72A90">
        <w:rPr>
          <w:rFonts w:ascii="Book Antiqua" w:hAnsi="Book Antiqua" w:cs="Arial"/>
          <w:sz w:val="24"/>
          <w:szCs w:val="24"/>
        </w:rPr>
        <w:t xml:space="preserve">, as in </w:t>
      </w:r>
      <w:hyperlink r:id="rId10" w:history="1">
        <w:proofErr w:type="spellStart"/>
        <w:r w:rsidR="00ED64A5" w:rsidRPr="00D72A90">
          <w:rPr>
            <w:rStyle w:val="Hyperlink"/>
            <w:rFonts w:ascii="Book Antiqua" w:hAnsi="Book Antiqua"/>
            <w:color w:val="auto"/>
            <w:sz w:val="24"/>
            <w:szCs w:val="24"/>
          </w:rPr>
          <w:t>Baumbast</w:t>
        </w:r>
        <w:proofErr w:type="spellEnd"/>
        <w:r w:rsidR="00ED64A5" w:rsidRPr="00D72A90">
          <w:rPr>
            <w:rStyle w:val="Hyperlink"/>
            <w:rFonts w:ascii="Book Antiqua" w:hAnsi="Book Antiqua"/>
            <w:color w:val="auto"/>
            <w:sz w:val="24"/>
            <w:szCs w:val="24"/>
          </w:rPr>
          <w:t xml:space="preserve"> and R (Free movement of persons) [2002] EUECJ C-413/99 (17 September 2002)</w:t>
        </w:r>
      </w:hyperlink>
      <w:r w:rsidR="00BE2EFD">
        <w:rPr>
          <w:rStyle w:val="Hyperlink"/>
          <w:rFonts w:ascii="Book Antiqua" w:hAnsi="Book Antiqua"/>
          <w:color w:val="auto"/>
          <w:sz w:val="24"/>
          <w:szCs w:val="24"/>
        </w:rPr>
        <w:t xml:space="preserve"> </w:t>
      </w:r>
      <w:r w:rsidR="00BE2EFD" w:rsidRPr="0062438B">
        <w:rPr>
          <w:rStyle w:val="Hyperlink"/>
          <w:rFonts w:ascii="Book Antiqua" w:hAnsi="Book Antiqua"/>
          <w:color w:val="auto"/>
          <w:sz w:val="24"/>
          <w:szCs w:val="24"/>
          <w:u w:val="none"/>
        </w:rPr>
        <w:t xml:space="preserve">regarding insurance </w:t>
      </w:r>
      <w:proofErr w:type="gramStart"/>
      <w:r w:rsidR="00BE2EFD" w:rsidRPr="0062438B">
        <w:rPr>
          <w:rStyle w:val="Hyperlink"/>
          <w:rFonts w:ascii="Book Antiqua" w:hAnsi="Book Antiqua"/>
          <w:color w:val="auto"/>
          <w:sz w:val="24"/>
          <w:szCs w:val="24"/>
          <w:u w:val="none"/>
        </w:rPr>
        <w:t>cover,</w:t>
      </w:r>
      <w:r w:rsidR="00385B0D" w:rsidRPr="0062438B">
        <w:rPr>
          <w:rStyle w:val="Hyperlink"/>
          <w:rFonts w:ascii="Book Antiqua" w:hAnsi="Book Antiqua"/>
          <w:color w:val="auto"/>
          <w:sz w:val="24"/>
          <w:szCs w:val="24"/>
          <w:u w:val="none"/>
        </w:rPr>
        <w:t xml:space="preserve"> </w:t>
      </w:r>
      <w:r w:rsidR="00ED64A5" w:rsidRPr="0062438B">
        <w:rPr>
          <w:rStyle w:val="Hyperlink"/>
          <w:rFonts w:ascii="Book Antiqua" w:hAnsi="Book Antiqua"/>
          <w:color w:val="auto"/>
          <w:sz w:val="24"/>
          <w:szCs w:val="24"/>
          <w:u w:val="none"/>
        </w:rPr>
        <w:t xml:space="preserve"> </w:t>
      </w:r>
      <w:r w:rsidR="001C1780" w:rsidRPr="00D72A90">
        <w:rPr>
          <w:rFonts w:ascii="Book Antiqua" w:hAnsi="Book Antiqua" w:cs="Arial"/>
          <w:sz w:val="24"/>
          <w:szCs w:val="24"/>
        </w:rPr>
        <w:t>but</w:t>
      </w:r>
      <w:proofErr w:type="gramEnd"/>
      <w:r w:rsidR="001C1780" w:rsidRPr="00D72A90">
        <w:rPr>
          <w:rFonts w:ascii="Book Antiqua" w:hAnsi="Book Antiqua" w:cs="Arial"/>
          <w:sz w:val="24"/>
          <w:szCs w:val="24"/>
        </w:rPr>
        <w:t xml:space="preserve"> a</w:t>
      </w:r>
      <w:r w:rsidR="00BE2EFD">
        <w:rPr>
          <w:rFonts w:ascii="Book Antiqua" w:hAnsi="Book Antiqua" w:cs="Arial"/>
          <w:sz w:val="24"/>
          <w:szCs w:val="24"/>
        </w:rPr>
        <w:t xml:space="preserve"> complete</w:t>
      </w:r>
      <w:r w:rsidR="001C1780" w:rsidRPr="00D72A90">
        <w:rPr>
          <w:rFonts w:ascii="Book Antiqua" w:hAnsi="Book Antiqua" w:cs="Arial"/>
          <w:sz w:val="24"/>
          <w:szCs w:val="24"/>
        </w:rPr>
        <w:t xml:space="preserve"> absence of the policy document</w:t>
      </w:r>
      <w:r w:rsidR="00BE2EFD">
        <w:rPr>
          <w:rFonts w:ascii="Book Antiqua" w:hAnsi="Book Antiqua" w:cs="Arial"/>
          <w:sz w:val="24"/>
          <w:szCs w:val="24"/>
        </w:rPr>
        <w:t>s no doubt because of reliance on the EH</w:t>
      </w:r>
      <w:r w:rsidR="0062438B">
        <w:rPr>
          <w:rFonts w:ascii="Book Antiqua" w:hAnsi="Book Antiqua" w:cs="Arial"/>
          <w:sz w:val="24"/>
          <w:szCs w:val="24"/>
        </w:rPr>
        <w:t xml:space="preserve">IC card point.  Even before me the documentation was inadequate. </w:t>
      </w:r>
    </w:p>
    <w:p w14:paraId="4740B337" w14:textId="7848D3DE" w:rsidR="007300A0" w:rsidRPr="00D72A90" w:rsidRDefault="0028685A" w:rsidP="003F48C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In </w:t>
      </w:r>
      <w:r w:rsidRPr="00D72A90">
        <w:rPr>
          <w:rFonts w:ascii="Book Antiqua" w:hAnsi="Book Antiqua" w:cs="Arial"/>
          <w:b/>
          <w:sz w:val="24"/>
          <w:szCs w:val="24"/>
          <w:u w:val="single"/>
        </w:rPr>
        <w:t>Ahmad</w:t>
      </w:r>
      <w:r w:rsidRPr="00D72A90">
        <w:rPr>
          <w:rFonts w:ascii="Book Antiqua" w:hAnsi="Book Antiqua" w:cs="Arial"/>
          <w:sz w:val="24"/>
          <w:szCs w:val="24"/>
        </w:rPr>
        <w:t xml:space="preserve"> the question of proportionality </w:t>
      </w:r>
      <w:r w:rsidR="00A537C4" w:rsidRPr="00D72A90">
        <w:rPr>
          <w:rFonts w:ascii="Book Antiqua" w:hAnsi="Book Antiqua" w:cs="Arial"/>
          <w:sz w:val="24"/>
          <w:szCs w:val="24"/>
        </w:rPr>
        <w:t>acknowledged but</w:t>
      </w:r>
      <w:r w:rsidR="005E24E7" w:rsidRPr="00D72A90">
        <w:rPr>
          <w:rFonts w:ascii="Book Antiqua" w:hAnsi="Book Antiqua" w:cs="Arial"/>
          <w:sz w:val="24"/>
          <w:szCs w:val="24"/>
        </w:rPr>
        <w:t xml:space="preserve"> the differing facts from </w:t>
      </w:r>
      <w:proofErr w:type="spellStart"/>
      <w:r w:rsidR="005E24E7" w:rsidRPr="00D72A90">
        <w:rPr>
          <w:rFonts w:ascii="Book Antiqua" w:hAnsi="Book Antiqua" w:cs="Arial"/>
          <w:sz w:val="24"/>
          <w:szCs w:val="24"/>
        </w:rPr>
        <w:t>Baumbast</w:t>
      </w:r>
      <w:proofErr w:type="spellEnd"/>
      <w:r w:rsidR="005E24E7" w:rsidRPr="00D72A90">
        <w:rPr>
          <w:rFonts w:ascii="Book Antiqua" w:hAnsi="Book Antiqua" w:cs="Arial"/>
          <w:sz w:val="24"/>
          <w:szCs w:val="24"/>
        </w:rPr>
        <w:t xml:space="preserve"> were relevant. As stated at [44</w:t>
      </w:r>
      <w:r w:rsidR="00D4725C" w:rsidRPr="00D72A90">
        <w:rPr>
          <w:rFonts w:ascii="Book Antiqua" w:hAnsi="Book Antiqua" w:cs="Arial"/>
          <w:sz w:val="24"/>
          <w:szCs w:val="24"/>
        </w:rPr>
        <w:t>]</w:t>
      </w:r>
    </w:p>
    <w:p w14:paraId="6E3DFAE5" w14:textId="1CC8E417" w:rsidR="005E24E7" w:rsidRPr="00D72A90" w:rsidRDefault="00C33D8D" w:rsidP="008C4DC5">
      <w:pPr>
        <w:spacing w:before="120" w:after="120" w:line="240" w:lineRule="auto"/>
        <w:ind w:left="1134"/>
        <w:jc w:val="both"/>
        <w:rPr>
          <w:rFonts w:ascii="Book Antiqua" w:hAnsi="Book Antiqua" w:cs="Arial"/>
          <w:i/>
          <w:sz w:val="24"/>
          <w:szCs w:val="24"/>
        </w:rPr>
      </w:pPr>
      <w:bookmarkStart w:id="4" w:name="para44"/>
      <w:r w:rsidRPr="00D72A90">
        <w:rPr>
          <w:rFonts w:ascii="Book Antiqua" w:hAnsi="Book Antiqua"/>
          <w:i/>
          <w:sz w:val="24"/>
          <w:szCs w:val="24"/>
        </w:rPr>
        <w:t>‘</w:t>
      </w:r>
      <w:r w:rsidR="005E24E7" w:rsidRPr="00D72A90">
        <w:rPr>
          <w:rFonts w:ascii="Book Antiqua" w:hAnsi="Book Antiqua"/>
          <w:i/>
          <w:sz w:val="24"/>
          <w:szCs w:val="24"/>
        </w:rPr>
        <w:t xml:space="preserve">The CJEU in </w:t>
      </w:r>
      <w:proofErr w:type="spellStart"/>
      <w:r w:rsidR="005E24E7" w:rsidRPr="00D72A90">
        <w:rPr>
          <w:rFonts w:ascii="Book Antiqua" w:hAnsi="Book Antiqua"/>
          <w:i/>
          <w:iCs/>
          <w:sz w:val="24"/>
          <w:szCs w:val="24"/>
        </w:rPr>
        <w:t>Baumbast</w:t>
      </w:r>
      <w:proofErr w:type="spellEnd"/>
      <w:r w:rsidR="005E24E7" w:rsidRPr="00D72A90">
        <w:rPr>
          <w:rFonts w:ascii="Book Antiqua" w:hAnsi="Book Antiqua"/>
          <w:i/>
          <w:iCs/>
          <w:sz w:val="24"/>
          <w:szCs w:val="24"/>
        </w:rPr>
        <w:t xml:space="preserve"> v Secretary of State for the Home </w:t>
      </w:r>
      <w:r w:rsidR="005E24E7" w:rsidRPr="00D72A90">
        <w:rPr>
          <w:rFonts w:ascii="Book Antiqua" w:hAnsi="Book Antiqua"/>
          <w:i/>
          <w:sz w:val="24"/>
          <w:szCs w:val="24"/>
        </w:rPr>
        <w:t xml:space="preserve">Department [2002] CMLR 23 held that the host state must apply the condition for CSIC in accordance with the general principles of EU law, including in particular the principle of proportionality. Thus, the host state should disregard minor discrepancies. These might arise when the cover was not totally comprehensive. The issue on this appeal is whether that extends to disregarding the requirement for CSIC in the circumstances of this case. Mr </w:t>
      </w:r>
      <w:proofErr w:type="spellStart"/>
      <w:r w:rsidR="005E24E7" w:rsidRPr="00D72A90">
        <w:rPr>
          <w:rFonts w:ascii="Book Antiqua" w:hAnsi="Book Antiqua"/>
          <w:i/>
          <w:sz w:val="24"/>
          <w:szCs w:val="24"/>
        </w:rPr>
        <w:t>Kadri</w:t>
      </w:r>
      <w:proofErr w:type="spellEnd"/>
      <w:r w:rsidR="005E24E7" w:rsidRPr="00D72A90">
        <w:rPr>
          <w:rFonts w:ascii="Book Antiqua" w:hAnsi="Book Antiqua"/>
          <w:i/>
          <w:sz w:val="24"/>
          <w:szCs w:val="24"/>
        </w:rPr>
        <w:t xml:space="preserve"> QC submits that to require CSIC in the present case is disproportionate</w:t>
      </w:r>
      <w:r w:rsidRPr="00D72A90">
        <w:rPr>
          <w:rFonts w:ascii="Book Antiqua" w:hAnsi="Book Antiqua"/>
          <w:i/>
          <w:sz w:val="24"/>
          <w:szCs w:val="24"/>
        </w:rPr>
        <w:t>’</w:t>
      </w:r>
      <w:r w:rsidR="005E24E7" w:rsidRPr="00D72A90">
        <w:rPr>
          <w:rFonts w:ascii="Book Antiqua" w:hAnsi="Book Antiqua"/>
          <w:i/>
          <w:sz w:val="24"/>
          <w:szCs w:val="24"/>
        </w:rPr>
        <w:t>.</w:t>
      </w:r>
      <w:bookmarkEnd w:id="4"/>
    </w:p>
    <w:p w14:paraId="1FE4AFEE" w14:textId="0865F537" w:rsidR="00604956" w:rsidRPr="00D72A90" w:rsidRDefault="00604956" w:rsidP="00604956">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b/>
          <w:sz w:val="24"/>
          <w:szCs w:val="24"/>
          <w:u w:val="single"/>
        </w:rPr>
        <w:t>Ahmad</w:t>
      </w:r>
      <w:r w:rsidRPr="00D72A90">
        <w:rPr>
          <w:rFonts w:ascii="Book Antiqua" w:hAnsi="Book Antiqua" w:cs="Arial"/>
          <w:sz w:val="24"/>
          <w:szCs w:val="24"/>
        </w:rPr>
        <w:t xml:space="preserve"> identified at [49] and [50</w:t>
      </w:r>
      <w:r w:rsidR="008F0107" w:rsidRPr="00D72A90">
        <w:rPr>
          <w:rFonts w:ascii="Book Antiqua" w:hAnsi="Book Antiqua" w:cs="Arial"/>
          <w:sz w:val="24"/>
          <w:szCs w:val="24"/>
        </w:rPr>
        <w:t>] that</w:t>
      </w:r>
      <w:r w:rsidRPr="00D72A90">
        <w:rPr>
          <w:rFonts w:ascii="Book Antiqua" w:hAnsi="Book Antiqua" w:cs="Arial"/>
          <w:sz w:val="24"/>
          <w:szCs w:val="24"/>
        </w:rPr>
        <w:t xml:space="preserve"> </w:t>
      </w:r>
      <w:proofErr w:type="spellStart"/>
      <w:r w:rsidRPr="00D72A90">
        <w:rPr>
          <w:rFonts w:ascii="Book Antiqua" w:hAnsi="Book Antiqua" w:cs="Arial"/>
          <w:sz w:val="24"/>
          <w:szCs w:val="24"/>
        </w:rPr>
        <w:t>Baumbast</w:t>
      </w:r>
      <w:proofErr w:type="spellEnd"/>
      <w:r w:rsidRPr="00D72A90">
        <w:rPr>
          <w:rFonts w:ascii="Book Antiqua" w:hAnsi="Book Antiqua" w:cs="Arial"/>
          <w:sz w:val="24"/>
          <w:szCs w:val="24"/>
        </w:rPr>
        <w:t xml:space="preserve"> was generous in interpretation </w:t>
      </w:r>
    </w:p>
    <w:p w14:paraId="233E10A2" w14:textId="77777777" w:rsidR="00604956" w:rsidRPr="00D72A90" w:rsidRDefault="00604956" w:rsidP="008C4DC5">
      <w:pPr>
        <w:spacing w:before="120" w:after="120" w:line="240" w:lineRule="auto"/>
        <w:ind w:left="1134"/>
        <w:rPr>
          <w:rFonts w:ascii="Book Antiqua" w:eastAsia="Times New Roman" w:hAnsi="Book Antiqua" w:cs="Times New Roman"/>
          <w:i/>
          <w:sz w:val="24"/>
          <w:szCs w:val="24"/>
          <w:lang w:eastAsia="en-GB"/>
        </w:rPr>
      </w:pPr>
      <w:bookmarkStart w:id="5" w:name="para49"/>
      <w:r w:rsidRPr="00D72A90">
        <w:rPr>
          <w:rFonts w:ascii="Book Antiqua" w:eastAsia="Times New Roman" w:hAnsi="Book Antiqua" w:cs="Times New Roman"/>
          <w:i/>
          <w:sz w:val="24"/>
          <w:szCs w:val="24"/>
          <w:lang w:eastAsia="en-GB"/>
        </w:rPr>
        <w:t xml:space="preserve">‘Furthermore, in </w:t>
      </w:r>
      <w:proofErr w:type="spellStart"/>
      <w:r w:rsidRPr="00D72A90">
        <w:rPr>
          <w:rFonts w:ascii="Book Antiqua" w:eastAsia="Times New Roman" w:hAnsi="Book Antiqua" w:cs="Times New Roman"/>
          <w:i/>
          <w:iCs/>
          <w:sz w:val="24"/>
          <w:szCs w:val="24"/>
          <w:lang w:eastAsia="en-GB"/>
        </w:rPr>
        <w:t>Lekpo-Bozua</w:t>
      </w:r>
      <w:proofErr w:type="spellEnd"/>
      <w:r w:rsidRPr="00D72A90">
        <w:rPr>
          <w:rFonts w:ascii="Book Antiqua" w:eastAsia="Times New Roman" w:hAnsi="Book Antiqua" w:cs="Times New Roman"/>
          <w:i/>
          <w:iCs/>
          <w:sz w:val="24"/>
          <w:szCs w:val="24"/>
          <w:lang w:eastAsia="en-GB"/>
        </w:rPr>
        <w:t xml:space="preserve"> v Hackney LBC</w:t>
      </w:r>
      <w:r w:rsidRPr="00D72A90">
        <w:rPr>
          <w:rFonts w:ascii="Book Antiqua" w:eastAsia="Times New Roman" w:hAnsi="Book Antiqua" w:cs="Times New Roman"/>
          <w:i/>
          <w:sz w:val="24"/>
          <w:szCs w:val="24"/>
          <w:lang w:eastAsia="en-GB"/>
        </w:rPr>
        <w:t xml:space="preserve">, this court has described </w:t>
      </w:r>
      <w:proofErr w:type="spellStart"/>
      <w:r w:rsidRPr="00D72A90">
        <w:rPr>
          <w:rFonts w:ascii="Book Antiqua" w:eastAsia="Times New Roman" w:hAnsi="Book Antiqua" w:cs="Times New Roman"/>
          <w:i/>
          <w:iCs/>
          <w:sz w:val="24"/>
          <w:szCs w:val="24"/>
          <w:lang w:eastAsia="en-GB"/>
        </w:rPr>
        <w:t>Baumbast</w:t>
      </w:r>
      <w:proofErr w:type="spellEnd"/>
      <w:r w:rsidRPr="00D72A90">
        <w:rPr>
          <w:rFonts w:ascii="Book Antiqua" w:eastAsia="Times New Roman" w:hAnsi="Book Antiqua" w:cs="Times New Roman"/>
          <w:i/>
          <w:sz w:val="24"/>
          <w:szCs w:val="24"/>
          <w:lang w:eastAsia="en-GB"/>
        </w:rPr>
        <w:t xml:space="preserve"> as "the high watermark of resort to proportionality under Article 18" (referring to Maurice Kay LJ in </w:t>
      </w:r>
      <w:r w:rsidRPr="00D72A90">
        <w:rPr>
          <w:rFonts w:ascii="Book Antiqua" w:eastAsia="Times New Roman" w:hAnsi="Book Antiqua" w:cs="Times New Roman"/>
          <w:i/>
          <w:iCs/>
          <w:sz w:val="24"/>
          <w:szCs w:val="24"/>
          <w:lang w:eastAsia="en-GB"/>
        </w:rPr>
        <w:t>Kaczmarek v Secretary of State for Work and Pensions</w:t>
      </w:r>
      <w:r w:rsidRPr="00D72A90">
        <w:rPr>
          <w:rFonts w:ascii="Book Antiqua" w:eastAsia="Times New Roman" w:hAnsi="Book Antiqua" w:cs="Times New Roman"/>
          <w:i/>
          <w:sz w:val="24"/>
          <w:szCs w:val="24"/>
          <w:lang w:eastAsia="en-GB"/>
        </w:rPr>
        <w:t xml:space="preserve"> </w:t>
      </w:r>
      <w:bookmarkEnd w:id="5"/>
      <w:r w:rsidRPr="00D72A90">
        <w:rPr>
          <w:rFonts w:ascii="Book Antiqua" w:eastAsia="Times New Roman" w:hAnsi="Book Antiqua" w:cs="Times New Roman"/>
          <w:i/>
          <w:sz w:val="24"/>
          <w:szCs w:val="24"/>
          <w:lang w:eastAsia="en-GB"/>
        </w:rPr>
        <w:fldChar w:fldCharType="begin"/>
      </w:r>
      <w:r w:rsidRPr="00D72A90">
        <w:rPr>
          <w:rFonts w:ascii="Book Antiqua" w:eastAsia="Times New Roman" w:hAnsi="Book Antiqua" w:cs="Times New Roman"/>
          <w:i/>
          <w:sz w:val="24"/>
          <w:szCs w:val="24"/>
          <w:lang w:eastAsia="en-GB"/>
        </w:rPr>
        <w:instrText xml:space="preserve"> HYPERLINK "http://www.bailii.org/ew/cases/EWCA/Civ/2008/1310.html" \o "Link to BAILII version" </w:instrText>
      </w:r>
      <w:r w:rsidRPr="00D72A90">
        <w:rPr>
          <w:rFonts w:ascii="Book Antiqua" w:eastAsia="Times New Roman" w:hAnsi="Book Antiqua" w:cs="Times New Roman"/>
          <w:i/>
          <w:sz w:val="24"/>
          <w:szCs w:val="24"/>
          <w:lang w:eastAsia="en-GB"/>
        </w:rPr>
        <w:fldChar w:fldCharType="separate"/>
      </w:r>
      <w:r w:rsidRPr="00D72A90">
        <w:rPr>
          <w:rFonts w:ascii="Book Antiqua" w:eastAsia="Times New Roman" w:hAnsi="Book Antiqua" w:cs="Times New Roman"/>
          <w:i/>
          <w:sz w:val="24"/>
          <w:szCs w:val="24"/>
          <w:u w:val="single"/>
          <w:lang w:eastAsia="en-GB"/>
        </w:rPr>
        <w:t xml:space="preserve">[2008] EWCA </w:t>
      </w:r>
      <w:proofErr w:type="spellStart"/>
      <w:r w:rsidRPr="00D72A90">
        <w:rPr>
          <w:rFonts w:ascii="Book Antiqua" w:eastAsia="Times New Roman" w:hAnsi="Book Antiqua" w:cs="Times New Roman"/>
          <w:i/>
          <w:sz w:val="24"/>
          <w:szCs w:val="24"/>
          <w:u w:val="single"/>
          <w:lang w:eastAsia="en-GB"/>
        </w:rPr>
        <w:t>Civ</w:t>
      </w:r>
      <w:proofErr w:type="spellEnd"/>
      <w:r w:rsidRPr="00D72A90">
        <w:rPr>
          <w:rFonts w:ascii="Book Antiqua" w:eastAsia="Times New Roman" w:hAnsi="Book Antiqua" w:cs="Times New Roman"/>
          <w:i/>
          <w:sz w:val="24"/>
          <w:szCs w:val="24"/>
          <w:u w:val="single"/>
          <w:lang w:eastAsia="en-GB"/>
        </w:rPr>
        <w:t xml:space="preserve"> 1310</w:t>
      </w:r>
      <w:r w:rsidRPr="00D72A90">
        <w:rPr>
          <w:rFonts w:ascii="Book Antiqua" w:eastAsia="Times New Roman" w:hAnsi="Book Antiqua" w:cs="Times New Roman"/>
          <w:i/>
          <w:sz w:val="24"/>
          <w:szCs w:val="24"/>
          <w:lang w:eastAsia="en-GB"/>
        </w:rPr>
        <w:fldChar w:fldCharType="end"/>
      </w:r>
      <w:r w:rsidRPr="00D72A90">
        <w:rPr>
          <w:rFonts w:ascii="Book Antiqua" w:eastAsia="Times New Roman" w:hAnsi="Book Antiqua" w:cs="Times New Roman"/>
          <w:i/>
          <w:sz w:val="24"/>
          <w:szCs w:val="24"/>
          <w:lang w:eastAsia="en-GB"/>
        </w:rPr>
        <w:t xml:space="preserve">, [14]). In other words, </w:t>
      </w:r>
      <w:proofErr w:type="spellStart"/>
      <w:r w:rsidRPr="00D72A90">
        <w:rPr>
          <w:rFonts w:ascii="Book Antiqua" w:eastAsia="Times New Roman" w:hAnsi="Book Antiqua" w:cs="Times New Roman"/>
          <w:i/>
          <w:iCs/>
          <w:sz w:val="24"/>
          <w:szCs w:val="24"/>
          <w:lang w:eastAsia="en-GB"/>
        </w:rPr>
        <w:t>Baumbast</w:t>
      </w:r>
      <w:proofErr w:type="spellEnd"/>
      <w:r w:rsidRPr="00D72A90">
        <w:rPr>
          <w:rFonts w:ascii="Book Antiqua" w:eastAsia="Times New Roman" w:hAnsi="Book Antiqua" w:cs="Times New Roman"/>
          <w:i/>
          <w:sz w:val="24"/>
          <w:szCs w:val="24"/>
          <w:lang w:eastAsia="en-GB"/>
        </w:rPr>
        <w:t xml:space="preserve"> is likely to represent the furthest the host state will have to go to tolerate any divergence from the condition for CSIC in Article 7. As explained above, the facts of this case are materially different. </w:t>
      </w:r>
    </w:p>
    <w:p w14:paraId="1F10E228" w14:textId="77777777" w:rsidR="00604956" w:rsidRPr="00D72A90" w:rsidRDefault="00604956" w:rsidP="008C4DC5">
      <w:pPr>
        <w:spacing w:before="120" w:after="120" w:line="240" w:lineRule="auto"/>
        <w:ind w:left="1134"/>
        <w:rPr>
          <w:rFonts w:ascii="Book Antiqua" w:eastAsia="Times New Roman" w:hAnsi="Book Antiqua" w:cs="Times New Roman"/>
          <w:i/>
          <w:sz w:val="24"/>
          <w:szCs w:val="24"/>
          <w:lang w:eastAsia="en-GB"/>
        </w:rPr>
      </w:pPr>
      <w:bookmarkStart w:id="6" w:name="para50"/>
      <w:r w:rsidRPr="00D72A90">
        <w:rPr>
          <w:rFonts w:ascii="Book Antiqua" w:eastAsia="Times New Roman" w:hAnsi="Book Antiqua" w:cs="Times New Roman"/>
          <w:i/>
          <w:sz w:val="24"/>
          <w:szCs w:val="24"/>
          <w:lang w:eastAsia="en-GB"/>
        </w:rPr>
        <w:t xml:space="preserve">In my judgment, there is nothing in the appellant's case which makes the requirement for CSIC disproportionate. The period of time during which the CSIC must be held is short, and there is no other way in that period of protecting the host state’. </w:t>
      </w:r>
      <w:bookmarkEnd w:id="6"/>
    </w:p>
    <w:p w14:paraId="6DB74CE6" w14:textId="43BFCAA5" w:rsidR="005E24E7" w:rsidRPr="00D72A90" w:rsidRDefault="006E3C5D" w:rsidP="003F48CE">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The judge’s approach to proportionality was not materially flawed.  </w:t>
      </w:r>
      <w:r w:rsidR="000A4B45" w:rsidRPr="00D72A90">
        <w:rPr>
          <w:rFonts w:ascii="Book Antiqua" w:hAnsi="Book Antiqua" w:cs="Arial"/>
          <w:sz w:val="24"/>
          <w:szCs w:val="24"/>
        </w:rPr>
        <w:t xml:space="preserve">In this instance there was no indication as to the cover that the appellants had despite the </w:t>
      </w:r>
      <w:r w:rsidR="00790CCE" w:rsidRPr="00D72A90">
        <w:rPr>
          <w:rFonts w:ascii="Book Antiqua" w:hAnsi="Book Antiqua" w:cs="Arial"/>
          <w:sz w:val="24"/>
          <w:szCs w:val="24"/>
        </w:rPr>
        <w:t>health card</w:t>
      </w:r>
      <w:r w:rsidR="00BE78FF" w:rsidRPr="00D72A90">
        <w:rPr>
          <w:rFonts w:ascii="Book Antiqua" w:hAnsi="Book Antiqua" w:cs="Arial"/>
          <w:sz w:val="24"/>
          <w:szCs w:val="24"/>
        </w:rPr>
        <w:t>. There was identified that</w:t>
      </w:r>
      <w:r w:rsidR="00FA760A" w:rsidRPr="00D72A90">
        <w:rPr>
          <w:rFonts w:ascii="Book Antiqua" w:hAnsi="Book Antiqua" w:cs="Arial"/>
          <w:sz w:val="24"/>
          <w:szCs w:val="24"/>
        </w:rPr>
        <w:t xml:space="preserve"> both the</w:t>
      </w:r>
      <w:r w:rsidR="00BE78FF" w:rsidRPr="00D72A90">
        <w:rPr>
          <w:rFonts w:ascii="Book Antiqua" w:hAnsi="Book Antiqua" w:cs="Arial"/>
          <w:sz w:val="24"/>
          <w:szCs w:val="24"/>
        </w:rPr>
        <w:t xml:space="preserve"> appellant</w:t>
      </w:r>
      <w:r w:rsidR="00FA760A" w:rsidRPr="00D72A90">
        <w:rPr>
          <w:rFonts w:ascii="Book Antiqua" w:hAnsi="Book Antiqua" w:cs="Arial"/>
          <w:sz w:val="24"/>
          <w:szCs w:val="24"/>
        </w:rPr>
        <w:t>s</w:t>
      </w:r>
      <w:r w:rsidR="00BE78FF" w:rsidRPr="00D72A90">
        <w:rPr>
          <w:rFonts w:ascii="Book Antiqua" w:hAnsi="Book Antiqua" w:cs="Arial"/>
          <w:sz w:val="24"/>
          <w:szCs w:val="24"/>
        </w:rPr>
        <w:t xml:space="preserve"> had </w:t>
      </w:r>
      <w:r w:rsidR="001456F5" w:rsidRPr="00D72A90">
        <w:rPr>
          <w:rFonts w:ascii="Book Antiqua" w:hAnsi="Book Antiqua" w:cs="Arial"/>
          <w:sz w:val="24"/>
          <w:szCs w:val="24"/>
        </w:rPr>
        <w:t xml:space="preserve">very </w:t>
      </w:r>
      <w:r w:rsidR="00BE78FF" w:rsidRPr="00D72A90">
        <w:rPr>
          <w:rFonts w:ascii="Book Antiqua" w:hAnsi="Book Antiqua" w:cs="Arial"/>
          <w:sz w:val="24"/>
          <w:szCs w:val="24"/>
        </w:rPr>
        <w:t>significant health problems</w:t>
      </w:r>
      <w:r w:rsidR="00BC5514" w:rsidRPr="00D72A90">
        <w:rPr>
          <w:rFonts w:ascii="Book Antiqua" w:hAnsi="Book Antiqua" w:cs="Arial"/>
          <w:sz w:val="24"/>
          <w:szCs w:val="24"/>
        </w:rPr>
        <w:t>.  T</w:t>
      </w:r>
      <w:r w:rsidR="00FA760A" w:rsidRPr="00D72A90">
        <w:rPr>
          <w:rFonts w:ascii="Book Antiqua" w:hAnsi="Book Antiqua" w:cs="Arial"/>
          <w:sz w:val="24"/>
          <w:szCs w:val="24"/>
        </w:rPr>
        <w:t xml:space="preserve">he first appellant had brain </w:t>
      </w:r>
      <w:r w:rsidR="00C30EFE" w:rsidRPr="00D72A90">
        <w:rPr>
          <w:rFonts w:ascii="Book Antiqua" w:hAnsi="Book Antiqua" w:cs="Arial"/>
          <w:sz w:val="24"/>
          <w:szCs w:val="24"/>
        </w:rPr>
        <w:t xml:space="preserve">tumours removed in 2001, </w:t>
      </w:r>
      <w:r w:rsidR="008F0107" w:rsidRPr="00D72A90">
        <w:rPr>
          <w:rFonts w:ascii="Book Antiqua" w:hAnsi="Book Antiqua" w:cs="Arial"/>
          <w:sz w:val="24"/>
          <w:szCs w:val="24"/>
        </w:rPr>
        <w:t>on-going</w:t>
      </w:r>
      <w:r w:rsidR="00D36D0A" w:rsidRPr="00D72A90">
        <w:rPr>
          <w:rFonts w:ascii="Book Antiqua" w:hAnsi="Book Antiqua" w:cs="Arial"/>
          <w:sz w:val="24"/>
          <w:szCs w:val="24"/>
        </w:rPr>
        <w:t xml:space="preserve"> problems with his stomach and a series of problems for which appointments on the NHS had been </w:t>
      </w:r>
      <w:r w:rsidR="00D64C0F" w:rsidRPr="00D72A90">
        <w:rPr>
          <w:rFonts w:ascii="Book Antiqua" w:hAnsi="Book Antiqua" w:cs="Arial"/>
          <w:sz w:val="24"/>
          <w:szCs w:val="24"/>
        </w:rPr>
        <w:t>arranged.  The second appellant was described in the witness statements as having very significant health problems.</w:t>
      </w:r>
      <w:r w:rsidR="00BE78FF" w:rsidRPr="00D72A90">
        <w:rPr>
          <w:rFonts w:ascii="Book Antiqua" w:hAnsi="Book Antiqua" w:cs="Arial"/>
          <w:sz w:val="24"/>
          <w:szCs w:val="24"/>
        </w:rPr>
        <w:t xml:space="preserve"> </w:t>
      </w:r>
      <w:r w:rsidR="00E522DA" w:rsidRPr="00D72A90">
        <w:rPr>
          <w:rFonts w:ascii="Book Antiqua" w:hAnsi="Book Antiqua" w:cs="Arial"/>
          <w:sz w:val="24"/>
          <w:szCs w:val="24"/>
        </w:rPr>
        <w:t>There was</w:t>
      </w:r>
      <w:r w:rsidR="00BE78FF" w:rsidRPr="00D72A90">
        <w:rPr>
          <w:rFonts w:ascii="Book Antiqua" w:hAnsi="Book Antiqua" w:cs="Arial"/>
          <w:sz w:val="24"/>
          <w:szCs w:val="24"/>
        </w:rPr>
        <w:t xml:space="preserve"> </w:t>
      </w:r>
      <w:r w:rsidR="00391831" w:rsidRPr="00D72A90">
        <w:rPr>
          <w:rFonts w:ascii="Book Antiqua" w:hAnsi="Book Antiqua" w:cs="Arial"/>
          <w:sz w:val="24"/>
          <w:szCs w:val="24"/>
        </w:rPr>
        <w:t>no indication of the cover needed</w:t>
      </w:r>
      <w:r w:rsidR="00E522DA" w:rsidRPr="00D72A90">
        <w:rPr>
          <w:rFonts w:ascii="Book Antiqua" w:hAnsi="Book Antiqua" w:cs="Arial"/>
          <w:sz w:val="24"/>
          <w:szCs w:val="24"/>
        </w:rPr>
        <w:t xml:space="preserve"> and the judge rightly stated no indication of the policy cover for either appellant</w:t>
      </w:r>
      <w:r w:rsidR="00391831" w:rsidRPr="00D72A90">
        <w:rPr>
          <w:rFonts w:ascii="Book Antiqua" w:hAnsi="Book Antiqua" w:cs="Arial"/>
          <w:sz w:val="24"/>
          <w:szCs w:val="24"/>
        </w:rPr>
        <w:t>. The appellants had never worked in the UK</w:t>
      </w:r>
      <w:r w:rsidR="003736FD" w:rsidRPr="00D72A90">
        <w:rPr>
          <w:rFonts w:ascii="Book Antiqua" w:hAnsi="Book Antiqua" w:cs="Arial"/>
          <w:sz w:val="24"/>
          <w:szCs w:val="24"/>
        </w:rPr>
        <w:t>, and merely entered as visitors</w:t>
      </w:r>
      <w:r w:rsidR="00F83B76" w:rsidRPr="00D72A90">
        <w:rPr>
          <w:rFonts w:ascii="Book Antiqua" w:hAnsi="Book Antiqua" w:cs="Arial"/>
          <w:sz w:val="24"/>
          <w:szCs w:val="24"/>
        </w:rPr>
        <w:t xml:space="preserve"> and</w:t>
      </w:r>
      <w:r w:rsidR="00391831" w:rsidRPr="00D72A90">
        <w:rPr>
          <w:rFonts w:ascii="Book Antiqua" w:hAnsi="Book Antiqua" w:cs="Arial"/>
          <w:sz w:val="24"/>
          <w:szCs w:val="24"/>
        </w:rPr>
        <w:t xml:space="preserve"> as the judge found had </w:t>
      </w:r>
      <w:r w:rsidR="0024469B" w:rsidRPr="00D72A90">
        <w:rPr>
          <w:rFonts w:ascii="Book Antiqua" w:hAnsi="Book Antiqua" w:cs="Arial"/>
          <w:sz w:val="24"/>
          <w:szCs w:val="24"/>
        </w:rPr>
        <w:t xml:space="preserve">received treatment on the NHS.  </w:t>
      </w:r>
      <w:r w:rsidR="00907DF9" w:rsidRPr="00D72A90">
        <w:rPr>
          <w:rFonts w:ascii="Book Antiqua" w:hAnsi="Book Antiqua" w:cs="Arial"/>
          <w:sz w:val="24"/>
          <w:szCs w:val="24"/>
        </w:rPr>
        <w:t>T</w:t>
      </w:r>
      <w:r w:rsidR="0024469B" w:rsidRPr="00D72A90">
        <w:rPr>
          <w:rFonts w:ascii="Book Antiqua" w:hAnsi="Book Antiqua" w:cs="Arial"/>
          <w:sz w:val="24"/>
          <w:szCs w:val="24"/>
        </w:rPr>
        <w:t>hat there was no claim</w:t>
      </w:r>
      <w:r w:rsidR="00907DF9" w:rsidRPr="00D72A90">
        <w:rPr>
          <w:rFonts w:ascii="Book Antiqua" w:hAnsi="Book Antiqua" w:cs="Arial"/>
          <w:sz w:val="24"/>
          <w:szCs w:val="24"/>
        </w:rPr>
        <w:t xml:space="preserve"> for </w:t>
      </w:r>
      <w:r w:rsidR="00907DF9" w:rsidRPr="00D72A90">
        <w:rPr>
          <w:rFonts w:ascii="Book Antiqua" w:hAnsi="Book Antiqua" w:cs="Arial"/>
          <w:sz w:val="24"/>
          <w:szCs w:val="24"/>
        </w:rPr>
        <w:lastRenderedPageBreak/>
        <w:t>reimbursement</w:t>
      </w:r>
      <w:r w:rsidR="0024469B" w:rsidRPr="00D72A90">
        <w:rPr>
          <w:rFonts w:ascii="Book Antiqua" w:hAnsi="Book Antiqua" w:cs="Arial"/>
          <w:sz w:val="24"/>
          <w:szCs w:val="24"/>
        </w:rPr>
        <w:t xml:space="preserve"> is a matter for the UK </w:t>
      </w:r>
      <w:r w:rsidR="00D4767B" w:rsidRPr="00D72A90">
        <w:rPr>
          <w:rFonts w:ascii="Book Antiqua" w:hAnsi="Book Antiqua" w:cs="Arial"/>
          <w:sz w:val="24"/>
          <w:szCs w:val="24"/>
        </w:rPr>
        <w:t>authorities,</w:t>
      </w:r>
      <w:r w:rsidR="0024469B" w:rsidRPr="00D72A90">
        <w:rPr>
          <w:rFonts w:ascii="Book Antiqua" w:hAnsi="Book Antiqua" w:cs="Arial"/>
          <w:sz w:val="24"/>
          <w:szCs w:val="24"/>
        </w:rPr>
        <w:t xml:space="preserve"> but it cannot be said that </w:t>
      </w:r>
      <w:r w:rsidR="00B35162" w:rsidRPr="00D72A90">
        <w:rPr>
          <w:rFonts w:ascii="Book Antiqua" w:hAnsi="Book Antiqua" w:cs="Arial"/>
          <w:sz w:val="24"/>
          <w:szCs w:val="24"/>
        </w:rPr>
        <w:t>there may be ‘minor discrepan</w:t>
      </w:r>
      <w:r w:rsidR="00604956" w:rsidRPr="00D72A90">
        <w:rPr>
          <w:rFonts w:ascii="Book Antiqua" w:hAnsi="Book Antiqua" w:cs="Arial"/>
          <w:sz w:val="24"/>
          <w:szCs w:val="24"/>
        </w:rPr>
        <w:t>ci</w:t>
      </w:r>
      <w:r w:rsidR="00B35162" w:rsidRPr="00D72A90">
        <w:rPr>
          <w:rFonts w:ascii="Book Antiqua" w:hAnsi="Book Antiqua" w:cs="Arial"/>
          <w:sz w:val="24"/>
          <w:szCs w:val="24"/>
        </w:rPr>
        <w:t xml:space="preserve">es’ in the extent of the </w:t>
      </w:r>
      <w:r w:rsidR="008F0107" w:rsidRPr="00D72A90">
        <w:rPr>
          <w:rFonts w:ascii="Book Antiqua" w:hAnsi="Book Antiqua" w:cs="Arial"/>
          <w:sz w:val="24"/>
          <w:szCs w:val="24"/>
        </w:rPr>
        <w:t>insurance ‘cover</w:t>
      </w:r>
      <w:r w:rsidR="00604956" w:rsidRPr="00D72A90">
        <w:rPr>
          <w:rFonts w:ascii="Book Antiqua" w:hAnsi="Book Antiqua" w:cs="Arial"/>
          <w:sz w:val="24"/>
          <w:szCs w:val="24"/>
        </w:rPr>
        <w:t>’</w:t>
      </w:r>
      <w:r w:rsidR="00F83B76" w:rsidRPr="00D72A90">
        <w:rPr>
          <w:rFonts w:ascii="Book Antiqua" w:hAnsi="Book Antiqua" w:cs="Arial"/>
          <w:sz w:val="24"/>
          <w:szCs w:val="24"/>
        </w:rPr>
        <w:t xml:space="preserve"> </w:t>
      </w:r>
      <w:r w:rsidR="009A0FF8" w:rsidRPr="00D72A90">
        <w:rPr>
          <w:rFonts w:ascii="Book Antiqua" w:hAnsi="Book Antiqua" w:cs="Arial"/>
          <w:sz w:val="24"/>
          <w:szCs w:val="24"/>
        </w:rPr>
        <w:t xml:space="preserve">because information on that </w:t>
      </w:r>
      <w:r w:rsidR="00D72A90" w:rsidRPr="00D72A90">
        <w:rPr>
          <w:rFonts w:ascii="Book Antiqua" w:hAnsi="Book Antiqua" w:cs="Arial"/>
          <w:sz w:val="24"/>
          <w:szCs w:val="24"/>
        </w:rPr>
        <w:t>policy</w:t>
      </w:r>
      <w:r w:rsidR="009A0FF8" w:rsidRPr="00D72A90">
        <w:rPr>
          <w:rFonts w:ascii="Book Antiqua" w:hAnsi="Book Antiqua" w:cs="Arial"/>
          <w:sz w:val="24"/>
          <w:szCs w:val="24"/>
        </w:rPr>
        <w:t xml:space="preserve"> was </w:t>
      </w:r>
      <w:r w:rsidR="00F83B76" w:rsidRPr="00D72A90">
        <w:rPr>
          <w:rFonts w:ascii="Book Antiqua" w:hAnsi="Book Antiqua" w:cs="Arial"/>
          <w:sz w:val="24"/>
          <w:szCs w:val="24"/>
        </w:rPr>
        <w:t>not produced</w:t>
      </w:r>
      <w:r w:rsidR="00B35162" w:rsidRPr="00D72A90">
        <w:rPr>
          <w:rFonts w:ascii="Book Antiqua" w:hAnsi="Book Antiqua" w:cs="Arial"/>
          <w:sz w:val="24"/>
          <w:szCs w:val="24"/>
        </w:rPr>
        <w:t xml:space="preserve">. </w:t>
      </w:r>
      <w:r w:rsidR="00F83B76" w:rsidRPr="00D72A90">
        <w:rPr>
          <w:rFonts w:ascii="Book Antiqua" w:hAnsi="Book Antiqua" w:cs="Arial"/>
          <w:sz w:val="24"/>
          <w:szCs w:val="24"/>
        </w:rPr>
        <w:t xml:space="preserve">  </w:t>
      </w:r>
    </w:p>
    <w:p w14:paraId="0CB64AB1" w14:textId="08D9DC96" w:rsidR="004C1D97" w:rsidRDefault="00676FAF" w:rsidP="003F48CE">
      <w:pPr>
        <w:numPr>
          <w:ilvl w:val="0"/>
          <w:numId w:val="1"/>
        </w:numPr>
        <w:tabs>
          <w:tab w:val="clear" w:pos="720"/>
        </w:tabs>
        <w:spacing w:before="240" w:after="0" w:line="240" w:lineRule="auto"/>
        <w:ind w:left="567" w:hanging="567"/>
        <w:jc w:val="both"/>
        <w:rPr>
          <w:rFonts w:ascii="Book Antiqua" w:hAnsi="Book Antiqua" w:cs="Arial"/>
          <w:sz w:val="24"/>
          <w:szCs w:val="24"/>
        </w:rPr>
      </w:pPr>
      <w:r w:rsidRPr="00D72A90">
        <w:rPr>
          <w:rFonts w:ascii="Book Antiqua" w:hAnsi="Book Antiqua" w:cs="Arial"/>
          <w:sz w:val="24"/>
          <w:szCs w:val="24"/>
        </w:rPr>
        <w:t xml:space="preserve">The first appellant had had significant recourse to the NHS and there was an absence of evidence to show </w:t>
      </w:r>
      <w:r w:rsidR="007B2D31" w:rsidRPr="00D72A90">
        <w:rPr>
          <w:rFonts w:ascii="Book Antiqua" w:hAnsi="Book Antiqua" w:cs="Arial"/>
          <w:sz w:val="24"/>
          <w:szCs w:val="24"/>
        </w:rPr>
        <w:t>sufficient resources to guard against the possibility of being a financial burden on the host state</w:t>
      </w:r>
      <w:r w:rsidR="00D32F48" w:rsidRPr="00D72A90">
        <w:rPr>
          <w:rFonts w:ascii="Book Antiqua" w:hAnsi="Book Antiqua" w:cs="Arial"/>
          <w:sz w:val="24"/>
          <w:szCs w:val="24"/>
        </w:rPr>
        <w:t xml:space="preserve"> with regard his health needs</w:t>
      </w:r>
      <w:r w:rsidR="007B2D31" w:rsidRPr="00D72A90">
        <w:rPr>
          <w:rFonts w:ascii="Book Antiqua" w:hAnsi="Book Antiqua" w:cs="Arial"/>
          <w:sz w:val="24"/>
          <w:szCs w:val="24"/>
        </w:rPr>
        <w:t xml:space="preserve">. </w:t>
      </w:r>
      <w:r w:rsidR="00C356C7" w:rsidRPr="00D72A90">
        <w:rPr>
          <w:rFonts w:ascii="Book Antiqua" w:hAnsi="Book Antiqua" w:cs="Arial"/>
          <w:sz w:val="24"/>
          <w:szCs w:val="24"/>
        </w:rPr>
        <w:t xml:space="preserve">His minimal pension </w:t>
      </w:r>
      <w:r w:rsidR="00D101B1" w:rsidRPr="00D72A90">
        <w:rPr>
          <w:rFonts w:ascii="Book Antiqua" w:hAnsi="Book Antiqua" w:cs="Arial"/>
          <w:sz w:val="24"/>
          <w:szCs w:val="24"/>
        </w:rPr>
        <w:t>could not be assessed to cover his health needs because there was no indication of the cost of his health care.</w:t>
      </w:r>
      <w:r w:rsidR="0010747C" w:rsidRPr="00D72A90">
        <w:rPr>
          <w:rFonts w:ascii="Book Antiqua" w:hAnsi="Book Antiqua" w:cs="Arial"/>
          <w:sz w:val="24"/>
          <w:szCs w:val="24"/>
        </w:rPr>
        <w:t xml:space="preserve"> </w:t>
      </w:r>
      <w:r w:rsidR="004C1D97">
        <w:rPr>
          <w:rFonts w:ascii="Book Antiqua" w:hAnsi="Book Antiqua" w:cs="Arial"/>
          <w:sz w:val="24"/>
          <w:szCs w:val="24"/>
        </w:rPr>
        <w:t xml:space="preserve"> </w:t>
      </w:r>
    </w:p>
    <w:p w14:paraId="5B4B5A4E" w14:textId="3781A8A9" w:rsidR="006542EE" w:rsidRPr="00953614" w:rsidRDefault="004C1D97" w:rsidP="00953614">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For the reasoning given, </w:t>
      </w:r>
      <w:r w:rsidR="0010747C" w:rsidRPr="00D72A90">
        <w:rPr>
          <w:rFonts w:ascii="Book Antiqua" w:hAnsi="Book Antiqua" w:cs="Arial"/>
          <w:sz w:val="24"/>
          <w:szCs w:val="24"/>
        </w:rPr>
        <w:t xml:space="preserve">I am not persuaded that there was a material error of law in </w:t>
      </w:r>
      <w:proofErr w:type="spellStart"/>
      <w:r w:rsidR="0010747C" w:rsidRPr="00D72A90">
        <w:rPr>
          <w:rFonts w:ascii="Book Antiqua" w:hAnsi="Book Antiqua" w:cs="Arial"/>
          <w:sz w:val="24"/>
          <w:szCs w:val="24"/>
        </w:rPr>
        <w:t>Ftt</w:t>
      </w:r>
      <w:proofErr w:type="spellEnd"/>
      <w:r w:rsidR="0010747C" w:rsidRPr="00D72A90">
        <w:rPr>
          <w:rFonts w:ascii="Book Antiqua" w:hAnsi="Book Antiqua" w:cs="Arial"/>
          <w:sz w:val="24"/>
          <w:szCs w:val="24"/>
        </w:rPr>
        <w:t xml:space="preserve"> Judge Hodgkinson’s decision and I find the decision will stand. </w:t>
      </w:r>
    </w:p>
    <w:p w14:paraId="74D451E7" w14:textId="77777777" w:rsidR="006542EE" w:rsidRPr="00D72A90" w:rsidRDefault="006542EE" w:rsidP="006542EE">
      <w:pPr>
        <w:ind w:left="540" w:hanging="540"/>
        <w:jc w:val="both"/>
        <w:rPr>
          <w:rFonts w:ascii="Book Antiqua" w:hAnsi="Book Antiqua" w:cs="Arial"/>
          <w:sz w:val="24"/>
          <w:szCs w:val="24"/>
        </w:rPr>
      </w:pPr>
    </w:p>
    <w:p w14:paraId="1056F685" w14:textId="44ED9935" w:rsidR="006542EE" w:rsidRPr="00D72A90" w:rsidRDefault="006542EE" w:rsidP="006542EE">
      <w:pPr>
        <w:ind w:left="540" w:hanging="540"/>
        <w:jc w:val="both"/>
        <w:rPr>
          <w:rFonts w:ascii="Book Antiqua" w:hAnsi="Book Antiqua" w:cs="Arial"/>
          <w:sz w:val="24"/>
          <w:szCs w:val="24"/>
        </w:rPr>
      </w:pPr>
      <w:r w:rsidRPr="00D72A90">
        <w:rPr>
          <w:rFonts w:ascii="Book Antiqua" w:hAnsi="Book Antiqua" w:cs="Arial"/>
          <w:sz w:val="24"/>
          <w:szCs w:val="24"/>
        </w:rPr>
        <w:t>Signed</w:t>
      </w:r>
      <w:r w:rsidRPr="00D72A90">
        <w:rPr>
          <w:rFonts w:ascii="Book Antiqua" w:hAnsi="Book Antiqua" w:cs="Arial"/>
          <w:sz w:val="24"/>
          <w:szCs w:val="24"/>
        </w:rPr>
        <w:tab/>
      </w:r>
      <w:r w:rsidRPr="00D72A90">
        <w:rPr>
          <w:rFonts w:ascii="Book Antiqua" w:hAnsi="Book Antiqua" w:cs="Arial"/>
          <w:sz w:val="24"/>
          <w:szCs w:val="24"/>
        </w:rPr>
        <w:tab/>
      </w:r>
      <w:r w:rsidRPr="00D72A90">
        <w:rPr>
          <w:rFonts w:ascii="Book Antiqua" w:hAnsi="Book Antiqua" w:cs="Arial"/>
          <w:sz w:val="24"/>
          <w:szCs w:val="24"/>
        </w:rPr>
        <w:tab/>
      </w:r>
      <w:r w:rsidR="00D72A90" w:rsidRPr="00D72A90">
        <w:rPr>
          <w:rFonts w:ascii="Blackadder ITC" w:hAnsi="Blackadder ITC" w:cs="Arial"/>
          <w:sz w:val="24"/>
          <w:szCs w:val="24"/>
        </w:rPr>
        <w:t xml:space="preserve">Helen </w:t>
      </w:r>
      <w:proofErr w:type="spellStart"/>
      <w:r w:rsidR="00D72A90" w:rsidRPr="00D72A90">
        <w:rPr>
          <w:rFonts w:ascii="Blackadder ITC" w:hAnsi="Blackadder ITC" w:cs="Arial"/>
          <w:sz w:val="24"/>
          <w:szCs w:val="24"/>
        </w:rPr>
        <w:t>Rimington</w:t>
      </w:r>
      <w:proofErr w:type="spellEnd"/>
      <w:r w:rsidRPr="00D72A90">
        <w:rPr>
          <w:rFonts w:ascii="Blackadder ITC" w:hAnsi="Blackadder ITC" w:cs="Arial"/>
          <w:sz w:val="24"/>
          <w:szCs w:val="24"/>
        </w:rPr>
        <w:tab/>
      </w:r>
      <w:r w:rsidRPr="00D72A90">
        <w:rPr>
          <w:rFonts w:ascii="Book Antiqua" w:hAnsi="Book Antiqua" w:cs="Arial"/>
          <w:sz w:val="24"/>
          <w:szCs w:val="24"/>
        </w:rPr>
        <w:tab/>
      </w:r>
      <w:r w:rsidR="00953614">
        <w:rPr>
          <w:rFonts w:ascii="Book Antiqua" w:hAnsi="Book Antiqua" w:cs="Arial"/>
          <w:sz w:val="24"/>
          <w:szCs w:val="24"/>
        </w:rPr>
        <w:tab/>
      </w:r>
      <w:r w:rsidR="00953614">
        <w:rPr>
          <w:rFonts w:ascii="Book Antiqua" w:hAnsi="Book Antiqua" w:cs="Arial"/>
          <w:sz w:val="24"/>
          <w:szCs w:val="24"/>
        </w:rPr>
        <w:tab/>
      </w:r>
      <w:proofErr w:type="gramStart"/>
      <w:r w:rsidRPr="00D72A90">
        <w:rPr>
          <w:rFonts w:ascii="Book Antiqua" w:hAnsi="Book Antiqua" w:cs="Arial"/>
          <w:sz w:val="24"/>
          <w:szCs w:val="24"/>
        </w:rPr>
        <w:t xml:space="preserve">Date  </w:t>
      </w:r>
      <w:r w:rsidR="00A60A85" w:rsidRPr="00D72A90">
        <w:rPr>
          <w:rFonts w:ascii="Book Antiqua" w:hAnsi="Book Antiqua" w:cs="Arial"/>
          <w:sz w:val="24"/>
          <w:szCs w:val="24"/>
        </w:rPr>
        <w:t>1</w:t>
      </w:r>
      <w:proofErr w:type="gramEnd"/>
      <w:r w:rsidR="00A60A85" w:rsidRPr="00D72A90">
        <w:rPr>
          <w:rFonts w:ascii="Book Antiqua" w:hAnsi="Book Antiqua" w:cs="Arial"/>
          <w:sz w:val="24"/>
          <w:szCs w:val="24"/>
          <w:vertAlign w:val="superscript"/>
        </w:rPr>
        <w:t>st</w:t>
      </w:r>
      <w:r w:rsidR="00A60A85" w:rsidRPr="00D72A90">
        <w:rPr>
          <w:rFonts w:ascii="Book Antiqua" w:hAnsi="Book Antiqua" w:cs="Arial"/>
          <w:sz w:val="24"/>
          <w:szCs w:val="24"/>
        </w:rPr>
        <w:t xml:space="preserve"> August 2018</w:t>
      </w:r>
    </w:p>
    <w:p w14:paraId="3676824A" w14:textId="502D3FAE" w:rsidR="006542EE" w:rsidRPr="00D72A90" w:rsidRDefault="006542EE" w:rsidP="001769CA">
      <w:pPr>
        <w:tabs>
          <w:tab w:val="left" w:pos="2520"/>
        </w:tabs>
        <w:jc w:val="both"/>
        <w:rPr>
          <w:rFonts w:ascii="Book Antiqua" w:hAnsi="Book Antiqua" w:cs="Arial"/>
          <w:sz w:val="24"/>
          <w:szCs w:val="24"/>
        </w:rPr>
      </w:pPr>
      <w:r w:rsidRPr="00D72A90">
        <w:rPr>
          <w:rFonts w:ascii="Book Antiqua" w:hAnsi="Book Antiqua" w:cs="Arial"/>
          <w:color w:val="000000"/>
          <w:sz w:val="24"/>
          <w:szCs w:val="24"/>
        </w:rPr>
        <w:t xml:space="preserve">Upper Tribunal Judge </w:t>
      </w:r>
      <w:proofErr w:type="spellStart"/>
      <w:r w:rsidRPr="00D72A90">
        <w:rPr>
          <w:rFonts w:ascii="Book Antiqua" w:hAnsi="Book Antiqua" w:cs="Arial"/>
          <w:color w:val="000000"/>
          <w:sz w:val="24"/>
          <w:szCs w:val="24"/>
        </w:rPr>
        <w:t>Rimington</w:t>
      </w:r>
      <w:proofErr w:type="spellEnd"/>
      <w:r w:rsidRPr="00D72A90">
        <w:rPr>
          <w:rFonts w:ascii="Book Antiqua" w:hAnsi="Book Antiqua" w:cs="Arial"/>
          <w:color w:val="000000"/>
          <w:sz w:val="24"/>
          <w:szCs w:val="24"/>
        </w:rPr>
        <w:t xml:space="preserve"> </w:t>
      </w:r>
    </w:p>
    <w:p w14:paraId="24E7618C" w14:textId="77777777" w:rsidR="006542EE" w:rsidRPr="00D72A90" w:rsidRDefault="006542EE" w:rsidP="006542EE">
      <w:pPr>
        <w:jc w:val="center"/>
        <w:rPr>
          <w:rFonts w:ascii="Book Antiqua" w:hAnsi="Book Antiqua" w:cs="Arial"/>
          <w:sz w:val="24"/>
          <w:szCs w:val="24"/>
        </w:rPr>
      </w:pPr>
    </w:p>
    <w:sectPr w:rsidR="006542EE" w:rsidRPr="00D72A90" w:rsidSect="00776CAF">
      <w:headerReference w:type="default" r:id="rId11"/>
      <w:footerReference w:type="default" r:id="rId12"/>
      <w:headerReference w:type="first" r:id="rId13"/>
      <w:footerReference w:type="first" r:id="rId14"/>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3D7BA" w14:textId="77777777" w:rsidR="00712BB0" w:rsidRDefault="00712BB0">
      <w:pPr>
        <w:spacing w:after="0" w:line="240" w:lineRule="auto"/>
      </w:pPr>
      <w:r>
        <w:separator/>
      </w:r>
    </w:p>
  </w:endnote>
  <w:endnote w:type="continuationSeparator" w:id="0">
    <w:p w14:paraId="42A24728" w14:textId="77777777" w:rsidR="00712BB0" w:rsidRDefault="0071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D984" w14:textId="3337124A" w:rsidR="003639B1" w:rsidRPr="008C4DC5" w:rsidRDefault="00D101B1" w:rsidP="003639B1">
    <w:pPr>
      <w:pStyle w:val="Footer"/>
      <w:jc w:val="center"/>
      <w:rPr>
        <w:rFonts w:ascii="Book Antiqua" w:hAnsi="Book Antiqua" w:cs="Arial"/>
        <w:sz w:val="20"/>
        <w:szCs w:val="16"/>
      </w:rPr>
    </w:pPr>
    <w:r w:rsidRPr="008C4DC5">
      <w:rPr>
        <w:rStyle w:val="PageNumber"/>
        <w:rFonts w:ascii="Book Antiqua" w:hAnsi="Book Antiqua" w:cs="Arial"/>
        <w:sz w:val="20"/>
        <w:szCs w:val="16"/>
      </w:rPr>
      <w:fldChar w:fldCharType="begin"/>
    </w:r>
    <w:r w:rsidRPr="008C4DC5">
      <w:rPr>
        <w:rStyle w:val="PageNumber"/>
        <w:rFonts w:ascii="Book Antiqua" w:hAnsi="Book Antiqua" w:cs="Arial"/>
        <w:sz w:val="20"/>
        <w:szCs w:val="16"/>
      </w:rPr>
      <w:instrText xml:space="preserve"> PAGE </w:instrText>
    </w:r>
    <w:r w:rsidRPr="008C4DC5">
      <w:rPr>
        <w:rStyle w:val="PageNumber"/>
        <w:rFonts w:ascii="Book Antiqua" w:hAnsi="Book Antiqua" w:cs="Arial"/>
        <w:sz w:val="20"/>
        <w:szCs w:val="16"/>
      </w:rPr>
      <w:fldChar w:fldCharType="separate"/>
    </w:r>
    <w:r w:rsidR="001370AD">
      <w:rPr>
        <w:rStyle w:val="PageNumber"/>
        <w:rFonts w:ascii="Book Antiqua" w:hAnsi="Book Antiqua" w:cs="Arial"/>
        <w:noProof/>
        <w:sz w:val="20"/>
        <w:szCs w:val="16"/>
      </w:rPr>
      <w:t>10</w:t>
    </w:r>
    <w:r w:rsidRPr="008C4DC5">
      <w:rPr>
        <w:rStyle w:val="PageNumber"/>
        <w:rFonts w:ascii="Book Antiqua" w:hAnsi="Book Antiqua" w:cs="Arial"/>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451B2" w14:textId="77777777" w:rsidR="003639B1" w:rsidRPr="00C4371F" w:rsidRDefault="00D101B1" w:rsidP="003639B1">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750BE" w14:textId="77777777" w:rsidR="00712BB0" w:rsidRDefault="00712BB0">
      <w:pPr>
        <w:spacing w:after="0" w:line="240" w:lineRule="auto"/>
      </w:pPr>
      <w:r>
        <w:separator/>
      </w:r>
    </w:p>
  </w:footnote>
  <w:footnote w:type="continuationSeparator" w:id="0">
    <w:p w14:paraId="6FA7F08D" w14:textId="77777777" w:rsidR="00712BB0" w:rsidRDefault="00712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FA768" w14:textId="470619A9" w:rsidR="00DE167F" w:rsidRPr="008C4DC5" w:rsidRDefault="00D101B1" w:rsidP="008C4DC5">
    <w:pPr>
      <w:tabs>
        <w:tab w:val="right" w:pos="9720"/>
      </w:tabs>
      <w:ind w:left="5760" w:right="-82" w:hanging="5590"/>
      <w:jc w:val="right"/>
      <w:rPr>
        <w:rFonts w:ascii="Book Antiqua" w:hAnsi="Book Antiqua" w:cs="Arial"/>
        <w:color w:val="000000"/>
        <w:sz w:val="20"/>
        <w:szCs w:val="20"/>
      </w:rPr>
    </w:pPr>
    <w:r w:rsidRPr="008C4DC5">
      <w:rPr>
        <w:rFonts w:ascii="Book Antiqua" w:hAnsi="Book Antiqua" w:cs="Arial"/>
        <w:sz w:val="20"/>
        <w:szCs w:val="20"/>
      </w:rPr>
      <w:t xml:space="preserve">Appeal Number: </w:t>
    </w:r>
    <w:r w:rsidR="00DE167F" w:rsidRPr="008C4DC5">
      <w:rPr>
        <w:rFonts w:ascii="Book Antiqua" w:hAnsi="Book Antiqua" w:cs="Arial"/>
        <w:color w:val="000000"/>
        <w:sz w:val="20"/>
        <w:szCs w:val="20"/>
      </w:rPr>
      <w:t>EA/03555/2017 and EA/03563/2017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C21D5" w14:textId="77777777" w:rsidR="003639B1" w:rsidRPr="00C4371F" w:rsidRDefault="00D101B1">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E0E82"/>
    <w:multiLevelType w:val="multilevel"/>
    <w:tmpl w:val="ABEA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F6131"/>
    <w:multiLevelType w:val="multilevel"/>
    <w:tmpl w:val="AE68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54F3D"/>
    <w:multiLevelType w:val="multilevel"/>
    <w:tmpl w:val="2ED4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B2D6D"/>
    <w:multiLevelType w:val="multilevel"/>
    <w:tmpl w:val="FB16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C59CC"/>
    <w:multiLevelType w:val="hybridMultilevel"/>
    <w:tmpl w:val="BC301728"/>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D6224E7A">
      <w:start w:val="1"/>
      <w:numFmt w:val="lowerRoman"/>
      <w:suff w:val="space"/>
      <w:lvlText w:val="(%6)"/>
      <w:lvlJc w:val="left"/>
      <w:pPr>
        <w:ind w:left="567" w:firstLine="0"/>
      </w:pPr>
      <w:rPr>
        <w:rFonts w:hint="default"/>
        <w:i w:val="0"/>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2"/>
    <w:lvlOverride w:ilvl="0">
      <w:startOverride w:val="22"/>
    </w:lvlOverride>
  </w:num>
  <w:num w:numId="3">
    <w:abstractNumId w:val="0"/>
    <w:lvlOverride w:ilvl="0">
      <w:startOverride w:val="3"/>
    </w:lvlOverride>
  </w:num>
  <w:num w:numId="4">
    <w:abstractNumId w:val="3"/>
    <w:lvlOverride w:ilvl="0">
      <w:startOverride w:val="89"/>
    </w:lvlOverride>
  </w:num>
  <w:num w:numId="5">
    <w:abstractNumId w:val="3"/>
    <w:lvlOverride w:ilvl="0">
      <w:startOverride w:val="90"/>
    </w:lvlOverride>
  </w:num>
  <w:num w:numId="6">
    <w:abstractNumId w:val="3"/>
    <w:lvlOverride w:ilvl="0">
      <w:startOverride w:val="91"/>
    </w:lvlOverride>
  </w:num>
  <w:num w:numId="7">
    <w:abstractNumId w:val="3"/>
    <w:lvlOverride w:ilvl="0">
      <w:startOverride w:val="92"/>
    </w:lvlOverride>
  </w:num>
  <w:num w:numId="8">
    <w:abstractNumId w:val="3"/>
    <w:lvlOverride w:ilvl="0">
      <w:startOverride w:val="93"/>
    </w:lvlOverride>
  </w:num>
  <w:num w:numId="9">
    <w:abstractNumId w:val="3"/>
    <w:lvlOverride w:ilvl="0">
      <w:startOverride w:val="94"/>
    </w:lvlOverride>
  </w:num>
  <w:num w:numId="10">
    <w:abstractNumId w:val="1"/>
    <w:lvlOverride w:ilvl="0">
      <w:startOverride w:val="49"/>
    </w:lvlOverride>
  </w:num>
  <w:num w:numId="11">
    <w:abstractNumId w:val="1"/>
    <w:lvlOverride w:ilvl="0">
      <w:startOverride w:val="5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D28BCF-112A-4135-A6FD-8088CA54ECF6}"/>
    <w:docVar w:name="dgnword-eventsink" w:val="588640056"/>
  </w:docVars>
  <w:rsids>
    <w:rsidRoot w:val="00776EEA"/>
    <w:rsid w:val="00000890"/>
    <w:rsid w:val="00000A40"/>
    <w:rsid w:val="000020A2"/>
    <w:rsid w:val="00022708"/>
    <w:rsid w:val="000263C6"/>
    <w:rsid w:val="00052B1D"/>
    <w:rsid w:val="000807C4"/>
    <w:rsid w:val="0008215C"/>
    <w:rsid w:val="000A4B45"/>
    <w:rsid w:val="000B04FC"/>
    <w:rsid w:val="000B2712"/>
    <w:rsid w:val="000C4576"/>
    <w:rsid w:val="000C5742"/>
    <w:rsid w:val="000C7B15"/>
    <w:rsid w:val="000C7BBD"/>
    <w:rsid w:val="000D093E"/>
    <w:rsid w:val="000D34F7"/>
    <w:rsid w:val="000D75E1"/>
    <w:rsid w:val="000E0789"/>
    <w:rsid w:val="00100E2C"/>
    <w:rsid w:val="00102AEE"/>
    <w:rsid w:val="0010747C"/>
    <w:rsid w:val="00121D2D"/>
    <w:rsid w:val="00124F03"/>
    <w:rsid w:val="00127A10"/>
    <w:rsid w:val="00130BC6"/>
    <w:rsid w:val="001331E3"/>
    <w:rsid w:val="001370AD"/>
    <w:rsid w:val="001423A2"/>
    <w:rsid w:val="001430CB"/>
    <w:rsid w:val="0014315C"/>
    <w:rsid w:val="001456F5"/>
    <w:rsid w:val="001541A1"/>
    <w:rsid w:val="001750D7"/>
    <w:rsid w:val="001769CA"/>
    <w:rsid w:val="00176EB1"/>
    <w:rsid w:val="0018569D"/>
    <w:rsid w:val="00192755"/>
    <w:rsid w:val="001930DC"/>
    <w:rsid w:val="00194A77"/>
    <w:rsid w:val="001A78E7"/>
    <w:rsid w:val="001B0A0D"/>
    <w:rsid w:val="001C1780"/>
    <w:rsid w:val="001C6228"/>
    <w:rsid w:val="001D5463"/>
    <w:rsid w:val="001E1902"/>
    <w:rsid w:val="001E500F"/>
    <w:rsid w:val="001E5285"/>
    <w:rsid w:val="001F616B"/>
    <w:rsid w:val="002019D5"/>
    <w:rsid w:val="0021202A"/>
    <w:rsid w:val="002162EF"/>
    <w:rsid w:val="00232FEA"/>
    <w:rsid w:val="00242D38"/>
    <w:rsid w:val="0024469B"/>
    <w:rsid w:val="002517DB"/>
    <w:rsid w:val="00252A54"/>
    <w:rsid w:val="00256FFF"/>
    <w:rsid w:val="002669C2"/>
    <w:rsid w:val="00280A17"/>
    <w:rsid w:val="0028685A"/>
    <w:rsid w:val="00291139"/>
    <w:rsid w:val="00297CE1"/>
    <w:rsid w:val="002B5494"/>
    <w:rsid w:val="002C6F5C"/>
    <w:rsid w:val="002D125E"/>
    <w:rsid w:val="002F1A87"/>
    <w:rsid w:val="002F2DCD"/>
    <w:rsid w:val="003060C7"/>
    <w:rsid w:val="00313DB2"/>
    <w:rsid w:val="00327BDB"/>
    <w:rsid w:val="0033059F"/>
    <w:rsid w:val="00332088"/>
    <w:rsid w:val="0033355A"/>
    <w:rsid w:val="00340DEB"/>
    <w:rsid w:val="003418AD"/>
    <w:rsid w:val="0035378C"/>
    <w:rsid w:val="00356360"/>
    <w:rsid w:val="003736FD"/>
    <w:rsid w:val="00385B0D"/>
    <w:rsid w:val="00391831"/>
    <w:rsid w:val="003A6552"/>
    <w:rsid w:val="003A74DE"/>
    <w:rsid w:val="003B0F91"/>
    <w:rsid w:val="003B2FDC"/>
    <w:rsid w:val="003D0032"/>
    <w:rsid w:val="003D4A10"/>
    <w:rsid w:val="003D5926"/>
    <w:rsid w:val="003E3437"/>
    <w:rsid w:val="003E3E5F"/>
    <w:rsid w:val="003E5092"/>
    <w:rsid w:val="003F48CE"/>
    <w:rsid w:val="004000EE"/>
    <w:rsid w:val="00401515"/>
    <w:rsid w:val="004021CE"/>
    <w:rsid w:val="00402AD3"/>
    <w:rsid w:val="004151BF"/>
    <w:rsid w:val="00431765"/>
    <w:rsid w:val="0043383A"/>
    <w:rsid w:val="00433E0D"/>
    <w:rsid w:val="00436376"/>
    <w:rsid w:val="004636E2"/>
    <w:rsid w:val="00466C22"/>
    <w:rsid w:val="00470BCA"/>
    <w:rsid w:val="00471BE7"/>
    <w:rsid w:val="00474A57"/>
    <w:rsid w:val="004778E8"/>
    <w:rsid w:val="00484733"/>
    <w:rsid w:val="00485B5C"/>
    <w:rsid w:val="004936F9"/>
    <w:rsid w:val="00496EAF"/>
    <w:rsid w:val="004A35AB"/>
    <w:rsid w:val="004A539B"/>
    <w:rsid w:val="004A5FB8"/>
    <w:rsid w:val="004C1D97"/>
    <w:rsid w:val="004C7047"/>
    <w:rsid w:val="004C79C6"/>
    <w:rsid w:val="004D21C0"/>
    <w:rsid w:val="004E1835"/>
    <w:rsid w:val="004E2CAB"/>
    <w:rsid w:val="004E4D2A"/>
    <w:rsid w:val="004E7B28"/>
    <w:rsid w:val="004F1BD7"/>
    <w:rsid w:val="00504147"/>
    <w:rsid w:val="00507ADE"/>
    <w:rsid w:val="005148A1"/>
    <w:rsid w:val="00516720"/>
    <w:rsid w:val="00522539"/>
    <w:rsid w:val="0052631F"/>
    <w:rsid w:val="00527F68"/>
    <w:rsid w:val="0054183D"/>
    <w:rsid w:val="005522C2"/>
    <w:rsid w:val="00552619"/>
    <w:rsid w:val="00553C92"/>
    <w:rsid w:val="00567BCC"/>
    <w:rsid w:val="00570333"/>
    <w:rsid w:val="00580052"/>
    <w:rsid w:val="00582777"/>
    <w:rsid w:val="00585460"/>
    <w:rsid w:val="005A199F"/>
    <w:rsid w:val="005A2134"/>
    <w:rsid w:val="005A280D"/>
    <w:rsid w:val="005B5A82"/>
    <w:rsid w:val="005B6120"/>
    <w:rsid w:val="005C20A7"/>
    <w:rsid w:val="005C367B"/>
    <w:rsid w:val="005C5F02"/>
    <w:rsid w:val="005D7251"/>
    <w:rsid w:val="005E24E7"/>
    <w:rsid w:val="005E57CF"/>
    <w:rsid w:val="005E5B02"/>
    <w:rsid w:val="005F7A01"/>
    <w:rsid w:val="005F7CA9"/>
    <w:rsid w:val="00604956"/>
    <w:rsid w:val="006054D7"/>
    <w:rsid w:val="006079D2"/>
    <w:rsid w:val="0061663F"/>
    <w:rsid w:val="00617DB3"/>
    <w:rsid w:val="00623AEB"/>
    <w:rsid w:val="0062438B"/>
    <w:rsid w:val="0063641A"/>
    <w:rsid w:val="0064183D"/>
    <w:rsid w:val="00643AA4"/>
    <w:rsid w:val="0065028B"/>
    <w:rsid w:val="006542EE"/>
    <w:rsid w:val="00672D4A"/>
    <w:rsid w:val="00676FAF"/>
    <w:rsid w:val="006816FF"/>
    <w:rsid w:val="006A478F"/>
    <w:rsid w:val="006A7518"/>
    <w:rsid w:val="006C0A74"/>
    <w:rsid w:val="006C1E3F"/>
    <w:rsid w:val="006C34C1"/>
    <w:rsid w:val="006D11FB"/>
    <w:rsid w:val="006D3D71"/>
    <w:rsid w:val="006E3C5D"/>
    <w:rsid w:val="006E7415"/>
    <w:rsid w:val="006F4580"/>
    <w:rsid w:val="00711137"/>
    <w:rsid w:val="00712BB0"/>
    <w:rsid w:val="0071769D"/>
    <w:rsid w:val="00723E4A"/>
    <w:rsid w:val="00724279"/>
    <w:rsid w:val="00725F97"/>
    <w:rsid w:val="007300A0"/>
    <w:rsid w:val="00743661"/>
    <w:rsid w:val="00743DD8"/>
    <w:rsid w:val="0075484B"/>
    <w:rsid w:val="007548B4"/>
    <w:rsid w:val="00755D8F"/>
    <w:rsid w:val="00776CAF"/>
    <w:rsid w:val="00776EEA"/>
    <w:rsid w:val="0078040F"/>
    <w:rsid w:val="00790CCE"/>
    <w:rsid w:val="00796CD9"/>
    <w:rsid w:val="007A66C1"/>
    <w:rsid w:val="007B2D31"/>
    <w:rsid w:val="007C2EED"/>
    <w:rsid w:val="007C71CD"/>
    <w:rsid w:val="007C7DD1"/>
    <w:rsid w:val="007D5935"/>
    <w:rsid w:val="007E2229"/>
    <w:rsid w:val="007F0029"/>
    <w:rsid w:val="00803A0C"/>
    <w:rsid w:val="0081054A"/>
    <w:rsid w:val="008349C3"/>
    <w:rsid w:val="0083786D"/>
    <w:rsid w:val="00852832"/>
    <w:rsid w:val="00861F85"/>
    <w:rsid w:val="008652CE"/>
    <w:rsid w:val="00877302"/>
    <w:rsid w:val="0088569A"/>
    <w:rsid w:val="00885E8E"/>
    <w:rsid w:val="0088617C"/>
    <w:rsid w:val="00890128"/>
    <w:rsid w:val="00890C85"/>
    <w:rsid w:val="008A0FBF"/>
    <w:rsid w:val="008A2D16"/>
    <w:rsid w:val="008B66D7"/>
    <w:rsid w:val="008C4DC5"/>
    <w:rsid w:val="008D10A3"/>
    <w:rsid w:val="008D4532"/>
    <w:rsid w:val="008E003F"/>
    <w:rsid w:val="008E3458"/>
    <w:rsid w:val="008E7782"/>
    <w:rsid w:val="008F0107"/>
    <w:rsid w:val="008F51B1"/>
    <w:rsid w:val="00903FC7"/>
    <w:rsid w:val="00907DF9"/>
    <w:rsid w:val="00922647"/>
    <w:rsid w:val="00935C06"/>
    <w:rsid w:val="00935C4A"/>
    <w:rsid w:val="00936F5D"/>
    <w:rsid w:val="0094579C"/>
    <w:rsid w:val="00950713"/>
    <w:rsid w:val="00953614"/>
    <w:rsid w:val="00984BC0"/>
    <w:rsid w:val="00991ECE"/>
    <w:rsid w:val="00995F46"/>
    <w:rsid w:val="009A0FF8"/>
    <w:rsid w:val="009B0CE5"/>
    <w:rsid w:val="009D4A49"/>
    <w:rsid w:val="009E7E1A"/>
    <w:rsid w:val="009F4CE4"/>
    <w:rsid w:val="009F7211"/>
    <w:rsid w:val="00A15866"/>
    <w:rsid w:val="00A27BB8"/>
    <w:rsid w:val="00A36BB9"/>
    <w:rsid w:val="00A537C4"/>
    <w:rsid w:val="00A56823"/>
    <w:rsid w:val="00A60A85"/>
    <w:rsid w:val="00A61CD6"/>
    <w:rsid w:val="00A64ACF"/>
    <w:rsid w:val="00A653B7"/>
    <w:rsid w:val="00A7027D"/>
    <w:rsid w:val="00A76BEF"/>
    <w:rsid w:val="00AD3A80"/>
    <w:rsid w:val="00AD6A9D"/>
    <w:rsid w:val="00AF2450"/>
    <w:rsid w:val="00B00841"/>
    <w:rsid w:val="00B17A08"/>
    <w:rsid w:val="00B2071E"/>
    <w:rsid w:val="00B31FC8"/>
    <w:rsid w:val="00B35162"/>
    <w:rsid w:val="00B42F34"/>
    <w:rsid w:val="00B537BE"/>
    <w:rsid w:val="00B6235F"/>
    <w:rsid w:val="00B71620"/>
    <w:rsid w:val="00B7653A"/>
    <w:rsid w:val="00B8546C"/>
    <w:rsid w:val="00B85E54"/>
    <w:rsid w:val="00B92C2E"/>
    <w:rsid w:val="00BA03CE"/>
    <w:rsid w:val="00BB0781"/>
    <w:rsid w:val="00BB7EE6"/>
    <w:rsid w:val="00BC0A12"/>
    <w:rsid w:val="00BC5514"/>
    <w:rsid w:val="00BE28C9"/>
    <w:rsid w:val="00BE2EFD"/>
    <w:rsid w:val="00BE4FEC"/>
    <w:rsid w:val="00BE78FF"/>
    <w:rsid w:val="00BF47FB"/>
    <w:rsid w:val="00C0588B"/>
    <w:rsid w:val="00C06777"/>
    <w:rsid w:val="00C104D5"/>
    <w:rsid w:val="00C11307"/>
    <w:rsid w:val="00C16997"/>
    <w:rsid w:val="00C22377"/>
    <w:rsid w:val="00C267BA"/>
    <w:rsid w:val="00C30EFE"/>
    <w:rsid w:val="00C33D8D"/>
    <w:rsid w:val="00C356C7"/>
    <w:rsid w:val="00C47B8B"/>
    <w:rsid w:val="00C54BAB"/>
    <w:rsid w:val="00CA54D7"/>
    <w:rsid w:val="00CA6B2D"/>
    <w:rsid w:val="00CB65AF"/>
    <w:rsid w:val="00CC028C"/>
    <w:rsid w:val="00CD0DB6"/>
    <w:rsid w:val="00CD3704"/>
    <w:rsid w:val="00CD3E00"/>
    <w:rsid w:val="00CD4B47"/>
    <w:rsid w:val="00CF08DB"/>
    <w:rsid w:val="00CF3675"/>
    <w:rsid w:val="00CF5DC5"/>
    <w:rsid w:val="00D00483"/>
    <w:rsid w:val="00D01C3D"/>
    <w:rsid w:val="00D101B1"/>
    <w:rsid w:val="00D10A16"/>
    <w:rsid w:val="00D17D75"/>
    <w:rsid w:val="00D305E5"/>
    <w:rsid w:val="00D32F48"/>
    <w:rsid w:val="00D36D0A"/>
    <w:rsid w:val="00D40050"/>
    <w:rsid w:val="00D46791"/>
    <w:rsid w:val="00D4725C"/>
    <w:rsid w:val="00D4767B"/>
    <w:rsid w:val="00D50569"/>
    <w:rsid w:val="00D62078"/>
    <w:rsid w:val="00D64C0F"/>
    <w:rsid w:val="00D72A90"/>
    <w:rsid w:val="00D76C4D"/>
    <w:rsid w:val="00D82A5A"/>
    <w:rsid w:val="00D85F72"/>
    <w:rsid w:val="00D911E2"/>
    <w:rsid w:val="00DA7BCA"/>
    <w:rsid w:val="00DB2445"/>
    <w:rsid w:val="00DC171C"/>
    <w:rsid w:val="00DC7E2A"/>
    <w:rsid w:val="00DD302E"/>
    <w:rsid w:val="00DE167F"/>
    <w:rsid w:val="00DF62E6"/>
    <w:rsid w:val="00E15735"/>
    <w:rsid w:val="00E161FE"/>
    <w:rsid w:val="00E453C4"/>
    <w:rsid w:val="00E4604D"/>
    <w:rsid w:val="00E522DA"/>
    <w:rsid w:val="00E55B91"/>
    <w:rsid w:val="00E57AF1"/>
    <w:rsid w:val="00E6106B"/>
    <w:rsid w:val="00E75955"/>
    <w:rsid w:val="00E82535"/>
    <w:rsid w:val="00E845E2"/>
    <w:rsid w:val="00E85D72"/>
    <w:rsid w:val="00EA0823"/>
    <w:rsid w:val="00EA45F1"/>
    <w:rsid w:val="00EA6E1D"/>
    <w:rsid w:val="00EB2AB6"/>
    <w:rsid w:val="00EC5A18"/>
    <w:rsid w:val="00ED64A5"/>
    <w:rsid w:val="00EE25DE"/>
    <w:rsid w:val="00EF10D3"/>
    <w:rsid w:val="00F0230F"/>
    <w:rsid w:val="00F16C53"/>
    <w:rsid w:val="00F23125"/>
    <w:rsid w:val="00F2615E"/>
    <w:rsid w:val="00F34D88"/>
    <w:rsid w:val="00F6062D"/>
    <w:rsid w:val="00F621A4"/>
    <w:rsid w:val="00F63086"/>
    <w:rsid w:val="00F83B76"/>
    <w:rsid w:val="00FA0F5D"/>
    <w:rsid w:val="00FA417E"/>
    <w:rsid w:val="00FA760A"/>
    <w:rsid w:val="00FD7C92"/>
    <w:rsid w:val="00FE404D"/>
    <w:rsid w:val="00FE4136"/>
    <w:rsid w:val="00FF6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DB2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6E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EEA"/>
    <w:rPr>
      <w:rFonts w:ascii="Times New Roman" w:eastAsia="Times New Roman" w:hAnsi="Times New Roman" w:cs="Times New Roman"/>
      <w:b/>
      <w:bCs/>
      <w:sz w:val="27"/>
      <w:szCs w:val="27"/>
      <w:lang w:eastAsia="en-GB"/>
    </w:rPr>
  </w:style>
  <w:style w:type="paragraph" w:customStyle="1" w:styleId="legp1paratext">
    <w:name w:val="legp1paratext"/>
    <w:basedOn w:val="Normal"/>
    <w:rsid w:val="00776E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p1no">
    <w:name w:val="legp1no"/>
    <w:basedOn w:val="DefaultParagraphFont"/>
    <w:rsid w:val="00776EEA"/>
  </w:style>
  <w:style w:type="character" w:styleId="HTMLAcronym">
    <w:name w:val="HTML Acronym"/>
    <w:basedOn w:val="DefaultParagraphFont"/>
    <w:uiPriority w:val="99"/>
    <w:semiHidden/>
    <w:unhideWhenUsed/>
    <w:rsid w:val="00776EEA"/>
  </w:style>
  <w:style w:type="paragraph" w:customStyle="1" w:styleId="legclearfix">
    <w:name w:val="legclearfix"/>
    <w:basedOn w:val="Normal"/>
    <w:rsid w:val="00776E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ds">
    <w:name w:val="legds"/>
    <w:basedOn w:val="DefaultParagraphFont"/>
    <w:rsid w:val="00776EEA"/>
  </w:style>
  <w:style w:type="character" w:styleId="Hyperlink">
    <w:name w:val="Hyperlink"/>
    <w:basedOn w:val="DefaultParagraphFont"/>
    <w:uiPriority w:val="99"/>
    <w:semiHidden/>
    <w:unhideWhenUsed/>
    <w:rsid w:val="007F0029"/>
    <w:rPr>
      <w:color w:val="0000FF"/>
      <w:u w:val="single"/>
    </w:rPr>
  </w:style>
  <w:style w:type="paragraph" w:styleId="Header">
    <w:name w:val="header"/>
    <w:basedOn w:val="Normal"/>
    <w:link w:val="HeaderChar"/>
    <w:rsid w:val="006542EE"/>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rsid w:val="006542EE"/>
    <w:rPr>
      <w:rFonts w:ascii="Times New Roman" w:eastAsia="Times New Roman" w:hAnsi="Times New Roman" w:cs="Times New Roman"/>
      <w:sz w:val="24"/>
      <w:szCs w:val="24"/>
      <w:lang w:eastAsia="en-GB"/>
    </w:rPr>
  </w:style>
  <w:style w:type="paragraph" w:styleId="Footer">
    <w:name w:val="footer"/>
    <w:basedOn w:val="Normal"/>
    <w:link w:val="FooterChar"/>
    <w:rsid w:val="006542EE"/>
    <w:pPr>
      <w:tabs>
        <w:tab w:val="center" w:pos="4153"/>
        <w:tab w:val="right" w:pos="8306"/>
      </w:tabs>
      <w:spacing w:after="0" w:line="240" w:lineRule="auto"/>
    </w:pPr>
    <w:rPr>
      <w:rFonts w:ascii="Times New Roman" w:eastAsia="Times New Roman" w:hAnsi="Times New Roman" w:cs="Times New Roman"/>
      <w:sz w:val="24"/>
      <w:szCs w:val="24"/>
      <w:lang w:eastAsia="en-GB"/>
    </w:rPr>
  </w:style>
  <w:style w:type="character" w:customStyle="1" w:styleId="FooterChar">
    <w:name w:val="Footer Char"/>
    <w:basedOn w:val="DefaultParagraphFont"/>
    <w:link w:val="Footer"/>
    <w:rsid w:val="006542EE"/>
    <w:rPr>
      <w:rFonts w:ascii="Times New Roman" w:eastAsia="Times New Roman" w:hAnsi="Times New Roman" w:cs="Times New Roman"/>
      <w:sz w:val="24"/>
      <w:szCs w:val="24"/>
      <w:lang w:eastAsia="en-GB"/>
    </w:rPr>
  </w:style>
  <w:style w:type="character" w:styleId="PageNumber">
    <w:name w:val="page number"/>
    <w:rsid w:val="006542EE"/>
  </w:style>
  <w:style w:type="paragraph" w:styleId="ListParagraph">
    <w:name w:val="List Paragraph"/>
    <w:basedOn w:val="Normal"/>
    <w:uiPriority w:val="34"/>
    <w:qFormat/>
    <w:rsid w:val="005F7CA9"/>
    <w:pPr>
      <w:ind w:left="720"/>
      <w:contextualSpacing/>
    </w:pPr>
  </w:style>
  <w:style w:type="paragraph" w:customStyle="1" w:styleId="Normal1">
    <w:name w:val="Normal1"/>
    <w:basedOn w:val="Normal"/>
    <w:rsid w:val="005A28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01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7509">
      <w:bodyDiv w:val="1"/>
      <w:marLeft w:val="0"/>
      <w:marRight w:val="0"/>
      <w:marTop w:val="0"/>
      <w:marBottom w:val="0"/>
      <w:divBdr>
        <w:top w:val="none" w:sz="0" w:space="0" w:color="auto"/>
        <w:left w:val="none" w:sz="0" w:space="0" w:color="auto"/>
        <w:bottom w:val="none" w:sz="0" w:space="0" w:color="auto"/>
        <w:right w:val="none" w:sz="0" w:space="0" w:color="auto"/>
      </w:divBdr>
    </w:div>
    <w:div w:id="616908126">
      <w:bodyDiv w:val="1"/>
      <w:marLeft w:val="0"/>
      <w:marRight w:val="0"/>
      <w:marTop w:val="0"/>
      <w:marBottom w:val="0"/>
      <w:divBdr>
        <w:top w:val="none" w:sz="0" w:space="0" w:color="auto"/>
        <w:left w:val="none" w:sz="0" w:space="0" w:color="auto"/>
        <w:bottom w:val="none" w:sz="0" w:space="0" w:color="auto"/>
        <w:right w:val="none" w:sz="0" w:space="0" w:color="auto"/>
      </w:divBdr>
      <w:divsChild>
        <w:div w:id="604506463">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2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44066">
      <w:bodyDiv w:val="1"/>
      <w:marLeft w:val="0"/>
      <w:marRight w:val="0"/>
      <w:marTop w:val="0"/>
      <w:marBottom w:val="0"/>
      <w:divBdr>
        <w:top w:val="none" w:sz="0" w:space="0" w:color="auto"/>
        <w:left w:val="none" w:sz="0" w:space="0" w:color="auto"/>
        <w:bottom w:val="none" w:sz="0" w:space="0" w:color="auto"/>
        <w:right w:val="none" w:sz="0" w:space="0" w:color="auto"/>
      </w:divBdr>
    </w:div>
    <w:div w:id="746264871">
      <w:bodyDiv w:val="1"/>
      <w:marLeft w:val="0"/>
      <w:marRight w:val="0"/>
      <w:marTop w:val="0"/>
      <w:marBottom w:val="0"/>
      <w:divBdr>
        <w:top w:val="none" w:sz="0" w:space="0" w:color="auto"/>
        <w:left w:val="none" w:sz="0" w:space="0" w:color="auto"/>
        <w:bottom w:val="none" w:sz="0" w:space="0" w:color="auto"/>
        <w:right w:val="none" w:sz="0" w:space="0" w:color="auto"/>
      </w:divBdr>
    </w:div>
    <w:div w:id="1041710184">
      <w:bodyDiv w:val="1"/>
      <w:marLeft w:val="0"/>
      <w:marRight w:val="0"/>
      <w:marTop w:val="0"/>
      <w:marBottom w:val="0"/>
      <w:divBdr>
        <w:top w:val="none" w:sz="0" w:space="0" w:color="auto"/>
        <w:left w:val="none" w:sz="0" w:space="0" w:color="auto"/>
        <w:bottom w:val="none" w:sz="0" w:space="0" w:color="auto"/>
        <w:right w:val="none" w:sz="0" w:space="0" w:color="auto"/>
      </w:divBdr>
    </w:div>
    <w:div w:id="1162240032">
      <w:bodyDiv w:val="1"/>
      <w:marLeft w:val="0"/>
      <w:marRight w:val="0"/>
      <w:marTop w:val="0"/>
      <w:marBottom w:val="0"/>
      <w:divBdr>
        <w:top w:val="none" w:sz="0" w:space="0" w:color="auto"/>
        <w:left w:val="none" w:sz="0" w:space="0" w:color="auto"/>
        <w:bottom w:val="none" w:sz="0" w:space="0" w:color="auto"/>
        <w:right w:val="none" w:sz="0" w:space="0" w:color="auto"/>
      </w:divBdr>
    </w:div>
    <w:div w:id="1727483814">
      <w:bodyDiv w:val="1"/>
      <w:marLeft w:val="0"/>
      <w:marRight w:val="0"/>
      <w:marTop w:val="0"/>
      <w:marBottom w:val="0"/>
      <w:divBdr>
        <w:top w:val="none" w:sz="0" w:space="0" w:color="auto"/>
        <w:left w:val="none" w:sz="0" w:space="0" w:color="auto"/>
        <w:bottom w:val="none" w:sz="0" w:space="0" w:color="auto"/>
        <w:right w:val="none" w:sz="0" w:space="0" w:color="auto"/>
      </w:divBdr>
    </w:div>
    <w:div w:id="1899514339">
      <w:bodyDiv w:val="1"/>
      <w:marLeft w:val="0"/>
      <w:marRight w:val="0"/>
      <w:marTop w:val="0"/>
      <w:marBottom w:val="0"/>
      <w:divBdr>
        <w:top w:val="none" w:sz="0" w:space="0" w:color="auto"/>
        <w:left w:val="none" w:sz="0" w:space="0" w:color="auto"/>
        <w:bottom w:val="none" w:sz="0" w:space="0" w:color="auto"/>
        <w:right w:val="none" w:sz="0" w:space="0" w:color="auto"/>
      </w:divBdr>
      <w:divsChild>
        <w:div w:id="112554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4554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8561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73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ailii.org/eu/cases/EUECJ/2002/C41399.html" TargetMode="External"/><Relationship Id="rId4" Type="http://schemas.openxmlformats.org/officeDocument/2006/relationships/settings" Target="settings.xml"/><Relationship Id="rId9" Type="http://schemas.openxmlformats.org/officeDocument/2006/relationships/hyperlink" Target="http://www.legislation.gov.uk/uksi/2006/1003/regulation/4/mad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812BD5A2-4EB2-44AF-B6CD-52516AA6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3723</Words>
  <Characters>21224</Characters>
  <Application>Microsoft Office Word</Application>
  <DocSecurity>0</DocSecurity>
  <Lines>176</Lines>
  <Paragraphs>49</Paragraphs>
  <ScaleCrop>false</ScaleCrop>
  <Company/>
  <LinksUpToDate>false</LinksUpToDate>
  <CharactersWithSpaces>24898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2018-09-20T15:09:00Z</dcterms:created>
  <dcterms:modified xsi:type="dcterms:W3CDTF">2018-09-20T15:10:00Z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