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95569A" w:rsidRDefault="00A30E42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95569A">
        <w:rPr>
          <w:noProof/>
          <w:sz w:val="16"/>
          <w:szCs w:val="16"/>
        </w:rPr>
        <w:drawing>
          <wp:inline distT="0" distB="0" distL="0" distR="0">
            <wp:extent cx="10477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95569A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FE490D">
        <w:rPr>
          <w:rFonts w:ascii="Book Antiqua" w:hAnsi="Book Antiqua" w:cs="Arial"/>
          <w:caps/>
          <w:color w:val="000000"/>
        </w:rPr>
        <w:t>EA/03590/2017</w:t>
      </w:r>
      <w:bookmarkEnd w:id="0"/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9B7433" w:rsidTr="00D949B7">
        <w:tc>
          <w:tcPr>
            <w:tcW w:w="6048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Heard at </w:t>
            </w:r>
            <w:r w:rsidR="00FE490D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</w:tcPr>
          <w:p w:rsidR="00D22636" w:rsidRPr="009B7433" w:rsidRDefault="00D949B7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9B7433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9B7433" w:rsidTr="00D949B7">
        <w:tc>
          <w:tcPr>
            <w:tcW w:w="6048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On </w:t>
            </w:r>
            <w:r w:rsidR="00FE490D">
              <w:rPr>
                <w:rFonts w:ascii="Book Antiqua" w:hAnsi="Book Antiqua" w:cs="Arial"/>
                <w:b/>
              </w:rPr>
              <w:t>29 August 2018</w:t>
            </w:r>
          </w:p>
        </w:tc>
        <w:tc>
          <w:tcPr>
            <w:tcW w:w="3960" w:type="dxa"/>
          </w:tcPr>
          <w:p w:rsidR="00D22636" w:rsidRPr="009B7433" w:rsidRDefault="00176CE3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13 September 2018</w:t>
            </w:r>
          </w:p>
        </w:tc>
      </w:tr>
      <w:tr w:rsidR="00D22636" w:rsidRPr="009B7433" w:rsidTr="00D949B7">
        <w:tc>
          <w:tcPr>
            <w:tcW w:w="6048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9B7433" w:rsidRDefault="004A2D15" w:rsidP="00FE490D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</w:t>
      </w:r>
      <w:r w:rsidR="00273201">
        <w:rPr>
          <w:rFonts w:ascii="Book Antiqua" w:hAnsi="Book Antiqua" w:cs="Arial"/>
          <w:b/>
          <w:color w:val="000000"/>
        </w:rPr>
        <w:t>PUTY UPPER TRIBUNAL JUDGE SHERIDAN</w:t>
      </w:r>
    </w:p>
    <w:p w:rsidR="00D20757" w:rsidRDefault="00D20757" w:rsidP="00A15234">
      <w:pPr>
        <w:jc w:val="center"/>
        <w:rPr>
          <w:rFonts w:ascii="Book Antiqua" w:hAnsi="Book Antiqua" w:cs="Arial"/>
          <w:b/>
        </w:rPr>
      </w:pPr>
    </w:p>
    <w:p w:rsidR="0095569A" w:rsidRPr="009B7433" w:rsidRDefault="0095569A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FE490D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mr </w:t>
      </w:r>
      <w:r w:rsidRPr="00FE490D">
        <w:rPr>
          <w:rFonts w:ascii="Book Antiqua" w:hAnsi="Book Antiqua" w:cs="Arial"/>
          <w:b/>
          <w:caps/>
        </w:rPr>
        <w:t>Manjit</w:t>
      </w:r>
      <w:r>
        <w:rPr>
          <w:rFonts w:ascii="Book Antiqua" w:hAnsi="Book Antiqua" w:cs="Arial"/>
          <w:b/>
          <w:caps/>
        </w:rPr>
        <w:t xml:space="preserve"> </w:t>
      </w:r>
      <w:r w:rsidRPr="00FE490D">
        <w:rPr>
          <w:rFonts w:ascii="Book Antiqua" w:hAnsi="Book Antiqua" w:cs="Arial"/>
          <w:b/>
          <w:caps/>
        </w:rPr>
        <w:t>Bajwa</w:t>
      </w:r>
    </w:p>
    <w:p w:rsidR="00D949B7" w:rsidRDefault="00D949B7" w:rsidP="00D949B7">
      <w:pPr>
        <w:jc w:val="center"/>
        <w:rPr>
          <w:rFonts w:ascii="Book Antiqua" w:hAnsi="Book Antiqua" w:cs="Arial"/>
          <w:b/>
          <w:caps/>
        </w:rPr>
      </w:pPr>
      <w:r w:rsidRPr="00D949B7">
        <w:rPr>
          <w:rFonts w:ascii="Book Antiqua" w:hAnsi="Book Antiqua" w:cs="Arial"/>
          <w:b/>
          <w:caps/>
        </w:rPr>
        <w:t xml:space="preserve">(ANONYMITY DIRECTION </w:t>
      </w:r>
      <w:r w:rsidR="00A30E42">
        <w:rPr>
          <w:rFonts w:ascii="Book Antiqua" w:hAnsi="Book Antiqua" w:cs="Arial"/>
          <w:b/>
          <w:caps/>
        </w:rPr>
        <w:t>not made</w:t>
      </w:r>
      <w:r w:rsidRPr="00D949B7">
        <w:rPr>
          <w:rFonts w:ascii="Book Antiqua" w:hAnsi="Book Antiqua" w:cs="Arial"/>
          <w:b/>
          <w:caps/>
        </w:rPr>
        <w:t>)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9B7433" w:rsidRDefault="00F56662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="00DD5071" w:rsidRPr="009B7433">
        <w:rPr>
          <w:rFonts w:ascii="Book Antiqua" w:hAnsi="Book Antiqua" w:cs="Arial"/>
          <w:b/>
        </w:rPr>
        <w:instrText xml:space="preserve"> FORMTEXT </w:instrText>
      </w:r>
      <w:r w:rsidRPr="009B7433">
        <w:rPr>
          <w:rFonts w:ascii="Book Antiqua" w:hAnsi="Book Antiqua" w:cs="Arial"/>
          <w:b/>
        </w:rPr>
      </w:r>
      <w:r w:rsidRPr="009B7433">
        <w:rPr>
          <w:rFonts w:ascii="Book Antiqua" w:hAnsi="Book Antiqua" w:cs="Arial"/>
          <w:b/>
        </w:rPr>
        <w:fldChar w:fldCharType="separate"/>
      </w:r>
      <w:r w:rsidR="00DD5071" w:rsidRPr="009B7433">
        <w:rPr>
          <w:rFonts w:ascii="Book Antiqua" w:hAnsi="Book Antiqua" w:cs="Arial"/>
          <w:b/>
          <w:noProof/>
        </w:rPr>
        <w:t>THE SECRETARY OF STATE FOR THE HOME DEPARTMENT</w:t>
      </w:r>
      <w:r w:rsidRPr="009B7433">
        <w:rPr>
          <w:rFonts w:ascii="Book Antiqua" w:hAnsi="Book Antiqua" w:cs="Arial"/>
          <w:b/>
        </w:rPr>
        <w:fldChar w:fldCharType="end"/>
      </w:r>
      <w:bookmarkEnd w:id="1"/>
    </w:p>
    <w:p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DD5071" w:rsidRDefault="00DD5071" w:rsidP="00DD5071">
      <w:pPr>
        <w:rPr>
          <w:rFonts w:ascii="Book Antiqua" w:hAnsi="Book Antiqua" w:cs="Arial"/>
          <w:u w:val="single"/>
        </w:rPr>
      </w:pPr>
    </w:p>
    <w:p w:rsidR="0095569A" w:rsidRPr="009B7433" w:rsidRDefault="0095569A" w:rsidP="00DD5071">
      <w:pPr>
        <w:rPr>
          <w:rFonts w:ascii="Book Antiqua" w:hAnsi="Book Antiqua" w:cs="Arial"/>
          <w:u w:val="single"/>
        </w:rPr>
      </w:pPr>
    </w:p>
    <w:p w:rsidR="00DD5071" w:rsidRPr="009B7433" w:rsidRDefault="00DE7DB7" w:rsidP="00DD5071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Appellant:</w:t>
      </w:r>
      <w:r w:rsidRPr="009B7433">
        <w:rPr>
          <w:rFonts w:ascii="Book Antiqua" w:hAnsi="Book Antiqua" w:cs="Arial"/>
        </w:rPr>
        <w:tab/>
      </w:r>
      <w:r w:rsidR="00FE490D">
        <w:rPr>
          <w:rFonts w:ascii="Book Antiqua" w:hAnsi="Book Antiqua" w:cs="Arial"/>
        </w:rPr>
        <w:t>Mr R Sharma</w:t>
      </w:r>
      <w:r w:rsidR="002A32C3">
        <w:rPr>
          <w:rFonts w:ascii="Book Antiqua" w:hAnsi="Book Antiqua" w:cs="Arial"/>
        </w:rPr>
        <w:t>,</w:t>
      </w:r>
      <w:r w:rsidR="00FE490D">
        <w:rPr>
          <w:rFonts w:ascii="Book Antiqua" w:hAnsi="Book Antiqua" w:cs="Arial"/>
        </w:rPr>
        <w:t xml:space="preserve"> Counsel instructed by Justin Law Solicitors</w:t>
      </w: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FE490D">
        <w:rPr>
          <w:rFonts w:ascii="Book Antiqua" w:hAnsi="Book Antiqua" w:cs="Arial"/>
        </w:rPr>
        <w:t>Mr N Bramble, Home Office Presenting Officer</w:t>
      </w:r>
    </w:p>
    <w:p w:rsidR="00DE7DB7" w:rsidRDefault="00DE7DB7" w:rsidP="00CE2617">
      <w:pPr>
        <w:rPr>
          <w:rFonts w:ascii="Book Antiqua" w:hAnsi="Book Antiqua" w:cs="Arial"/>
        </w:rPr>
      </w:pPr>
    </w:p>
    <w:p w:rsidR="00CE2617" w:rsidRPr="009B7433" w:rsidRDefault="00CE2617" w:rsidP="00CE2617">
      <w:pPr>
        <w:rPr>
          <w:rFonts w:ascii="Book Antiqua" w:hAnsi="Book Antiqua" w:cs="Arial"/>
        </w:rPr>
      </w:pPr>
    </w:p>
    <w:p w:rsidR="00402B9E" w:rsidRPr="009B7433" w:rsidRDefault="00D949B7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9B7433">
        <w:rPr>
          <w:rFonts w:ascii="Book Antiqua" w:hAnsi="Book Antiqua" w:cs="Arial"/>
          <w:b/>
          <w:u w:val="single"/>
        </w:rPr>
        <w:t>AND REASONS</w:t>
      </w:r>
    </w:p>
    <w:p w:rsidR="00A81C42" w:rsidRDefault="002A32C3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>By</w:t>
      </w:r>
      <w:r w:rsidR="00FE490D">
        <w:rPr>
          <w:rFonts w:ascii="Book Antiqua" w:hAnsi="Book Antiqua" w:cs="Arial"/>
        </w:rPr>
        <w:t xml:space="preserve"> a decision promulgated</w:t>
      </w:r>
      <w:r w:rsidR="00AD6DCA">
        <w:rPr>
          <w:rFonts w:ascii="Book Antiqua" w:hAnsi="Book Antiqua" w:cs="Arial"/>
        </w:rPr>
        <w:t xml:space="preserve"> </w:t>
      </w:r>
      <w:r w:rsidR="00FE490D">
        <w:rPr>
          <w:rFonts w:ascii="Book Antiqua" w:hAnsi="Book Antiqua" w:cs="Arial"/>
        </w:rPr>
        <w:t>on 23 July 2018 I found that First-tier Tribunal Judge Coaster in his decision promulgated on 23 February 2018 made a material error of law and set aside that decision.  The only issue that had been in contention before Judge Coaster was whether the appellant’</w:t>
      </w:r>
      <w:r>
        <w:rPr>
          <w:rFonts w:ascii="Book Antiqua" w:hAnsi="Book Antiqua" w:cs="Arial"/>
        </w:rPr>
        <w:t>s wife (the sponsor) had</w:t>
      </w:r>
      <w:r w:rsidR="00A81C42">
        <w:rPr>
          <w:rFonts w:ascii="Book Antiqua" w:hAnsi="Book Antiqua" w:cs="Arial"/>
        </w:rPr>
        <w:t xml:space="preserve"> been exercising T</w:t>
      </w:r>
      <w:r w:rsidR="00FE490D">
        <w:rPr>
          <w:rFonts w:ascii="Book Antiqua" w:hAnsi="Book Antiqua" w:cs="Arial"/>
        </w:rPr>
        <w:t xml:space="preserve">reaty </w:t>
      </w:r>
      <w:r w:rsidR="00A81C42">
        <w:rPr>
          <w:rFonts w:ascii="Book Antiqua" w:hAnsi="Book Antiqua" w:cs="Arial"/>
        </w:rPr>
        <w:t>R</w:t>
      </w:r>
      <w:r w:rsidR="00232914">
        <w:rPr>
          <w:rFonts w:ascii="Book Antiqua" w:hAnsi="Book Antiqua" w:cs="Arial"/>
        </w:rPr>
        <w:t xml:space="preserve">ights </w:t>
      </w:r>
      <w:r w:rsidR="00A81C42">
        <w:rPr>
          <w:rFonts w:ascii="Book Antiqua" w:hAnsi="Book Antiqua" w:cs="Arial"/>
        </w:rPr>
        <w:t>in accordance with the Immigration (EEA) Regulation 2006</w:t>
      </w:r>
      <w:r>
        <w:rPr>
          <w:rFonts w:ascii="Book Antiqua" w:hAnsi="Book Antiqua" w:cs="Arial"/>
        </w:rPr>
        <w:t xml:space="preserve"> (“the 2006 Regulations”)</w:t>
      </w:r>
      <w:r w:rsidR="00A81C42">
        <w:rPr>
          <w:rFonts w:ascii="Book Antiqua" w:hAnsi="Book Antiqua" w:cs="Arial"/>
        </w:rPr>
        <w:t xml:space="preserve"> </w:t>
      </w:r>
      <w:r w:rsidR="00232914">
        <w:rPr>
          <w:rFonts w:ascii="Book Antiqua" w:hAnsi="Book Antiqua" w:cs="Arial"/>
        </w:rPr>
        <w:t xml:space="preserve">since she married the Appellant on 4 June 2010.  </w:t>
      </w:r>
    </w:p>
    <w:p w:rsidR="00CE2617" w:rsidRDefault="00232914" w:rsidP="00CE2617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In remaking the decision I heard submissions from Mr Sharma on behalf of the appellant and Mr Bramble on behalf of the Secretary of State.</w:t>
      </w:r>
      <w:r w:rsidR="00CE2617">
        <w:rPr>
          <w:rFonts w:ascii="Book Antiqua" w:hAnsi="Book Antiqua" w:cs="Arial"/>
        </w:rPr>
        <w:t xml:space="preserve"> </w:t>
      </w:r>
    </w:p>
    <w:p w:rsidR="009956B7" w:rsidRPr="00CE2617" w:rsidRDefault="00232914" w:rsidP="00CE2617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 w:rsidRPr="00CE2617">
        <w:rPr>
          <w:rFonts w:ascii="Book Antiqua" w:hAnsi="Book Antiqua" w:cs="Arial"/>
        </w:rPr>
        <w:t>In support of the appellant’s claim he submitted</w:t>
      </w:r>
      <w:r w:rsidR="00A81C42" w:rsidRPr="00CE2617">
        <w:rPr>
          <w:rFonts w:ascii="Book Antiqua" w:hAnsi="Book Antiqua" w:cs="Arial"/>
        </w:rPr>
        <w:t>,</w:t>
      </w:r>
      <w:r w:rsidRPr="00CE2617">
        <w:rPr>
          <w:rFonts w:ascii="Book Antiqua" w:hAnsi="Book Antiqua" w:cs="Arial"/>
        </w:rPr>
        <w:t xml:space="preserve"> inter alia</w:t>
      </w:r>
      <w:r w:rsidR="00A81C42" w:rsidRPr="00CE2617">
        <w:rPr>
          <w:rFonts w:ascii="Book Antiqua" w:hAnsi="Book Antiqua" w:cs="Arial"/>
        </w:rPr>
        <w:t>,</w:t>
      </w:r>
      <w:r w:rsidRPr="00CE2617">
        <w:rPr>
          <w:rFonts w:ascii="Book Antiqua" w:hAnsi="Book Antiqua" w:cs="Arial"/>
        </w:rPr>
        <w:t xml:space="preserve"> documents obtained from HMRC concerning the sponsor’s employment and benefits record.  Mr Bramble had not had sight of these documents before the hearing and I adjourned in order to give him sufficient time to consider them.  </w:t>
      </w:r>
    </w:p>
    <w:p w:rsidR="00C07711" w:rsidRDefault="00A81C42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>After considering</w:t>
      </w:r>
      <w:r w:rsidR="00232914">
        <w:rPr>
          <w:rFonts w:ascii="Book Antiqua" w:hAnsi="Book Antiqua" w:cs="Arial"/>
        </w:rPr>
        <w:t xml:space="preserve"> the documents from HMRC</w:t>
      </w:r>
      <w:r>
        <w:rPr>
          <w:rFonts w:ascii="Book Antiqua" w:hAnsi="Book Antiqua" w:cs="Arial"/>
        </w:rPr>
        <w:t>,</w:t>
      </w:r>
      <w:r w:rsidR="00232914">
        <w:rPr>
          <w:rFonts w:ascii="Book Antiqua" w:hAnsi="Book Antiqua" w:cs="Arial"/>
        </w:rPr>
        <w:t xml:space="preserve"> Mr Bramble </w:t>
      </w:r>
      <w:r>
        <w:rPr>
          <w:rFonts w:ascii="Book Antiqua" w:hAnsi="Book Antiqua" w:cs="Arial"/>
        </w:rPr>
        <w:t>accept</w:t>
      </w:r>
      <w:r w:rsidR="00232914">
        <w:rPr>
          <w:rFonts w:ascii="Book Antiqua" w:hAnsi="Book Antiqua" w:cs="Arial"/>
        </w:rPr>
        <w:t>ed that the s</w:t>
      </w:r>
      <w:r>
        <w:rPr>
          <w:rFonts w:ascii="Book Antiqua" w:hAnsi="Book Antiqua" w:cs="Arial"/>
        </w:rPr>
        <w:t>ponsor had been exercising T</w:t>
      </w:r>
      <w:r w:rsidR="00232914">
        <w:rPr>
          <w:rFonts w:ascii="Book Antiqua" w:hAnsi="Book Antiqua" w:cs="Arial"/>
        </w:rPr>
        <w:t xml:space="preserve">reaty </w:t>
      </w:r>
      <w:r>
        <w:rPr>
          <w:rFonts w:ascii="Book Antiqua" w:hAnsi="Book Antiqua" w:cs="Arial"/>
        </w:rPr>
        <w:t>R</w:t>
      </w:r>
      <w:r w:rsidR="00232914">
        <w:rPr>
          <w:rFonts w:ascii="Book Antiqua" w:hAnsi="Book Antiqua" w:cs="Arial"/>
        </w:rPr>
        <w:t>ights from the marriage in 2010 until the present time</w:t>
      </w:r>
      <w:r>
        <w:rPr>
          <w:rFonts w:ascii="Book Antiqua" w:hAnsi="Book Antiqua" w:cs="Arial"/>
        </w:rPr>
        <w:t xml:space="preserve">, as the HMRC evidence established that she had worked from 2010 until 2013 </w:t>
      </w:r>
      <w:r w:rsidR="00232914">
        <w:rPr>
          <w:rFonts w:ascii="Book Antiqua" w:hAnsi="Book Antiqua" w:cs="Arial"/>
        </w:rPr>
        <w:t xml:space="preserve">and </w:t>
      </w:r>
      <w:r>
        <w:rPr>
          <w:rFonts w:ascii="Book Antiqua" w:hAnsi="Book Antiqua" w:cs="Arial"/>
        </w:rPr>
        <w:t>had thereafter been temporarily unable to work and then perm</w:t>
      </w:r>
      <w:r w:rsidR="002A32C3">
        <w:rPr>
          <w:rFonts w:ascii="Book Antiqua" w:hAnsi="Book Antiqua" w:cs="Arial"/>
        </w:rPr>
        <w:t xml:space="preserve">anently incapacitated.  The sponsor </w:t>
      </w:r>
      <w:r w:rsidR="00C07711">
        <w:rPr>
          <w:rFonts w:ascii="Book Antiqua" w:hAnsi="Book Antiqua" w:cs="Arial"/>
        </w:rPr>
        <w:t>therefore, in his view, acquired a permanent right of residence under Regulation 15(1)(a) on the basis that she was a qualifie</w:t>
      </w:r>
      <w:r w:rsidR="002A32C3">
        <w:rPr>
          <w:rFonts w:ascii="Book Antiqua" w:hAnsi="Book Antiqua" w:cs="Arial"/>
        </w:rPr>
        <w:t>d person under Regulation 6(1)(b) and 6(2)(a</w:t>
      </w:r>
      <w:r w:rsidR="00C07711">
        <w:rPr>
          <w:rFonts w:ascii="Book Antiqua" w:hAnsi="Book Antiqua" w:cs="Arial"/>
        </w:rPr>
        <w:t>) until she became permanently incapacitated, whereupon she was a worker who had ceased a</w:t>
      </w:r>
      <w:r w:rsidR="002A32C3">
        <w:rPr>
          <w:rFonts w:ascii="Book Antiqua" w:hAnsi="Book Antiqua" w:cs="Arial"/>
        </w:rPr>
        <w:t>ctivity under Regulation 5(3)</w:t>
      </w:r>
      <w:r w:rsidR="00C07711">
        <w:rPr>
          <w:rFonts w:ascii="Book Antiqua" w:hAnsi="Book Antiqua" w:cs="Arial"/>
        </w:rPr>
        <w:t xml:space="preserve">.  He accepted that if the appellant is married to the sponsor he acquired a permanent right of residence under Regulation 15(1)(b), as a family member of the sponsor. </w:t>
      </w:r>
    </w:p>
    <w:p w:rsidR="001E3077" w:rsidRPr="002A32C3" w:rsidRDefault="00C07711" w:rsidP="002A32C3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Bramble raised the issue of whether the appellant was in fact married to the sponsor as in the medical report of Dr </w:t>
      </w:r>
      <w:proofErr w:type="spellStart"/>
      <w:r>
        <w:rPr>
          <w:rFonts w:ascii="Book Antiqua" w:hAnsi="Book Antiqua" w:cs="Arial"/>
        </w:rPr>
        <w:t>Wolski</w:t>
      </w:r>
      <w:proofErr w:type="spellEnd"/>
      <w:r>
        <w:rPr>
          <w:rFonts w:ascii="Book Antiqua" w:hAnsi="Book Antiqua" w:cs="Arial"/>
        </w:rPr>
        <w:t xml:space="preserve"> dated </w:t>
      </w:r>
      <w:r w:rsidR="002A32C3">
        <w:rPr>
          <w:rFonts w:ascii="Book Antiqua" w:hAnsi="Book Antiqua" w:cs="Arial"/>
        </w:rPr>
        <w:t xml:space="preserve">11 January 2017 </w:t>
      </w:r>
      <w:r w:rsidR="00232914">
        <w:rPr>
          <w:rFonts w:ascii="Book Antiqua" w:hAnsi="Book Antiqua" w:cs="Arial"/>
        </w:rPr>
        <w:t>it is said that she lives alone and was acc</w:t>
      </w:r>
      <w:r w:rsidR="002A32C3">
        <w:rPr>
          <w:rFonts w:ascii="Book Antiqua" w:hAnsi="Book Antiqua" w:cs="Arial"/>
        </w:rPr>
        <w:t>ompanied by a friend and there wa</w:t>
      </w:r>
      <w:r w:rsidR="00232914">
        <w:rPr>
          <w:rFonts w:ascii="Book Antiqua" w:hAnsi="Book Antiqua" w:cs="Arial"/>
        </w:rPr>
        <w:t xml:space="preserve">s no reference to her being married.  </w:t>
      </w:r>
      <w:r w:rsidR="001E3077" w:rsidRPr="002A32C3">
        <w:rPr>
          <w:rFonts w:ascii="Book Antiqua" w:hAnsi="Book Antiqua" w:cs="Arial"/>
        </w:rPr>
        <w:t>Whilst I agree with Mr Bramble that it i</w:t>
      </w:r>
      <w:r w:rsidR="002A32C3">
        <w:rPr>
          <w:rFonts w:ascii="Book Antiqua" w:hAnsi="Book Antiqua" w:cs="Arial"/>
        </w:rPr>
        <w:t xml:space="preserve">s surprising that Dr </w:t>
      </w:r>
      <w:proofErr w:type="spellStart"/>
      <w:r w:rsidR="002A32C3">
        <w:rPr>
          <w:rFonts w:ascii="Book Antiqua" w:hAnsi="Book Antiqua" w:cs="Arial"/>
        </w:rPr>
        <w:t>Wolski</w:t>
      </w:r>
      <w:proofErr w:type="spellEnd"/>
      <w:r w:rsidR="002A32C3">
        <w:rPr>
          <w:rFonts w:ascii="Book Antiqua" w:hAnsi="Book Antiqua" w:cs="Arial"/>
        </w:rPr>
        <w:t xml:space="preserve"> did</w:t>
      </w:r>
      <w:r w:rsidR="001E3077" w:rsidRPr="002A32C3">
        <w:rPr>
          <w:rFonts w:ascii="Book Antiqua" w:hAnsi="Book Antiqua" w:cs="Arial"/>
        </w:rPr>
        <w:t xml:space="preserve"> not mention the appellant is married, the HMRC documentation states that the sponsor is married and I find this to be persuasive.  I therefore accept the appellant’s claim that he is, and has been since 2010</w:t>
      </w:r>
      <w:r w:rsidR="002A32C3">
        <w:rPr>
          <w:rFonts w:ascii="Book Antiqua" w:hAnsi="Book Antiqua" w:cs="Arial"/>
        </w:rPr>
        <w:t>,</w:t>
      </w:r>
      <w:r w:rsidR="001E3077" w:rsidRPr="002A32C3">
        <w:rPr>
          <w:rFonts w:ascii="Book Antiqua" w:hAnsi="Book Antiqua" w:cs="Arial"/>
        </w:rPr>
        <w:t xml:space="preserve"> married to the sponsor.  </w:t>
      </w:r>
    </w:p>
    <w:p w:rsidR="001E3077" w:rsidRDefault="001E3077" w:rsidP="00C0771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Given that the respondent now accepts that the sponsor is, and has been for the requisite period of time, a qualified person, and that the evidence before me supports that the appellant and sponsor are married and have been since 2010, I allow the appellant’s appeal against the decision of the Secretary of State to refuse his application for </w:t>
      </w:r>
      <w:r w:rsidR="002A32C3">
        <w:rPr>
          <w:rFonts w:ascii="Book Antiqua" w:hAnsi="Book Antiqua" w:cs="Arial"/>
        </w:rPr>
        <w:t>a residence</w:t>
      </w:r>
      <w:r w:rsidR="008D34E8">
        <w:rPr>
          <w:rFonts w:ascii="Book Antiqua" w:hAnsi="Book Antiqua" w:cs="Arial"/>
        </w:rPr>
        <w:t xml:space="preserve"> card as a family member of an EEA national.</w:t>
      </w:r>
    </w:p>
    <w:p w:rsidR="00D949B7" w:rsidRDefault="00D949B7" w:rsidP="00273201">
      <w:pPr>
        <w:rPr>
          <w:rFonts w:ascii="Book Antiqua" w:hAnsi="Book Antiqua" w:cs="Arial"/>
        </w:rPr>
      </w:pPr>
    </w:p>
    <w:p w:rsidR="008D34E8" w:rsidRDefault="008D34E8" w:rsidP="008D34E8">
      <w:pPr>
        <w:ind w:left="567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Notice of Decision</w:t>
      </w:r>
    </w:p>
    <w:p w:rsidR="008D34E8" w:rsidRDefault="008D34E8" w:rsidP="008D34E8">
      <w:pPr>
        <w:ind w:left="567"/>
        <w:rPr>
          <w:rFonts w:ascii="Book Antiqua" w:hAnsi="Book Antiqua" w:cs="Arial"/>
          <w:b/>
          <w:u w:val="single"/>
        </w:rPr>
      </w:pPr>
    </w:p>
    <w:p w:rsidR="001F2716" w:rsidRDefault="008D34E8" w:rsidP="00273201">
      <w:pPr>
        <w:rPr>
          <w:rFonts w:ascii="Book Antiqua" w:hAnsi="Book Antiqua" w:cs="Arial"/>
        </w:rPr>
      </w:pPr>
      <w:r w:rsidRPr="00CE2617">
        <w:rPr>
          <w:rFonts w:ascii="Book Antiqua" w:hAnsi="Book Antiqua" w:cs="Arial"/>
        </w:rPr>
        <w:t>The appellant’s appeal is allowed.</w:t>
      </w:r>
    </w:p>
    <w:p w:rsidR="00CE2617" w:rsidRPr="009B7433" w:rsidRDefault="00CE2617" w:rsidP="00273201">
      <w:pPr>
        <w:rPr>
          <w:rFonts w:ascii="Book Antiqua" w:hAnsi="Book Antiqu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7"/>
        <w:gridCol w:w="4821"/>
      </w:tblGrid>
      <w:tr w:rsidR="00CE2617" w:rsidRPr="00B53DCC" w:rsidTr="007E4B1E">
        <w:trPr>
          <w:trHeight w:val="277"/>
        </w:trPr>
        <w:tc>
          <w:tcPr>
            <w:tcW w:w="4916" w:type="dxa"/>
          </w:tcPr>
          <w:p w:rsidR="00CE2617" w:rsidRPr="00B53DCC" w:rsidRDefault="00CE2617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  <w:r w:rsidRPr="00B53DCC">
              <w:rPr>
                <w:rFonts w:ascii="Book Antiqua" w:hAnsi="Book Antiqua" w:cs="Arial"/>
              </w:rPr>
              <w:t>Signed</w:t>
            </w:r>
          </w:p>
          <w:p w:rsidR="00CE2617" w:rsidRPr="00B53DCC" w:rsidRDefault="00CE2617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166370</wp:posOffset>
                  </wp:positionV>
                  <wp:extent cx="1482090" cy="323215"/>
                  <wp:effectExtent l="19050" t="0" r="3810" b="0"/>
                  <wp:wrapNone/>
                  <wp:docPr id="2" name="In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090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E2617" w:rsidRPr="00B53DCC" w:rsidRDefault="00CE2617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</w:p>
        </w:tc>
        <w:tc>
          <w:tcPr>
            <w:tcW w:w="4916" w:type="dxa"/>
          </w:tcPr>
          <w:p w:rsidR="00CE2617" w:rsidRPr="00B53DCC" w:rsidRDefault="00CE2617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</w:p>
        </w:tc>
      </w:tr>
      <w:tr w:rsidR="00CE2617" w:rsidRPr="00B53DCC" w:rsidTr="007E4B1E">
        <w:trPr>
          <w:trHeight w:val="1383"/>
        </w:trPr>
        <w:tc>
          <w:tcPr>
            <w:tcW w:w="4916" w:type="dxa"/>
          </w:tcPr>
          <w:p w:rsidR="00CE2617" w:rsidRDefault="00CE2617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</w:p>
          <w:p w:rsidR="00CE2617" w:rsidRPr="00B53DCC" w:rsidRDefault="00CE2617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  <w:r w:rsidRPr="00B53DCC">
              <w:rPr>
                <w:rFonts w:ascii="Book Antiqua" w:hAnsi="Book Antiqua" w:cs="Arial"/>
              </w:rPr>
              <w:t>Deputy Upper Tribunal Judge Sheridan</w:t>
            </w:r>
          </w:p>
        </w:tc>
        <w:tc>
          <w:tcPr>
            <w:tcW w:w="4916" w:type="dxa"/>
          </w:tcPr>
          <w:p w:rsidR="00CE2617" w:rsidRPr="00B53DCC" w:rsidRDefault="00CE2617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</w:p>
          <w:p w:rsidR="00CE2617" w:rsidRDefault="00CE2617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  <w:r w:rsidRPr="00B53DCC">
              <w:rPr>
                <w:rFonts w:ascii="Book Antiqua" w:hAnsi="Book Antiqua" w:cs="Arial"/>
              </w:rPr>
              <w:t xml:space="preserve">Dated: </w:t>
            </w:r>
            <w:r>
              <w:rPr>
                <w:rFonts w:ascii="Book Antiqua" w:hAnsi="Book Antiqua" w:cs="Arial"/>
              </w:rPr>
              <w:t xml:space="preserve">11 September </w:t>
            </w:r>
            <w:r w:rsidRPr="00B53DCC">
              <w:rPr>
                <w:rFonts w:ascii="Book Antiqua" w:hAnsi="Book Antiqua" w:cs="Arial"/>
              </w:rPr>
              <w:t>201</w:t>
            </w:r>
            <w:r>
              <w:rPr>
                <w:rFonts w:ascii="Book Antiqua" w:hAnsi="Book Antiqua" w:cs="Arial"/>
              </w:rPr>
              <w:t>8</w:t>
            </w:r>
          </w:p>
          <w:p w:rsidR="00E74C41" w:rsidRDefault="00E74C41" w:rsidP="007E4B1E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</w:p>
          <w:p w:rsidR="00E74C41" w:rsidRPr="00B53DCC" w:rsidRDefault="00E74C41" w:rsidP="00E74C41">
            <w:pPr>
              <w:tabs>
                <w:tab w:val="left" w:pos="2520"/>
              </w:tabs>
              <w:rPr>
                <w:rFonts w:ascii="Book Antiqua" w:hAnsi="Book Antiqua" w:cs="Arial"/>
              </w:rPr>
            </w:pPr>
          </w:p>
        </w:tc>
      </w:tr>
    </w:tbl>
    <w:p w:rsidR="00AD6DCA" w:rsidRDefault="00AD6DCA" w:rsidP="00AD6DCA">
      <w:pPr>
        <w:jc w:val="center"/>
        <w:rPr>
          <w:rFonts w:ascii="Book Antiqua" w:hAnsi="Book Antiqua" w:cs="Arial"/>
        </w:rPr>
      </w:pPr>
    </w:p>
    <w:sectPr w:rsidR="00AD6DCA" w:rsidSect="00776E9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2C3" w:rsidRDefault="002A32C3">
      <w:r>
        <w:separator/>
      </w:r>
    </w:p>
  </w:endnote>
  <w:endnote w:type="continuationSeparator" w:id="0">
    <w:p w:rsidR="002A32C3" w:rsidRDefault="002A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2C3" w:rsidRPr="009B7433" w:rsidRDefault="002A32C3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5030AB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2C3" w:rsidRPr="009B7433" w:rsidRDefault="002A32C3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2C3" w:rsidRDefault="002A32C3">
      <w:r>
        <w:separator/>
      </w:r>
    </w:p>
  </w:footnote>
  <w:footnote w:type="continuationSeparator" w:id="0">
    <w:p w:rsidR="002A32C3" w:rsidRDefault="002A3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2C3" w:rsidRPr="009B7433" w:rsidRDefault="002A32C3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 xml:space="preserve">Appeal Number: </w:t>
    </w:r>
    <w:r>
      <w:rPr>
        <w:rFonts w:ascii="Book Antiqua" w:hAnsi="Book Antiqua" w:cs="Arial"/>
        <w:sz w:val="16"/>
        <w:szCs w:val="16"/>
      </w:rPr>
      <w:t>EA/03590/2017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2C3" w:rsidRPr="009B7433" w:rsidRDefault="002A32C3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C67B16"/>
    <w:multiLevelType w:val="hybridMultilevel"/>
    <w:tmpl w:val="8B9A0E1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A28EB8E-689C-4212-9F77-A3205AEA20FE}"/>
    <w:docVar w:name="dgnword-eventsink" w:val="131500992"/>
  </w:docVars>
  <w:rsids>
    <w:rsidRoot w:val="00FE490D"/>
    <w:rsid w:val="00000621"/>
    <w:rsid w:val="000036C2"/>
    <w:rsid w:val="00016C1A"/>
    <w:rsid w:val="00033588"/>
    <w:rsid w:val="00033D3D"/>
    <w:rsid w:val="0004776F"/>
    <w:rsid w:val="00052895"/>
    <w:rsid w:val="00062F02"/>
    <w:rsid w:val="00071A7E"/>
    <w:rsid w:val="000746C0"/>
    <w:rsid w:val="00074D1D"/>
    <w:rsid w:val="00082022"/>
    <w:rsid w:val="00092580"/>
    <w:rsid w:val="00093D4D"/>
    <w:rsid w:val="000A0743"/>
    <w:rsid w:val="000D20CD"/>
    <w:rsid w:val="000D5D94"/>
    <w:rsid w:val="000F1A0E"/>
    <w:rsid w:val="001165A7"/>
    <w:rsid w:val="0016508E"/>
    <w:rsid w:val="00167D3A"/>
    <w:rsid w:val="00173F50"/>
    <w:rsid w:val="00176CE3"/>
    <w:rsid w:val="00185986"/>
    <w:rsid w:val="001A3082"/>
    <w:rsid w:val="001B186A"/>
    <w:rsid w:val="001B2F75"/>
    <w:rsid w:val="001C6F5F"/>
    <w:rsid w:val="001D6167"/>
    <w:rsid w:val="001E3077"/>
    <w:rsid w:val="001F2716"/>
    <w:rsid w:val="001F3AC0"/>
    <w:rsid w:val="00207617"/>
    <w:rsid w:val="0023134B"/>
    <w:rsid w:val="00232914"/>
    <w:rsid w:val="00273201"/>
    <w:rsid w:val="00283659"/>
    <w:rsid w:val="002A32C3"/>
    <w:rsid w:val="002C6BD4"/>
    <w:rsid w:val="002D68BF"/>
    <w:rsid w:val="002E4541"/>
    <w:rsid w:val="002F6B98"/>
    <w:rsid w:val="00336CBF"/>
    <w:rsid w:val="00343FE3"/>
    <w:rsid w:val="003546C8"/>
    <w:rsid w:val="0037777D"/>
    <w:rsid w:val="003825D4"/>
    <w:rsid w:val="003A7CF2"/>
    <w:rsid w:val="003C5CE5"/>
    <w:rsid w:val="003D25F1"/>
    <w:rsid w:val="003D60DD"/>
    <w:rsid w:val="003D6FAD"/>
    <w:rsid w:val="003E267B"/>
    <w:rsid w:val="003E7CD1"/>
    <w:rsid w:val="00402B9E"/>
    <w:rsid w:val="004249CB"/>
    <w:rsid w:val="0044127D"/>
    <w:rsid w:val="004448DB"/>
    <w:rsid w:val="00446C9A"/>
    <w:rsid w:val="00446F1E"/>
    <w:rsid w:val="00452F2B"/>
    <w:rsid w:val="00477193"/>
    <w:rsid w:val="004A1848"/>
    <w:rsid w:val="004A2D15"/>
    <w:rsid w:val="004A534C"/>
    <w:rsid w:val="004A6F4A"/>
    <w:rsid w:val="004B70D7"/>
    <w:rsid w:val="004B7568"/>
    <w:rsid w:val="004D6B45"/>
    <w:rsid w:val="004E4717"/>
    <w:rsid w:val="004F2676"/>
    <w:rsid w:val="005030AB"/>
    <w:rsid w:val="00507FEC"/>
    <w:rsid w:val="00510F0E"/>
    <w:rsid w:val="005479E1"/>
    <w:rsid w:val="00553028"/>
    <w:rsid w:val="00553E0A"/>
    <w:rsid w:val="00556D3C"/>
    <w:rsid w:val="005570FD"/>
    <w:rsid w:val="005575EA"/>
    <w:rsid w:val="0057790C"/>
    <w:rsid w:val="00593795"/>
    <w:rsid w:val="00597C8C"/>
    <w:rsid w:val="005A75FF"/>
    <w:rsid w:val="005D10AB"/>
    <w:rsid w:val="005F7893"/>
    <w:rsid w:val="00601D8F"/>
    <w:rsid w:val="00605582"/>
    <w:rsid w:val="00611F34"/>
    <w:rsid w:val="00621FE8"/>
    <w:rsid w:val="006434B6"/>
    <w:rsid w:val="00653E97"/>
    <w:rsid w:val="006667DB"/>
    <w:rsid w:val="00684A74"/>
    <w:rsid w:val="0068620A"/>
    <w:rsid w:val="00690B8A"/>
    <w:rsid w:val="006C2FB8"/>
    <w:rsid w:val="006F2CF1"/>
    <w:rsid w:val="007038ED"/>
    <w:rsid w:val="00703BC3"/>
    <w:rsid w:val="00704B61"/>
    <w:rsid w:val="00715A64"/>
    <w:rsid w:val="007217D8"/>
    <w:rsid w:val="00740C1F"/>
    <w:rsid w:val="007552A9"/>
    <w:rsid w:val="0075658A"/>
    <w:rsid w:val="00761858"/>
    <w:rsid w:val="00767D59"/>
    <w:rsid w:val="00776E97"/>
    <w:rsid w:val="00780F86"/>
    <w:rsid w:val="0078146F"/>
    <w:rsid w:val="007845C5"/>
    <w:rsid w:val="007912AD"/>
    <w:rsid w:val="007B0824"/>
    <w:rsid w:val="007B5D3C"/>
    <w:rsid w:val="00815011"/>
    <w:rsid w:val="00821B72"/>
    <w:rsid w:val="0082229E"/>
    <w:rsid w:val="00823EF2"/>
    <w:rsid w:val="008303B8"/>
    <w:rsid w:val="00833DCE"/>
    <w:rsid w:val="00833E86"/>
    <w:rsid w:val="00871D34"/>
    <w:rsid w:val="008A25EC"/>
    <w:rsid w:val="008A6059"/>
    <w:rsid w:val="008B17FF"/>
    <w:rsid w:val="008B270C"/>
    <w:rsid w:val="008B5078"/>
    <w:rsid w:val="008C3D3D"/>
    <w:rsid w:val="008D34E8"/>
    <w:rsid w:val="008D4131"/>
    <w:rsid w:val="008F1932"/>
    <w:rsid w:val="0090151B"/>
    <w:rsid w:val="009042A9"/>
    <w:rsid w:val="00921062"/>
    <w:rsid w:val="00936004"/>
    <w:rsid w:val="0095569A"/>
    <w:rsid w:val="009722BC"/>
    <w:rsid w:val="009727A3"/>
    <w:rsid w:val="009865EA"/>
    <w:rsid w:val="00987774"/>
    <w:rsid w:val="009956B7"/>
    <w:rsid w:val="009A11E8"/>
    <w:rsid w:val="009B7433"/>
    <w:rsid w:val="009C57C8"/>
    <w:rsid w:val="009D348A"/>
    <w:rsid w:val="009F5220"/>
    <w:rsid w:val="00A07919"/>
    <w:rsid w:val="00A15234"/>
    <w:rsid w:val="00A172F5"/>
    <w:rsid w:val="00A201AB"/>
    <w:rsid w:val="00A30E42"/>
    <w:rsid w:val="00A31C8B"/>
    <w:rsid w:val="00A509FA"/>
    <w:rsid w:val="00A81C42"/>
    <w:rsid w:val="00A845DC"/>
    <w:rsid w:val="00AC67DE"/>
    <w:rsid w:val="00AD6DCA"/>
    <w:rsid w:val="00B26AA2"/>
    <w:rsid w:val="00B3524D"/>
    <w:rsid w:val="00B3713C"/>
    <w:rsid w:val="00B40F69"/>
    <w:rsid w:val="00B46616"/>
    <w:rsid w:val="00B528BB"/>
    <w:rsid w:val="00B7040A"/>
    <w:rsid w:val="00B83391"/>
    <w:rsid w:val="00B95326"/>
    <w:rsid w:val="00BD4196"/>
    <w:rsid w:val="00BF0111"/>
    <w:rsid w:val="00BF22CA"/>
    <w:rsid w:val="00BF23BB"/>
    <w:rsid w:val="00C07711"/>
    <w:rsid w:val="00C26032"/>
    <w:rsid w:val="00C345E1"/>
    <w:rsid w:val="00C43BFD"/>
    <w:rsid w:val="00C6048A"/>
    <w:rsid w:val="00CB6E35"/>
    <w:rsid w:val="00CE09B1"/>
    <w:rsid w:val="00CE1A46"/>
    <w:rsid w:val="00CE2617"/>
    <w:rsid w:val="00D05EA6"/>
    <w:rsid w:val="00D20757"/>
    <w:rsid w:val="00D22636"/>
    <w:rsid w:val="00D40FD9"/>
    <w:rsid w:val="00D53769"/>
    <w:rsid w:val="00D6602D"/>
    <w:rsid w:val="00D85C13"/>
    <w:rsid w:val="00D9111A"/>
    <w:rsid w:val="00D91BE3"/>
    <w:rsid w:val="00D949B7"/>
    <w:rsid w:val="00D94AFC"/>
    <w:rsid w:val="00DB70AE"/>
    <w:rsid w:val="00DD5071"/>
    <w:rsid w:val="00DD5C39"/>
    <w:rsid w:val="00DE7DB7"/>
    <w:rsid w:val="00E00A0A"/>
    <w:rsid w:val="00E05AD9"/>
    <w:rsid w:val="00E066DE"/>
    <w:rsid w:val="00E07F57"/>
    <w:rsid w:val="00E30683"/>
    <w:rsid w:val="00E42107"/>
    <w:rsid w:val="00E453D8"/>
    <w:rsid w:val="00E50BCE"/>
    <w:rsid w:val="00E574BF"/>
    <w:rsid w:val="00E61292"/>
    <w:rsid w:val="00E74C41"/>
    <w:rsid w:val="00E77C4D"/>
    <w:rsid w:val="00E81D01"/>
    <w:rsid w:val="00EB485A"/>
    <w:rsid w:val="00EE45D8"/>
    <w:rsid w:val="00F22EDA"/>
    <w:rsid w:val="00F40176"/>
    <w:rsid w:val="00F470D6"/>
    <w:rsid w:val="00F53084"/>
    <w:rsid w:val="00F5589A"/>
    <w:rsid w:val="00F56662"/>
    <w:rsid w:val="00FC40FA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67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F1AB2-0F9B-4820-8B79-C4016174F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2018-10-01T13:32:00Z</dcterms:created>
  <dcterms:modified xsi:type="dcterms:W3CDTF">2018-10-01T13:32:00Z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