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D8" w:rsidRDefault="00683806">
      <w:pPr>
        <w:jc w:val="center"/>
        <w:rPr>
          <w:rFonts w:ascii="Book Antiqua" w:hAnsi="Book Antiqua" w:cs="Arial"/>
          <w:sz w:val="16"/>
          <w:szCs w:val="16"/>
        </w:rPr>
      </w:pPr>
      <w:r>
        <w:rPr>
          <w:noProof/>
        </w:rPr>
        <w:drawing>
          <wp:inline distT="0" distB="0" distL="0" distR="0" wp14:anchorId="6164DBAA" wp14:editId="754BEC43">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903D8" w:rsidRDefault="006903D8">
      <w:pPr>
        <w:tabs>
          <w:tab w:val="right" w:pos="9639"/>
        </w:tabs>
        <w:rPr>
          <w:rFonts w:ascii="Book Antiqua" w:hAnsi="Book Antiqua" w:cs="Arial"/>
          <w:b/>
        </w:rPr>
      </w:pPr>
      <w:r>
        <w:rPr>
          <w:rFonts w:ascii="Book Antiqua" w:hAnsi="Book Antiqua" w:cs="Arial"/>
          <w:b/>
        </w:rPr>
        <w:t xml:space="preserve">Upper Tribunal </w:t>
      </w:r>
    </w:p>
    <w:p w:rsidR="006903D8" w:rsidRPr="00836DB1" w:rsidRDefault="006903D8">
      <w:pPr>
        <w:tabs>
          <w:tab w:val="right" w:pos="9639"/>
        </w:tabs>
        <w:rPr>
          <w:rFonts w:ascii="Book Antiqua" w:hAnsi="Book Antiqua" w:cs="Arial"/>
          <w:b/>
          <w:caps/>
        </w:rPr>
      </w:pPr>
      <w:r>
        <w:rPr>
          <w:rFonts w:ascii="Book Antiqua" w:hAnsi="Book Antiqua" w:cs="Arial"/>
          <w:b/>
        </w:rPr>
        <w:t>(</w:t>
      </w:r>
      <w:r w:rsidR="00836DB1">
        <w:rPr>
          <w:rFonts w:ascii="Book Antiqua" w:hAnsi="Book Antiqua" w:cs="Arial"/>
          <w:b/>
        </w:rPr>
        <w:t xml:space="preserve">Immigration and Asylum </w:t>
      </w:r>
      <w:proofErr w:type="gramStart"/>
      <w:r w:rsidR="00836DB1">
        <w:rPr>
          <w:rFonts w:ascii="Book Antiqua" w:hAnsi="Book Antiqua" w:cs="Arial"/>
          <w:b/>
        </w:rPr>
        <w:t xml:space="preserve">Chamber)   </w:t>
      </w:r>
      <w:proofErr w:type="gramEnd"/>
      <w:r w:rsidR="00836DB1">
        <w:rPr>
          <w:rFonts w:ascii="Book Antiqua" w:hAnsi="Book Antiqua" w:cs="Arial"/>
          <w:b/>
        </w:rPr>
        <w:t xml:space="preserve">                     </w:t>
      </w:r>
      <w:r w:rsidRPr="00836DB1">
        <w:rPr>
          <w:rFonts w:ascii="Book Antiqua" w:hAnsi="Book Antiqua" w:cs="Arial"/>
          <w:b/>
        </w:rPr>
        <w:t>Appeal Number</w:t>
      </w:r>
      <w:r w:rsidR="00210B63" w:rsidRPr="00836DB1">
        <w:rPr>
          <w:rFonts w:ascii="Book Antiqua" w:hAnsi="Book Antiqua" w:cs="Arial"/>
          <w:b/>
        </w:rPr>
        <w:t>s</w:t>
      </w:r>
      <w:r w:rsidRPr="00836DB1">
        <w:rPr>
          <w:rFonts w:ascii="Book Antiqua" w:hAnsi="Book Antiqua" w:cs="Arial"/>
          <w:b/>
        </w:rPr>
        <w:t xml:space="preserve">: </w:t>
      </w:r>
      <w:r w:rsidR="00D9237D" w:rsidRPr="00836DB1">
        <w:rPr>
          <w:rFonts w:ascii="Book Antiqua" w:hAnsi="Book Antiqua" w:cs="Arial"/>
          <w:b/>
          <w:caps/>
        </w:rPr>
        <w:t>EA/03708/2015</w:t>
      </w:r>
    </w:p>
    <w:p w:rsidR="00D9237D" w:rsidRPr="00836DB1" w:rsidRDefault="00836DB1" w:rsidP="00836DB1">
      <w:pPr>
        <w:tabs>
          <w:tab w:val="right" w:pos="9639"/>
        </w:tabs>
        <w:jc w:val="center"/>
        <w:rPr>
          <w:rFonts w:ascii="Book Antiqua" w:hAnsi="Book Antiqua" w:cs="Arial"/>
          <w:b/>
        </w:rPr>
      </w:pPr>
      <w:r>
        <w:rPr>
          <w:rFonts w:ascii="Book Antiqua" w:hAnsi="Book Antiqua" w:cs="Arial"/>
          <w:b/>
          <w:caps/>
        </w:rPr>
        <w:t xml:space="preserve">                                                                                                                  </w:t>
      </w:r>
      <w:r w:rsidR="00D9237D" w:rsidRPr="00836DB1">
        <w:rPr>
          <w:rFonts w:ascii="Book Antiqua" w:hAnsi="Book Antiqua" w:cs="Arial"/>
          <w:b/>
          <w:caps/>
        </w:rPr>
        <w:t>EA/03713/2015</w:t>
      </w:r>
    </w:p>
    <w:p w:rsidR="006903D8" w:rsidRDefault="006903D8">
      <w:pPr>
        <w:jc w:val="center"/>
        <w:rPr>
          <w:rFonts w:ascii="Book Antiqua" w:hAnsi="Book Antiqua" w:cs="Arial"/>
        </w:rPr>
      </w:pPr>
    </w:p>
    <w:p w:rsidR="006903D8" w:rsidRDefault="006903D8">
      <w:pPr>
        <w:jc w:val="center"/>
        <w:rPr>
          <w:rFonts w:ascii="Book Antiqua" w:hAnsi="Book Antiqua" w:cs="Arial"/>
          <w:b/>
          <w:u w:val="single"/>
        </w:rPr>
      </w:pPr>
      <w:r>
        <w:rPr>
          <w:rFonts w:ascii="Book Antiqua" w:hAnsi="Book Antiqua" w:cs="Arial"/>
          <w:b/>
          <w:u w:val="single"/>
        </w:rPr>
        <w:t>THE IMMIGRATION ACTS</w:t>
      </w:r>
    </w:p>
    <w:p w:rsidR="006903D8" w:rsidRDefault="006903D8" w:rsidP="004C4DC2">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2"/>
        <w:gridCol w:w="666"/>
        <w:gridCol w:w="3960"/>
      </w:tblGrid>
      <w:tr w:rsidR="006903D8" w:rsidTr="00E923B1">
        <w:tc>
          <w:tcPr>
            <w:tcW w:w="5382" w:type="dxa"/>
          </w:tcPr>
          <w:p w:rsidR="006903D8" w:rsidRDefault="006903D8">
            <w:pPr>
              <w:jc w:val="both"/>
              <w:rPr>
                <w:rFonts w:ascii="Book Antiqua" w:hAnsi="Book Antiqua" w:cs="Arial"/>
                <w:b/>
              </w:rPr>
            </w:pPr>
            <w:r>
              <w:rPr>
                <w:rFonts w:ascii="Book Antiqua" w:hAnsi="Book Antiqua" w:cs="Arial"/>
                <w:b/>
              </w:rPr>
              <w:t xml:space="preserve">Heard at </w:t>
            </w:r>
            <w:r w:rsidR="00D9237D">
              <w:rPr>
                <w:rFonts w:ascii="Book Antiqua" w:hAnsi="Book Antiqua" w:cs="Arial"/>
                <w:b/>
              </w:rPr>
              <w:t>Field House</w:t>
            </w:r>
          </w:p>
        </w:tc>
        <w:tc>
          <w:tcPr>
            <w:tcW w:w="4626" w:type="dxa"/>
            <w:gridSpan w:val="2"/>
          </w:tcPr>
          <w:p w:rsidR="006903D8" w:rsidRDefault="006903D8">
            <w:pPr>
              <w:jc w:val="both"/>
              <w:rPr>
                <w:rFonts w:ascii="Book Antiqua" w:hAnsi="Book Antiqua" w:cs="Arial"/>
                <w:b/>
              </w:rPr>
            </w:pPr>
            <w:r>
              <w:rPr>
                <w:rFonts w:ascii="Book Antiqua" w:hAnsi="Book Antiqua" w:cs="Arial"/>
                <w:b/>
              </w:rPr>
              <w:t>Decision &amp; Reasons Promulgated</w:t>
            </w:r>
          </w:p>
        </w:tc>
      </w:tr>
      <w:tr w:rsidR="006903D8" w:rsidTr="00E923B1">
        <w:tc>
          <w:tcPr>
            <w:tcW w:w="5382" w:type="dxa"/>
          </w:tcPr>
          <w:p w:rsidR="006903D8" w:rsidRDefault="006903D8">
            <w:pPr>
              <w:jc w:val="both"/>
              <w:rPr>
                <w:rFonts w:ascii="Book Antiqua" w:hAnsi="Book Antiqua" w:cs="Arial"/>
                <w:b/>
              </w:rPr>
            </w:pPr>
            <w:r>
              <w:rPr>
                <w:rFonts w:ascii="Book Antiqua" w:hAnsi="Book Antiqua" w:cs="Arial"/>
                <w:b/>
              </w:rPr>
              <w:t xml:space="preserve">On </w:t>
            </w:r>
            <w:r w:rsidR="00D9237D">
              <w:rPr>
                <w:rFonts w:ascii="Book Antiqua" w:hAnsi="Book Antiqua" w:cs="Arial"/>
                <w:b/>
              </w:rPr>
              <w:t>8 August 2018</w:t>
            </w:r>
          </w:p>
        </w:tc>
        <w:tc>
          <w:tcPr>
            <w:tcW w:w="4626" w:type="dxa"/>
            <w:gridSpan w:val="2"/>
          </w:tcPr>
          <w:p w:rsidR="006903D8" w:rsidRDefault="00E923B1">
            <w:pPr>
              <w:jc w:val="both"/>
              <w:rPr>
                <w:rFonts w:ascii="Book Antiqua" w:hAnsi="Book Antiqua" w:cs="Arial"/>
                <w:b/>
              </w:rPr>
            </w:pPr>
            <w:r>
              <w:rPr>
                <w:rFonts w:ascii="Book Antiqua" w:hAnsi="Book Antiqua" w:cs="Arial"/>
                <w:b/>
              </w:rPr>
              <w:t xml:space="preserve">On 12 September 2018 </w:t>
            </w:r>
          </w:p>
        </w:tc>
      </w:tr>
      <w:tr w:rsidR="006903D8" w:rsidTr="00E923B1">
        <w:tc>
          <w:tcPr>
            <w:tcW w:w="6048" w:type="dxa"/>
            <w:gridSpan w:val="2"/>
          </w:tcPr>
          <w:p w:rsidR="006903D8" w:rsidRDefault="006903D8">
            <w:pPr>
              <w:jc w:val="both"/>
              <w:rPr>
                <w:rFonts w:ascii="Book Antiqua" w:hAnsi="Book Antiqua" w:cs="Arial"/>
                <w:b/>
              </w:rPr>
            </w:pPr>
          </w:p>
        </w:tc>
        <w:tc>
          <w:tcPr>
            <w:tcW w:w="3960" w:type="dxa"/>
          </w:tcPr>
          <w:p w:rsidR="006903D8" w:rsidRDefault="006903D8">
            <w:pPr>
              <w:jc w:val="both"/>
              <w:rPr>
                <w:rFonts w:ascii="Book Antiqua" w:hAnsi="Book Antiqua" w:cs="Arial"/>
                <w:b/>
              </w:rPr>
            </w:pPr>
          </w:p>
        </w:tc>
      </w:tr>
    </w:tbl>
    <w:p w:rsidR="006903D8" w:rsidRDefault="006903D8" w:rsidP="004C4DC2">
      <w:pPr>
        <w:rPr>
          <w:rFonts w:ascii="Book Antiqua" w:hAnsi="Book Antiqua" w:cs="Arial"/>
        </w:rPr>
      </w:pPr>
    </w:p>
    <w:p w:rsidR="006903D8" w:rsidRDefault="006903D8">
      <w:pPr>
        <w:jc w:val="center"/>
        <w:rPr>
          <w:rFonts w:ascii="Book Antiqua" w:hAnsi="Book Antiqua" w:cs="Arial"/>
          <w:b/>
        </w:rPr>
      </w:pPr>
      <w:r>
        <w:rPr>
          <w:rFonts w:ascii="Book Antiqua" w:hAnsi="Book Antiqua" w:cs="Arial"/>
          <w:b/>
        </w:rPr>
        <w:t>Before</w:t>
      </w:r>
    </w:p>
    <w:p w:rsidR="006903D8" w:rsidRDefault="006903D8">
      <w:pPr>
        <w:jc w:val="center"/>
        <w:rPr>
          <w:rFonts w:ascii="Book Antiqua" w:hAnsi="Book Antiqua" w:cs="Arial"/>
          <w:b/>
        </w:rPr>
      </w:pPr>
    </w:p>
    <w:p w:rsidR="006903D8" w:rsidRDefault="006903D8">
      <w:pPr>
        <w:jc w:val="center"/>
        <w:rPr>
          <w:rFonts w:ascii="Book Antiqua" w:hAnsi="Book Antiqua" w:cs="Arial"/>
          <w:b/>
        </w:rPr>
      </w:pPr>
      <w:r>
        <w:rPr>
          <w:rFonts w:ascii="Book Antiqua" w:hAnsi="Book Antiqua" w:cs="Arial"/>
          <w:b/>
        </w:rPr>
        <w:t>UPPER TRIBUNAL JUDGE O’CONNOR</w:t>
      </w:r>
    </w:p>
    <w:p w:rsidR="006903D8" w:rsidRDefault="006903D8">
      <w:pPr>
        <w:jc w:val="center"/>
        <w:rPr>
          <w:rFonts w:ascii="Book Antiqua" w:hAnsi="Book Antiqua" w:cs="Arial"/>
          <w:b/>
        </w:rPr>
      </w:pPr>
    </w:p>
    <w:p w:rsidR="006903D8" w:rsidRDefault="006903D8">
      <w:pPr>
        <w:jc w:val="center"/>
        <w:rPr>
          <w:rFonts w:ascii="Book Antiqua" w:hAnsi="Book Antiqua" w:cs="Arial"/>
          <w:b/>
        </w:rPr>
      </w:pPr>
      <w:r>
        <w:rPr>
          <w:rFonts w:ascii="Book Antiqua" w:hAnsi="Book Antiqua" w:cs="Arial"/>
          <w:b/>
        </w:rPr>
        <w:t>Between</w:t>
      </w:r>
    </w:p>
    <w:p w:rsidR="006903D8" w:rsidRDefault="006903D8">
      <w:pPr>
        <w:jc w:val="center"/>
        <w:rPr>
          <w:rFonts w:ascii="Book Antiqua" w:hAnsi="Book Antiqua" w:cs="Arial"/>
          <w:b/>
        </w:rPr>
      </w:pPr>
    </w:p>
    <w:p w:rsidR="00D9237D" w:rsidRDefault="00D9237D" w:rsidP="00D9237D">
      <w:pPr>
        <w:jc w:val="center"/>
        <w:rPr>
          <w:rFonts w:ascii="Book Antiqua" w:hAnsi="Book Antiqua" w:cs="Arial"/>
          <w:b/>
        </w:rPr>
      </w:pPr>
      <w:r>
        <w:rPr>
          <w:rFonts w:ascii="Book Antiqua" w:hAnsi="Book Antiqua" w:cs="Arial"/>
          <w:b/>
        </w:rPr>
        <w:t>IFEANYI KENNETH AMOBI</w:t>
      </w:r>
    </w:p>
    <w:p w:rsidR="00D9237D" w:rsidRDefault="00D9237D" w:rsidP="00D9237D">
      <w:pPr>
        <w:jc w:val="center"/>
        <w:rPr>
          <w:rFonts w:ascii="Book Antiqua" w:hAnsi="Book Antiqua" w:cs="Arial"/>
          <w:b/>
        </w:rPr>
      </w:pPr>
      <w:r>
        <w:rPr>
          <w:rFonts w:ascii="Book Antiqua" w:hAnsi="Book Antiqua" w:cs="Arial"/>
          <w:b/>
        </w:rPr>
        <w:t>JENNIFER AMOBI UJUNWA</w:t>
      </w:r>
    </w:p>
    <w:p w:rsidR="006903D8" w:rsidRPr="00836DB1" w:rsidRDefault="00D9237D" w:rsidP="00D9237D">
      <w:pPr>
        <w:jc w:val="center"/>
        <w:rPr>
          <w:rFonts w:ascii="Book Antiqua" w:hAnsi="Book Antiqua" w:cs="Arial"/>
          <w:caps/>
        </w:rPr>
      </w:pPr>
      <w:r w:rsidRPr="00836DB1">
        <w:rPr>
          <w:rFonts w:ascii="Book Antiqua" w:hAnsi="Book Antiqua" w:cs="Arial"/>
          <w:caps/>
        </w:rPr>
        <w:t xml:space="preserve"> </w:t>
      </w:r>
      <w:r w:rsidR="006903D8" w:rsidRPr="00836DB1">
        <w:rPr>
          <w:rFonts w:ascii="Book Antiqua" w:hAnsi="Book Antiqua" w:cs="Arial"/>
          <w:caps/>
        </w:rPr>
        <w:t>(ANONYMITY DIRECTION</w:t>
      </w:r>
      <w:r w:rsidR="00A80572" w:rsidRPr="00836DB1">
        <w:rPr>
          <w:rFonts w:ascii="Book Antiqua" w:hAnsi="Book Antiqua" w:cs="Arial"/>
          <w:caps/>
        </w:rPr>
        <w:t xml:space="preserve"> NOT MADE</w:t>
      </w:r>
      <w:r w:rsidR="006903D8" w:rsidRPr="00836DB1">
        <w:rPr>
          <w:rFonts w:ascii="Book Antiqua" w:hAnsi="Book Antiqua" w:cs="Arial"/>
          <w:caps/>
        </w:rPr>
        <w:t>)</w:t>
      </w:r>
    </w:p>
    <w:p w:rsidR="006903D8" w:rsidRPr="004C4DC2" w:rsidRDefault="006903D8" w:rsidP="004C4DC2">
      <w:pPr>
        <w:jc w:val="right"/>
        <w:rPr>
          <w:rFonts w:ascii="Book Antiqua" w:hAnsi="Book Antiqua" w:cs="Arial"/>
          <w:u w:val="single"/>
        </w:rPr>
      </w:pPr>
      <w:r>
        <w:rPr>
          <w:rFonts w:ascii="Book Antiqua" w:hAnsi="Book Antiqua" w:cs="Arial"/>
          <w:u w:val="single"/>
        </w:rPr>
        <w:t>Appellant</w:t>
      </w:r>
      <w:r w:rsidR="00D9237D">
        <w:rPr>
          <w:rFonts w:ascii="Book Antiqua" w:hAnsi="Book Antiqua" w:cs="Arial"/>
          <w:u w:val="single"/>
        </w:rPr>
        <w:t>s</w:t>
      </w:r>
    </w:p>
    <w:p w:rsidR="00836DB1" w:rsidRDefault="00836DB1">
      <w:pPr>
        <w:jc w:val="center"/>
        <w:rPr>
          <w:rFonts w:ascii="Book Antiqua" w:hAnsi="Book Antiqua" w:cs="Arial"/>
          <w:b/>
        </w:rPr>
      </w:pPr>
    </w:p>
    <w:p w:rsidR="006903D8" w:rsidRDefault="006903D8">
      <w:pPr>
        <w:jc w:val="center"/>
        <w:rPr>
          <w:rFonts w:ascii="Book Antiqua" w:hAnsi="Book Antiqua" w:cs="Arial"/>
          <w:b/>
        </w:rPr>
      </w:pPr>
      <w:r>
        <w:rPr>
          <w:rFonts w:ascii="Book Antiqua" w:hAnsi="Book Antiqua" w:cs="Arial"/>
          <w:b/>
        </w:rPr>
        <w:t>and</w:t>
      </w:r>
    </w:p>
    <w:p w:rsidR="006903D8" w:rsidRDefault="006903D8">
      <w:pPr>
        <w:jc w:val="center"/>
        <w:rPr>
          <w:rFonts w:ascii="Book Antiqua" w:hAnsi="Book Antiqua" w:cs="Arial"/>
          <w:b/>
        </w:rPr>
      </w:pPr>
    </w:p>
    <w:p w:rsidR="00836DB1" w:rsidRDefault="00836DB1">
      <w:pPr>
        <w:jc w:val="center"/>
        <w:rPr>
          <w:rFonts w:ascii="Book Antiqua" w:hAnsi="Book Antiqua" w:cs="Arial"/>
          <w:b/>
        </w:rPr>
      </w:pPr>
      <w:r>
        <w:rPr>
          <w:rFonts w:ascii="Book Antiqua" w:hAnsi="Book Antiqua" w:cs="Arial"/>
          <w:b/>
        </w:rPr>
        <w:t>THE SECRETARY OF STATE FOR THE HOME DEPARTMENT</w:t>
      </w:r>
    </w:p>
    <w:p w:rsidR="006903D8" w:rsidRDefault="006903D8">
      <w:pPr>
        <w:jc w:val="right"/>
        <w:rPr>
          <w:rFonts w:ascii="Book Antiqua" w:hAnsi="Book Antiqua" w:cs="Arial"/>
          <w:u w:val="single"/>
        </w:rPr>
      </w:pPr>
      <w:r>
        <w:rPr>
          <w:rFonts w:ascii="Book Antiqua" w:hAnsi="Book Antiqua" w:cs="Arial"/>
          <w:u w:val="single"/>
        </w:rPr>
        <w:t>Respondent</w:t>
      </w:r>
    </w:p>
    <w:p w:rsidR="006903D8" w:rsidRDefault="006903D8">
      <w:pPr>
        <w:rPr>
          <w:rFonts w:ascii="Book Antiqua" w:hAnsi="Book Antiqua" w:cs="Arial"/>
          <w:u w:val="single"/>
        </w:rPr>
      </w:pPr>
      <w:bookmarkStart w:id="0" w:name="_GoBack"/>
      <w:bookmarkEnd w:id="0"/>
    </w:p>
    <w:p w:rsidR="006903D8" w:rsidRDefault="006903D8">
      <w:pPr>
        <w:rPr>
          <w:rFonts w:ascii="Book Antiqua" w:hAnsi="Book Antiqua" w:cs="Arial"/>
          <w:b/>
        </w:rPr>
      </w:pPr>
      <w:r>
        <w:rPr>
          <w:rFonts w:ascii="Book Antiqua" w:hAnsi="Book Antiqua" w:cs="Arial"/>
          <w:b/>
          <w:u w:val="single"/>
        </w:rPr>
        <w:t>Representation</w:t>
      </w:r>
      <w:r>
        <w:rPr>
          <w:rFonts w:ascii="Book Antiqua" w:hAnsi="Book Antiqua" w:cs="Arial"/>
          <w:b/>
        </w:rPr>
        <w:t>:</w:t>
      </w:r>
    </w:p>
    <w:p w:rsidR="00836DB1" w:rsidRDefault="00836DB1">
      <w:pPr>
        <w:rPr>
          <w:rFonts w:ascii="Book Antiqua" w:hAnsi="Book Antiqua" w:cs="Arial"/>
        </w:rPr>
      </w:pPr>
    </w:p>
    <w:p w:rsidR="006903D8" w:rsidRDefault="006903D8">
      <w:pPr>
        <w:tabs>
          <w:tab w:val="left" w:pos="2520"/>
        </w:tabs>
        <w:rPr>
          <w:rFonts w:ascii="Book Antiqua" w:hAnsi="Book Antiqua" w:cs="Arial"/>
        </w:rPr>
      </w:pPr>
      <w:r>
        <w:rPr>
          <w:rFonts w:ascii="Book Antiqua" w:hAnsi="Book Antiqua" w:cs="Arial"/>
        </w:rPr>
        <w:t>For the Appellant</w:t>
      </w:r>
      <w:r w:rsidR="00D9237D">
        <w:rPr>
          <w:rFonts w:ascii="Book Antiqua" w:hAnsi="Book Antiqua" w:cs="Arial"/>
        </w:rPr>
        <w:t>s</w:t>
      </w:r>
      <w:r>
        <w:rPr>
          <w:rFonts w:ascii="Book Antiqua" w:hAnsi="Book Antiqua" w:cs="Arial"/>
        </w:rPr>
        <w:t>:</w:t>
      </w:r>
      <w:r>
        <w:rPr>
          <w:rFonts w:ascii="Book Antiqua" w:hAnsi="Book Antiqua" w:cs="Arial"/>
        </w:rPr>
        <w:tab/>
      </w:r>
      <w:r w:rsidR="004C4DC2" w:rsidRPr="001B4282">
        <w:rPr>
          <w:rFonts w:ascii="Book Antiqua" w:hAnsi="Book Antiqua" w:cs="Arial"/>
        </w:rPr>
        <w:t xml:space="preserve">No </w:t>
      </w:r>
      <w:r w:rsidR="00D9237D" w:rsidRPr="001B4282">
        <w:rPr>
          <w:rFonts w:ascii="Book Antiqua" w:hAnsi="Book Antiqua" w:cs="Arial"/>
        </w:rPr>
        <w:t>attendance</w:t>
      </w:r>
    </w:p>
    <w:p w:rsidR="006903D8" w:rsidRDefault="006903D8">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D9237D">
        <w:rPr>
          <w:rFonts w:ascii="Book Antiqua" w:hAnsi="Book Antiqua" w:cs="Arial"/>
        </w:rPr>
        <w:t xml:space="preserve">Mr N Bramble, </w:t>
      </w:r>
      <w:r w:rsidR="00AC10C4">
        <w:rPr>
          <w:rFonts w:ascii="Book Antiqua" w:hAnsi="Book Antiqua" w:cs="Arial"/>
        </w:rPr>
        <w:t xml:space="preserve">Senior </w:t>
      </w:r>
      <w:r w:rsidR="00D9237D">
        <w:rPr>
          <w:rFonts w:ascii="Book Antiqua" w:hAnsi="Book Antiqua" w:cs="Arial"/>
        </w:rPr>
        <w:t xml:space="preserve">Presenting Officer </w:t>
      </w:r>
    </w:p>
    <w:p w:rsidR="006903D8" w:rsidRDefault="006903D8">
      <w:pPr>
        <w:tabs>
          <w:tab w:val="left" w:pos="2520"/>
        </w:tabs>
        <w:jc w:val="center"/>
        <w:rPr>
          <w:rFonts w:ascii="Book Antiqua" w:hAnsi="Book Antiqua" w:cs="Arial"/>
        </w:rPr>
      </w:pPr>
    </w:p>
    <w:p w:rsidR="006903D8" w:rsidRDefault="006903D8">
      <w:pPr>
        <w:tabs>
          <w:tab w:val="left" w:pos="2520"/>
        </w:tabs>
        <w:jc w:val="center"/>
        <w:rPr>
          <w:rFonts w:ascii="Book Antiqua" w:hAnsi="Book Antiqua" w:cs="Arial"/>
        </w:rPr>
      </w:pPr>
      <w:r>
        <w:rPr>
          <w:rFonts w:ascii="Book Antiqua" w:hAnsi="Book Antiqua" w:cs="Arial"/>
          <w:b/>
          <w:u w:val="single"/>
        </w:rPr>
        <w:t>DECISION AND REASONS</w:t>
      </w:r>
    </w:p>
    <w:p w:rsidR="006903D8" w:rsidRDefault="004C4DC2" w:rsidP="004C4DC2">
      <w:pPr>
        <w:tabs>
          <w:tab w:val="left" w:pos="2520"/>
        </w:tabs>
        <w:jc w:val="center"/>
        <w:rPr>
          <w:rFonts w:ascii="Book Antiqua" w:hAnsi="Book Antiqua" w:cs="Arial"/>
        </w:rPr>
      </w:pPr>
      <w:r>
        <w:rPr>
          <w:rFonts w:ascii="Book Antiqua" w:hAnsi="Book Antiqua" w:cs="Arial"/>
        </w:rPr>
        <w:t>(Decision delivered orally on 8 August 2018)</w:t>
      </w:r>
    </w:p>
    <w:p w:rsidR="004C4DC2" w:rsidRDefault="004C4DC2" w:rsidP="004C4DC2">
      <w:pPr>
        <w:tabs>
          <w:tab w:val="left" w:pos="2520"/>
        </w:tabs>
        <w:rPr>
          <w:rFonts w:ascii="Book Antiqua" w:hAnsi="Book Antiqua" w:cs="Arial"/>
        </w:rPr>
      </w:pPr>
    </w:p>
    <w:p w:rsidR="000D7D4D" w:rsidRDefault="000D7D4D" w:rsidP="004C4DC2">
      <w:pPr>
        <w:tabs>
          <w:tab w:val="left" w:pos="2520"/>
        </w:tabs>
        <w:rPr>
          <w:rFonts w:ascii="Book Antiqua" w:hAnsi="Book Antiqua" w:cs="Arial"/>
          <w:b/>
          <w:u w:val="single"/>
        </w:rPr>
      </w:pPr>
      <w:r>
        <w:rPr>
          <w:rFonts w:ascii="Book Antiqua" w:hAnsi="Book Antiqua" w:cs="Arial"/>
          <w:b/>
          <w:u w:val="single"/>
        </w:rPr>
        <w:t>Preamble</w:t>
      </w:r>
    </w:p>
    <w:p w:rsidR="00500832" w:rsidRDefault="000D7D4D" w:rsidP="000D7D4D">
      <w:pPr>
        <w:numPr>
          <w:ilvl w:val="0"/>
          <w:numId w:val="3"/>
        </w:numPr>
        <w:spacing w:before="240"/>
        <w:jc w:val="both"/>
        <w:rPr>
          <w:rFonts w:ascii="Book Antiqua" w:hAnsi="Book Antiqua" w:cs="Arial"/>
        </w:rPr>
      </w:pPr>
      <w:r>
        <w:rPr>
          <w:rFonts w:ascii="Book Antiqua" w:hAnsi="Book Antiqua" w:cs="Arial"/>
        </w:rPr>
        <w:t>N</w:t>
      </w:r>
      <w:r w:rsidRPr="007F14FF">
        <w:rPr>
          <w:rFonts w:ascii="Book Antiqua" w:hAnsi="Book Antiqua" w:cs="Arial"/>
        </w:rPr>
        <w:t xml:space="preserve">otice of this </w:t>
      </w:r>
      <w:r w:rsidRPr="000D7D4D">
        <w:rPr>
          <w:rFonts w:ascii="Book Antiqua" w:hAnsi="Book Antiqua" w:cs="Arial"/>
        </w:rPr>
        <w:t xml:space="preserve">hearing was sent to the appellants </w:t>
      </w:r>
      <w:r w:rsidR="001B4282" w:rsidRPr="000D7D4D">
        <w:rPr>
          <w:rFonts w:ascii="Book Antiqua" w:hAnsi="Book Antiqua" w:cs="Arial"/>
        </w:rPr>
        <w:t xml:space="preserve">on 22 June 2018 </w:t>
      </w:r>
      <w:r w:rsidRPr="000D7D4D">
        <w:rPr>
          <w:rFonts w:ascii="Book Antiqua" w:hAnsi="Book Antiqua" w:cs="Arial"/>
        </w:rPr>
        <w:t>at the address provided for service.</w:t>
      </w:r>
      <w:r>
        <w:rPr>
          <w:rFonts w:ascii="Book Antiqua" w:hAnsi="Book Antiqua" w:cs="Arial"/>
        </w:rPr>
        <w:t xml:space="preserve">  Neither appellant has responded to </w:t>
      </w:r>
      <w:r w:rsidRPr="007F14FF">
        <w:rPr>
          <w:rFonts w:ascii="Book Antiqua" w:hAnsi="Book Antiqua" w:cs="Arial"/>
        </w:rPr>
        <w:t xml:space="preserve">notification of today’s hearing </w:t>
      </w:r>
      <w:r>
        <w:rPr>
          <w:rFonts w:ascii="Book Antiqua" w:hAnsi="Book Antiqua" w:cs="Arial"/>
        </w:rPr>
        <w:t xml:space="preserve">either by seeking an adjournment, </w:t>
      </w:r>
      <w:r w:rsidR="009311EA">
        <w:rPr>
          <w:rFonts w:ascii="Book Antiqua" w:hAnsi="Book Antiqua" w:cs="Arial"/>
        </w:rPr>
        <w:t>by w</w:t>
      </w:r>
      <w:r w:rsidR="00AD2550">
        <w:rPr>
          <w:rFonts w:ascii="Book Antiqua" w:hAnsi="Book Antiqua" w:cs="Arial"/>
        </w:rPr>
        <w:t>rit</w:t>
      </w:r>
      <w:r w:rsidR="009311EA">
        <w:rPr>
          <w:rFonts w:ascii="Book Antiqua" w:hAnsi="Book Antiqua" w:cs="Arial"/>
        </w:rPr>
        <w:t>ing in an</w:t>
      </w:r>
      <w:r w:rsidR="00AD2550">
        <w:rPr>
          <w:rFonts w:ascii="Book Antiqua" w:hAnsi="Book Antiqua" w:cs="Arial"/>
        </w:rPr>
        <w:t>d</w:t>
      </w:r>
      <w:r w:rsidR="009311EA">
        <w:rPr>
          <w:rFonts w:ascii="Book Antiqua" w:hAnsi="Book Antiqua" w:cs="Arial"/>
        </w:rPr>
        <w:t xml:space="preserve"> </w:t>
      </w:r>
      <w:r>
        <w:rPr>
          <w:rFonts w:ascii="Book Antiqua" w:hAnsi="Book Antiqua" w:cs="Arial"/>
        </w:rPr>
        <w:t>indicating</w:t>
      </w:r>
      <w:r w:rsidR="00AD2550">
        <w:rPr>
          <w:rFonts w:ascii="Book Antiqua" w:hAnsi="Book Antiqua" w:cs="Arial"/>
        </w:rPr>
        <w:t xml:space="preserve"> that</w:t>
      </w:r>
      <w:r>
        <w:rPr>
          <w:rFonts w:ascii="Book Antiqua" w:hAnsi="Book Antiqua" w:cs="Arial"/>
        </w:rPr>
        <w:t xml:space="preserve"> </w:t>
      </w:r>
      <w:r w:rsidR="009311EA">
        <w:rPr>
          <w:rFonts w:ascii="Book Antiqua" w:hAnsi="Book Antiqua" w:cs="Arial"/>
        </w:rPr>
        <w:t xml:space="preserve">there would be </w:t>
      </w:r>
      <w:r>
        <w:rPr>
          <w:rFonts w:ascii="Book Antiqua" w:hAnsi="Book Antiqua" w:cs="Arial"/>
        </w:rPr>
        <w:t>no</w:t>
      </w:r>
      <w:r w:rsidR="009311EA">
        <w:rPr>
          <w:rFonts w:ascii="Book Antiqua" w:hAnsi="Book Antiqua" w:cs="Arial"/>
        </w:rPr>
        <w:t xml:space="preserve"> </w:t>
      </w:r>
      <w:r>
        <w:rPr>
          <w:rFonts w:ascii="Book Antiqua" w:hAnsi="Book Antiqua" w:cs="Arial"/>
        </w:rPr>
        <w:t>attendance at the hearing or by attending the hearing. Indeed</w:t>
      </w:r>
      <w:r w:rsidR="00500832">
        <w:rPr>
          <w:rFonts w:ascii="Book Antiqua" w:hAnsi="Book Antiqua" w:cs="Arial"/>
        </w:rPr>
        <w:t>,</w:t>
      </w:r>
      <w:r>
        <w:rPr>
          <w:rFonts w:ascii="Book Antiqua" w:hAnsi="Book Antiqua" w:cs="Arial"/>
        </w:rPr>
        <w:t xml:space="preserve"> t</w:t>
      </w:r>
      <w:r w:rsidR="00500832">
        <w:rPr>
          <w:rFonts w:ascii="Book Antiqua" w:hAnsi="Book Antiqua" w:cs="Arial"/>
        </w:rPr>
        <w:t xml:space="preserve">here has been no </w:t>
      </w:r>
      <w:r w:rsidRPr="007F14FF">
        <w:rPr>
          <w:rFonts w:ascii="Book Antiqua" w:hAnsi="Book Antiqua" w:cs="Arial"/>
        </w:rPr>
        <w:t xml:space="preserve">correspondence </w:t>
      </w:r>
      <w:r w:rsidR="00500832">
        <w:rPr>
          <w:rFonts w:ascii="Book Antiqua" w:hAnsi="Book Antiqua" w:cs="Arial"/>
        </w:rPr>
        <w:t>from the appellants since the service of the hearing</w:t>
      </w:r>
      <w:r w:rsidRPr="007F14FF">
        <w:rPr>
          <w:rFonts w:ascii="Book Antiqua" w:hAnsi="Book Antiqua" w:cs="Arial"/>
        </w:rPr>
        <w:t xml:space="preserve"> notice.  </w:t>
      </w:r>
    </w:p>
    <w:p w:rsidR="000D7D4D" w:rsidRPr="000D7D4D" w:rsidRDefault="009311EA" w:rsidP="000D7D4D">
      <w:pPr>
        <w:numPr>
          <w:ilvl w:val="0"/>
          <w:numId w:val="3"/>
        </w:numPr>
        <w:spacing w:before="240"/>
        <w:jc w:val="both"/>
        <w:rPr>
          <w:rFonts w:ascii="Book Antiqua" w:hAnsi="Book Antiqua" w:cs="Arial"/>
        </w:rPr>
      </w:pPr>
      <w:r>
        <w:rPr>
          <w:rFonts w:ascii="Book Antiqua" w:hAnsi="Book Antiqua" w:cs="Arial"/>
        </w:rPr>
        <w:lastRenderedPageBreak/>
        <w:t>H</w:t>
      </w:r>
      <w:r w:rsidR="000D7D4D" w:rsidRPr="000D7D4D">
        <w:rPr>
          <w:rFonts w:ascii="Book Antiqua" w:hAnsi="Book Antiqua" w:cs="Arial"/>
        </w:rPr>
        <w:t xml:space="preserve">aving taken full account of </w:t>
      </w:r>
      <w:r w:rsidR="00500832">
        <w:rPr>
          <w:rFonts w:ascii="Book Antiqua" w:hAnsi="Book Antiqua" w:cs="Arial"/>
        </w:rPr>
        <w:t xml:space="preserve">all the circumstances of the case as well as the overriding objective </w:t>
      </w:r>
      <w:r>
        <w:rPr>
          <w:rFonts w:ascii="Book Antiqua" w:hAnsi="Book Antiqua" w:cs="Arial"/>
        </w:rPr>
        <w:t xml:space="preserve">set forth </w:t>
      </w:r>
      <w:r w:rsidR="00500832">
        <w:rPr>
          <w:rFonts w:ascii="Book Antiqua" w:hAnsi="Book Antiqua" w:cs="Arial"/>
        </w:rPr>
        <w:t xml:space="preserve">in the 2008 Procedure Rules, I concluded that </w:t>
      </w:r>
      <w:r w:rsidR="000D7D4D" w:rsidRPr="000D7D4D">
        <w:rPr>
          <w:rFonts w:ascii="Book Antiqua" w:hAnsi="Book Antiqua" w:cs="Arial"/>
        </w:rPr>
        <w:t>justice</w:t>
      </w:r>
      <w:r w:rsidR="00500832">
        <w:rPr>
          <w:rFonts w:ascii="Book Antiqua" w:hAnsi="Book Antiqua" w:cs="Arial"/>
        </w:rPr>
        <w:t xml:space="preserve"> would not be impeded by</w:t>
      </w:r>
      <w:r w:rsidR="000D7D4D" w:rsidRPr="000D7D4D">
        <w:rPr>
          <w:rFonts w:ascii="Book Antiqua" w:hAnsi="Book Antiqua" w:cs="Arial"/>
        </w:rPr>
        <w:t xml:space="preserve"> proceed</w:t>
      </w:r>
      <w:r w:rsidR="00500832">
        <w:rPr>
          <w:rFonts w:ascii="Book Antiqua" w:hAnsi="Book Antiqua" w:cs="Arial"/>
        </w:rPr>
        <w:t>ing</w:t>
      </w:r>
      <w:r w:rsidR="000D7D4D" w:rsidRPr="000D7D4D">
        <w:rPr>
          <w:rFonts w:ascii="Book Antiqua" w:hAnsi="Book Antiqua" w:cs="Arial"/>
        </w:rPr>
        <w:t xml:space="preserve"> with the hearing of this appeal in the </w:t>
      </w:r>
      <w:r w:rsidR="00500832">
        <w:rPr>
          <w:rFonts w:ascii="Book Antiqua" w:hAnsi="Book Antiqua" w:cs="Arial"/>
        </w:rPr>
        <w:t xml:space="preserve">absence of the appellants or </w:t>
      </w:r>
      <w:r w:rsidR="009C6A91">
        <w:rPr>
          <w:rFonts w:ascii="Book Antiqua" w:hAnsi="Book Antiqua" w:cs="Arial"/>
        </w:rPr>
        <w:t>legal</w:t>
      </w:r>
      <w:r w:rsidR="000D7D4D" w:rsidRPr="000D7D4D">
        <w:rPr>
          <w:rFonts w:ascii="Book Antiqua" w:hAnsi="Book Antiqua" w:cs="Arial"/>
        </w:rPr>
        <w:t xml:space="preserve"> </w:t>
      </w:r>
      <w:r w:rsidR="00500832">
        <w:rPr>
          <w:rFonts w:ascii="Book Antiqua" w:hAnsi="Book Antiqua" w:cs="Arial"/>
        </w:rPr>
        <w:t>representative</w:t>
      </w:r>
      <w:r w:rsidR="009C6A91">
        <w:rPr>
          <w:rFonts w:ascii="Book Antiqua" w:hAnsi="Book Antiqua" w:cs="Arial"/>
        </w:rPr>
        <w:t>s acting</w:t>
      </w:r>
      <w:r w:rsidR="00500832">
        <w:rPr>
          <w:rFonts w:ascii="Book Antiqua" w:hAnsi="Book Antiqua" w:cs="Arial"/>
        </w:rPr>
        <w:t xml:space="preserve"> on their behalf. </w:t>
      </w:r>
    </w:p>
    <w:p w:rsidR="000D7D4D" w:rsidRDefault="000D7D4D" w:rsidP="004C4DC2">
      <w:pPr>
        <w:tabs>
          <w:tab w:val="left" w:pos="2520"/>
        </w:tabs>
        <w:rPr>
          <w:rFonts w:ascii="Book Antiqua" w:hAnsi="Book Antiqua" w:cs="Arial"/>
          <w:b/>
          <w:u w:val="single"/>
        </w:rPr>
      </w:pPr>
    </w:p>
    <w:p w:rsidR="004C4DC2" w:rsidRPr="004C4DC2" w:rsidRDefault="004C4DC2" w:rsidP="004C4DC2">
      <w:pPr>
        <w:tabs>
          <w:tab w:val="left" w:pos="2520"/>
        </w:tabs>
        <w:rPr>
          <w:rFonts w:ascii="Book Antiqua" w:hAnsi="Book Antiqua" w:cs="Arial"/>
          <w:b/>
          <w:u w:val="single"/>
        </w:rPr>
      </w:pPr>
      <w:r w:rsidRPr="004C4DC2">
        <w:rPr>
          <w:rFonts w:ascii="Book Antiqua" w:hAnsi="Book Antiqua" w:cs="Arial"/>
          <w:b/>
          <w:u w:val="single"/>
        </w:rPr>
        <w:t>Introduction</w:t>
      </w:r>
    </w:p>
    <w:p w:rsidR="006903D8" w:rsidRPr="0017014B" w:rsidRDefault="00D9237D" w:rsidP="0017014B">
      <w:pPr>
        <w:numPr>
          <w:ilvl w:val="0"/>
          <w:numId w:val="3"/>
        </w:numPr>
        <w:spacing w:before="240"/>
        <w:jc w:val="both"/>
        <w:rPr>
          <w:rFonts w:ascii="Book Antiqua" w:hAnsi="Book Antiqua" w:cs="Arial"/>
        </w:rPr>
      </w:pPr>
      <w:r>
        <w:rPr>
          <w:rFonts w:ascii="Book Antiqua" w:hAnsi="Book Antiqua" w:cs="Arial"/>
        </w:rPr>
        <w:t>The appellants are nationals of Nigeria</w:t>
      </w:r>
      <w:r w:rsidR="009D0130">
        <w:rPr>
          <w:rFonts w:ascii="Book Antiqua" w:hAnsi="Book Antiqua" w:cs="Arial"/>
        </w:rPr>
        <w:t>,</w:t>
      </w:r>
      <w:r w:rsidR="00D84AEA">
        <w:rPr>
          <w:rFonts w:ascii="Book Antiqua" w:hAnsi="Book Antiqua" w:cs="Arial"/>
        </w:rPr>
        <w:t xml:space="preserve"> born in 1991 and 1994 respective</w:t>
      </w:r>
      <w:r w:rsidR="00784A7D">
        <w:rPr>
          <w:rFonts w:ascii="Book Antiqua" w:hAnsi="Book Antiqua" w:cs="Arial"/>
        </w:rPr>
        <w:t>ly</w:t>
      </w:r>
      <w:r w:rsidR="009D0130">
        <w:rPr>
          <w:rFonts w:ascii="Book Antiqua" w:hAnsi="Book Antiqua" w:cs="Arial"/>
        </w:rPr>
        <w:t xml:space="preserve"> and are siblings</w:t>
      </w:r>
      <w:r w:rsidR="00523CDA">
        <w:rPr>
          <w:rFonts w:ascii="Book Antiqua" w:hAnsi="Book Antiqua" w:cs="Arial"/>
        </w:rPr>
        <w:t>.</w:t>
      </w:r>
      <w:r w:rsidR="004C4DC2">
        <w:rPr>
          <w:rFonts w:ascii="Book Antiqua" w:hAnsi="Book Antiqua" w:cs="Arial"/>
        </w:rPr>
        <w:t xml:space="preserve"> </w:t>
      </w:r>
      <w:r w:rsidR="00523CDA">
        <w:rPr>
          <w:rFonts w:ascii="Book Antiqua" w:hAnsi="Book Antiqua" w:cs="Arial"/>
        </w:rPr>
        <w:t>O</w:t>
      </w:r>
      <w:r w:rsidR="00AC10C4">
        <w:rPr>
          <w:rFonts w:ascii="Book Antiqua" w:hAnsi="Book Antiqua" w:cs="Arial"/>
        </w:rPr>
        <w:t xml:space="preserve">n </w:t>
      </w:r>
      <w:r w:rsidR="00D84AEA">
        <w:rPr>
          <w:rFonts w:ascii="Book Antiqua" w:hAnsi="Book Antiqua" w:cs="Arial"/>
        </w:rPr>
        <w:t xml:space="preserve">1 July 2015 </w:t>
      </w:r>
      <w:r w:rsidR="00523CDA">
        <w:rPr>
          <w:rFonts w:ascii="Book Antiqua" w:hAnsi="Book Antiqua" w:cs="Arial"/>
        </w:rPr>
        <w:t xml:space="preserve">both appellants applied to the Secretary of State </w:t>
      </w:r>
      <w:r w:rsidR="00D84AEA">
        <w:rPr>
          <w:rFonts w:ascii="Book Antiqua" w:hAnsi="Book Antiqua" w:cs="Arial"/>
        </w:rPr>
        <w:t>for an E</w:t>
      </w:r>
      <w:r w:rsidR="004C4DC2">
        <w:rPr>
          <w:rFonts w:ascii="Book Antiqua" w:hAnsi="Book Antiqua" w:cs="Arial"/>
        </w:rPr>
        <w:t>E</w:t>
      </w:r>
      <w:r w:rsidR="00D84AEA">
        <w:rPr>
          <w:rFonts w:ascii="Book Antiqua" w:hAnsi="Book Antiqua" w:cs="Arial"/>
        </w:rPr>
        <w:t xml:space="preserve">A residence card as confirmation of their right to reside in the United Kingdom.  The </w:t>
      </w:r>
      <w:r w:rsidR="004C4DC2">
        <w:rPr>
          <w:rFonts w:ascii="Book Antiqua" w:hAnsi="Book Antiqua" w:cs="Arial"/>
        </w:rPr>
        <w:t>named ‘</w:t>
      </w:r>
      <w:r w:rsidR="00D84AEA">
        <w:rPr>
          <w:rFonts w:ascii="Book Antiqua" w:hAnsi="Book Antiqua" w:cs="Arial"/>
        </w:rPr>
        <w:t>sponsor</w:t>
      </w:r>
      <w:r w:rsidR="004C4DC2">
        <w:rPr>
          <w:rFonts w:ascii="Book Antiqua" w:hAnsi="Book Antiqua" w:cs="Arial"/>
        </w:rPr>
        <w:t>’</w:t>
      </w:r>
      <w:r w:rsidR="00D84AEA">
        <w:rPr>
          <w:rFonts w:ascii="Book Antiqua" w:hAnsi="Book Antiqua" w:cs="Arial"/>
        </w:rPr>
        <w:t xml:space="preserve"> in the</w:t>
      </w:r>
      <w:r w:rsidR="004C4DC2">
        <w:rPr>
          <w:rFonts w:ascii="Book Antiqua" w:hAnsi="Book Antiqua" w:cs="Arial"/>
        </w:rPr>
        <w:t>se</w:t>
      </w:r>
      <w:r w:rsidR="00D84AEA">
        <w:rPr>
          <w:rFonts w:ascii="Book Antiqua" w:hAnsi="Book Antiqua" w:cs="Arial"/>
        </w:rPr>
        <w:t xml:space="preserve"> application</w:t>
      </w:r>
      <w:r w:rsidR="004C4DC2">
        <w:rPr>
          <w:rFonts w:ascii="Book Antiqua" w:hAnsi="Book Antiqua" w:cs="Arial"/>
        </w:rPr>
        <w:t>s was the</w:t>
      </w:r>
      <w:r w:rsidR="00523CDA">
        <w:rPr>
          <w:rFonts w:ascii="Book Antiqua" w:hAnsi="Book Antiqua" w:cs="Arial"/>
        </w:rPr>
        <w:t xml:space="preserve"> appellants’</w:t>
      </w:r>
      <w:r w:rsidR="004C4DC2">
        <w:rPr>
          <w:rFonts w:ascii="Book Antiqua" w:hAnsi="Book Antiqua" w:cs="Arial"/>
        </w:rPr>
        <w:t xml:space="preserve"> </w:t>
      </w:r>
      <w:r w:rsidR="00741A91">
        <w:rPr>
          <w:rFonts w:ascii="Book Antiqua" w:hAnsi="Book Antiqua" w:cs="Arial"/>
        </w:rPr>
        <w:t xml:space="preserve">Nigerian national </w:t>
      </w:r>
      <w:r w:rsidR="004C4DC2">
        <w:rPr>
          <w:rFonts w:ascii="Book Antiqua" w:hAnsi="Book Antiqua" w:cs="Arial"/>
        </w:rPr>
        <w:t>sister</w:t>
      </w:r>
      <w:r w:rsidR="00741A91">
        <w:rPr>
          <w:rFonts w:ascii="Book Antiqua" w:hAnsi="Book Antiqua" w:cs="Arial"/>
        </w:rPr>
        <w:t xml:space="preserve"> </w:t>
      </w:r>
      <w:r w:rsidR="00D84AEA">
        <w:rPr>
          <w:rFonts w:ascii="Book Antiqua" w:hAnsi="Book Antiqua" w:cs="Arial"/>
        </w:rPr>
        <w:t xml:space="preserve">who </w:t>
      </w:r>
      <w:r w:rsidR="004C4DC2">
        <w:rPr>
          <w:rFonts w:ascii="Book Antiqua" w:hAnsi="Book Antiqua" w:cs="Arial"/>
        </w:rPr>
        <w:t>was, but is no longer,</w:t>
      </w:r>
      <w:r w:rsidR="00D84AEA">
        <w:rPr>
          <w:rFonts w:ascii="Book Antiqua" w:hAnsi="Book Antiqua" w:cs="Arial"/>
        </w:rPr>
        <w:t xml:space="preserve"> married to an E</w:t>
      </w:r>
      <w:r w:rsidR="004C4DC2">
        <w:rPr>
          <w:rFonts w:ascii="Book Antiqua" w:hAnsi="Book Antiqua" w:cs="Arial"/>
        </w:rPr>
        <w:t xml:space="preserve">EA national. </w:t>
      </w:r>
      <w:r w:rsidR="003352CE">
        <w:rPr>
          <w:rFonts w:ascii="Book Antiqua" w:hAnsi="Book Antiqua" w:cs="Arial"/>
        </w:rPr>
        <w:t xml:space="preserve">The exact date of the </w:t>
      </w:r>
      <w:r w:rsidR="0017014B">
        <w:rPr>
          <w:rFonts w:ascii="Book Antiqua" w:hAnsi="Book Antiqua" w:cs="Arial"/>
        </w:rPr>
        <w:t>decree absolute is not identified in the papers</w:t>
      </w:r>
      <w:r w:rsidR="00D30DC6">
        <w:rPr>
          <w:rFonts w:ascii="Book Antiqua" w:hAnsi="Book Antiqua" w:cs="Arial"/>
        </w:rPr>
        <w:t>;</w:t>
      </w:r>
      <w:r w:rsidR="0017014B">
        <w:rPr>
          <w:rFonts w:ascii="Book Antiqua" w:hAnsi="Book Antiqua" w:cs="Arial"/>
        </w:rPr>
        <w:t xml:space="preserve"> </w:t>
      </w:r>
      <w:r w:rsidR="001C469B">
        <w:rPr>
          <w:rFonts w:ascii="Book Antiqua" w:hAnsi="Book Antiqua" w:cs="Arial"/>
        </w:rPr>
        <w:t>h</w:t>
      </w:r>
      <w:r w:rsidR="0017014B">
        <w:rPr>
          <w:rFonts w:ascii="Book Antiqua" w:hAnsi="Book Antiqua" w:cs="Arial"/>
        </w:rPr>
        <w:t>owever</w:t>
      </w:r>
      <w:r w:rsidR="009B3CDF">
        <w:rPr>
          <w:rFonts w:ascii="Book Antiqua" w:hAnsi="Book Antiqua" w:cs="Arial"/>
        </w:rPr>
        <w:t>,</w:t>
      </w:r>
      <w:r w:rsidR="0017014B">
        <w:rPr>
          <w:rFonts w:ascii="Book Antiqua" w:hAnsi="Book Antiqua" w:cs="Arial"/>
        </w:rPr>
        <w:t xml:space="preserve"> it is not in dispute that by the time of the Secretary of State’s </w:t>
      </w:r>
      <w:r w:rsidR="00F92FFD">
        <w:rPr>
          <w:rFonts w:ascii="Book Antiqua" w:hAnsi="Book Antiqua" w:cs="Arial"/>
        </w:rPr>
        <w:t>decision</w:t>
      </w:r>
      <w:r w:rsidR="0017014B">
        <w:rPr>
          <w:rFonts w:ascii="Book Antiqua" w:hAnsi="Book Antiqua" w:cs="Arial"/>
        </w:rPr>
        <w:t xml:space="preserve"> on 1 December 2015 the appellants sister was </w:t>
      </w:r>
      <w:r w:rsidR="001C469B">
        <w:rPr>
          <w:rFonts w:ascii="Book Antiqua" w:hAnsi="Book Antiqua" w:cs="Arial"/>
        </w:rPr>
        <w:t>no longer married to an E</w:t>
      </w:r>
      <w:r w:rsidR="00F92FFD">
        <w:rPr>
          <w:rFonts w:ascii="Book Antiqua" w:hAnsi="Book Antiqua" w:cs="Arial"/>
        </w:rPr>
        <w:t>E</w:t>
      </w:r>
      <w:r w:rsidR="001C469B">
        <w:rPr>
          <w:rFonts w:ascii="Book Antiqua" w:hAnsi="Book Antiqua" w:cs="Arial"/>
        </w:rPr>
        <w:t xml:space="preserve">A national. </w:t>
      </w:r>
    </w:p>
    <w:p w:rsidR="00D84AEA" w:rsidRDefault="001C469B">
      <w:pPr>
        <w:numPr>
          <w:ilvl w:val="0"/>
          <w:numId w:val="3"/>
        </w:numPr>
        <w:spacing w:before="240"/>
        <w:jc w:val="both"/>
        <w:rPr>
          <w:rFonts w:ascii="Book Antiqua" w:hAnsi="Book Antiqua" w:cs="Arial"/>
        </w:rPr>
      </w:pPr>
      <w:r>
        <w:rPr>
          <w:rFonts w:ascii="Book Antiqua" w:hAnsi="Book Antiqua" w:cs="Arial"/>
        </w:rPr>
        <w:t>I further observe that t</w:t>
      </w:r>
      <w:r w:rsidR="00D84AEA">
        <w:rPr>
          <w:rFonts w:ascii="Book Antiqua" w:hAnsi="Book Antiqua" w:cs="Arial"/>
        </w:rPr>
        <w:t xml:space="preserve">he appellants </w:t>
      </w:r>
      <w:r>
        <w:rPr>
          <w:rFonts w:ascii="Book Antiqua" w:hAnsi="Book Antiqua" w:cs="Arial"/>
        </w:rPr>
        <w:t xml:space="preserve">have never </w:t>
      </w:r>
      <w:r w:rsidR="009B3CDF">
        <w:rPr>
          <w:rFonts w:ascii="Book Antiqua" w:hAnsi="Book Antiqua" w:cs="Arial"/>
        </w:rPr>
        <w:t>had</w:t>
      </w:r>
      <w:r w:rsidR="0026567A">
        <w:rPr>
          <w:rFonts w:ascii="Book Antiqua" w:hAnsi="Book Antiqua" w:cs="Arial"/>
        </w:rPr>
        <w:t xml:space="preserve"> an EEA residence card, </w:t>
      </w:r>
      <w:r w:rsidR="009B3CDF">
        <w:rPr>
          <w:rFonts w:ascii="Book Antiqua" w:hAnsi="Book Antiqua" w:cs="Arial"/>
        </w:rPr>
        <w:t>a fact which has assumed</w:t>
      </w:r>
      <w:r w:rsidR="0026567A">
        <w:rPr>
          <w:rFonts w:ascii="Book Antiqua" w:hAnsi="Book Antiqua" w:cs="Arial"/>
        </w:rPr>
        <w:t xml:space="preserve"> great importance in this appeal. </w:t>
      </w:r>
      <w:r w:rsidR="00FB24C7">
        <w:rPr>
          <w:rFonts w:ascii="Book Antiqua" w:hAnsi="Book Antiqua" w:cs="Arial"/>
        </w:rPr>
        <w:t xml:space="preserve">They </w:t>
      </w:r>
      <w:r w:rsidR="0049264B">
        <w:rPr>
          <w:rFonts w:ascii="Book Antiqua" w:hAnsi="Book Antiqua" w:cs="Arial"/>
        </w:rPr>
        <w:t>have</w:t>
      </w:r>
      <w:r w:rsidR="00FB24C7">
        <w:rPr>
          <w:rFonts w:ascii="Book Antiqua" w:hAnsi="Book Antiqua" w:cs="Arial"/>
        </w:rPr>
        <w:t>, however,</w:t>
      </w:r>
      <w:r w:rsidR="001D3752">
        <w:rPr>
          <w:rFonts w:ascii="Book Antiqua" w:hAnsi="Book Antiqua" w:cs="Arial"/>
        </w:rPr>
        <w:t xml:space="preserve"> </w:t>
      </w:r>
      <w:r w:rsidR="00D84AEA">
        <w:rPr>
          <w:rFonts w:ascii="Book Antiqua" w:hAnsi="Book Antiqua" w:cs="Arial"/>
        </w:rPr>
        <w:t>previously</w:t>
      </w:r>
      <w:r w:rsidR="0049264B">
        <w:rPr>
          <w:rFonts w:ascii="Book Antiqua" w:hAnsi="Book Antiqua" w:cs="Arial"/>
        </w:rPr>
        <w:t xml:space="preserve"> each</w:t>
      </w:r>
      <w:r w:rsidR="00D84AEA">
        <w:rPr>
          <w:rFonts w:ascii="Book Antiqua" w:hAnsi="Book Antiqua" w:cs="Arial"/>
        </w:rPr>
        <w:t xml:space="preserve"> submitted applications for</w:t>
      </w:r>
      <w:r w:rsidR="0049264B">
        <w:rPr>
          <w:rFonts w:ascii="Book Antiqua" w:hAnsi="Book Antiqua" w:cs="Arial"/>
        </w:rPr>
        <w:t xml:space="preserve"> an</w:t>
      </w:r>
      <w:r w:rsidR="00D84AEA">
        <w:rPr>
          <w:rFonts w:ascii="Book Antiqua" w:hAnsi="Book Antiqua" w:cs="Arial"/>
        </w:rPr>
        <w:t xml:space="preserve"> </w:t>
      </w:r>
      <w:r w:rsidR="001D3752">
        <w:rPr>
          <w:rFonts w:ascii="Book Antiqua" w:hAnsi="Book Antiqua" w:cs="Arial"/>
        </w:rPr>
        <w:t xml:space="preserve">EEA </w:t>
      </w:r>
      <w:r w:rsidR="00D84AEA">
        <w:rPr>
          <w:rFonts w:ascii="Book Antiqua" w:hAnsi="Book Antiqua" w:cs="Arial"/>
        </w:rPr>
        <w:t>residence card</w:t>
      </w:r>
      <w:r w:rsidR="0049264B">
        <w:rPr>
          <w:rFonts w:ascii="Book Antiqua" w:hAnsi="Book Antiqua" w:cs="Arial"/>
        </w:rPr>
        <w:t>,</w:t>
      </w:r>
      <w:r w:rsidR="00D84AEA">
        <w:rPr>
          <w:rFonts w:ascii="Book Antiqua" w:hAnsi="Book Antiqua" w:cs="Arial"/>
        </w:rPr>
        <w:t xml:space="preserve"> in 2012 and 2013</w:t>
      </w:r>
      <w:r w:rsidR="0049264B">
        <w:rPr>
          <w:rFonts w:ascii="Book Antiqua" w:hAnsi="Book Antiqua" w:cs="Arial"/>
        </w:rPr>
        <w:t xml:space="preserve"> – such </w:t>
      </w:r>
      <w:r w:rsidR="001D3752">
        <w:rPr>
          <w:rFonts w:ascii="Book Antiqua" w:hAnsi="Book Antiqua" w:cs="Arial"/>
        </w:rPr>
        <w:t>application</w:t>
      </w:r>
      <w:r w:rsidR="0049264B">
        <w:rPr>
          <w:rFonts w:ascii="Book Antiqua" w:hAnsi="Book Antiqua" w:cs="Arial"/>
        </w:rPr>
        <w:t>s</w:t>
      </w:r>
      <w:r w:rsidR="001D3752">
        <w:rPr>
          <w:rFonts w:ascii="Book Antiqua" w:hAnsi="Book Antiqua" w:cs="Arial"/>
        </w:rPr>
        <w:t xml:space="preserve"> being made on the b</w:t>
      </w:r>
      <w:r w:rsidR="00AC10C4">
        <w:rPr>
          <w:rFonts w:ascii="Book Antiqua" w:hAnsi="Book Antiqua" w:cs="Arial"/>
        </w:rPr>
        <w:t xml:space="preserve">asis that </w:t>
      </w:r>
      <w:r w:rsidR="002B6644">
        <w:rPr>
          <w:rFonts w:ascii="Book Antiqua" w:hAnsi="Book Antiqua" w:cs="Arial"/>
        </w:rPr>
        <w:t>the</w:t>
      </w:r>
      <w:r w:rsidR="001D3752">
        <w:rPr>
          <w:rFonts w:ascii="Book Antiqua" w:hAnsi="Book Antiqua" w:cs="Arial"/>
        </w:rPr>
        <w:t xml:space="preserve"> applicant</w:t>
      </w:r>
      <w:r w:rsidR="0049264B">
        <w:rPr>
          <w:rFonts w:ascii="Book Antiqua" w:hAnsi="Book Antiqua" w:cs="Arial"/>
        </w:rPr>
        <w:t>s</w:t>
      </w:r>
      <w:r w:rsidR="001D3752">
        <w:rPr>
          <w:rFonts w:ascii="Book Antiqua" w:hAnsi="Book Antiqua" w:cs="Arial"/>
        </w:rPr>
        <w:t xml:space="preserve"> w</w:t>
      </w:r>
      <w:r w:rsidR="0049264B">
        <w:rPr>
          <w:rFonts w:ascii="Book Antiqua" w:hAnsi="Book Antiqua" w:cs="Arial"/>
        </w:rPr>
        <w:t>ere</w:t>
      </w:r>
      <w:r w:rsidR="001D3752">
        <w:rPr>
          <w:rFonts w:ascii="Book Antiqua" w:hAnsi="Book Antiqua" w:cs="Arial"/>
        </w:rPr>
        <w:t xml:space="preserve"> extended family member</w:t>
      </w:r>
      <w:r w:rsidR="00367DC3">
        <w:rPr>
          <w:rFonts w:ascii="Book Antiqua" w:hAnsi="Book Antiqua" w:cs="Arial"/>
        </w:rPr>
        <w:t>s</w:t>
      </w:r>
      <w:r w:rsidR="001D3752">
        <w:rPr>
          <w:rFonts w:ascii="Book Antiqua" w:hAnsi="Book Antiqua" w:cs="Arial"/>
        </w:rPr>
        <w:t xml:space="preserve"> of an EEA national (the appellants’ sister’s former husband).</w:t>
      </w:r>
      <w:r w:rsidR="00D84AEA">
        <w:rPr>
          <w:rFonts w:ascii="Book Antiqua" w:hAnsi="Book Antiqua" w:cs="Arial"/>
        </w:rPr>
        <w:t xml:space="preserve"> </w:t>
      </w:r>
      <w:r w:rsidR="001D3752">
        <w:rPr>
          <w:rFonts w:ascii="Book Antiqua" w:hAnsi="Book Antiqua" w:cs="Arial"/>
        </w:rPr>
        <w:t>T</w:t>
      </w:r>
      <w:r w:rsidR="00D84AEA">
        <w:rPr>
          <w:rFonts w:ascii="Book Antiqua" w:hAnsi="Book Antiqua" w:cs="Arial"/>
        </w:rPr>
        <w:t>he</w:t>
      </w:r>
      <w:r w:rsidR="001D3752">
        <w:rPr>
          <w:rFonts w:ascii="Book Antiqua" w:hAnsi="Book Antiqua" w:cs="Arial"/>
        </w:rPr>
        <w:t xml:space="preserve"> Secretary of State rejected these applications, </w:t>
      </w:r>
      <w:r w:rsidR="000C775D">
        <w:rPr>
          <w:rFonts w:ascii="Book Antiqua" w:hAnsi="Book Antiqua" w:cs="Arial"/>
        </w:rPr>
        <w:t xml:space="preserve">most recently </w:t>
      </w:r>
      <w:r w:rsidR="002B6644">
        <w:rPr>
          <w:rFonts w:ascii="Book Antiqua" w:hAnsi="Book Antiqua" w:cs="Arial"/>
        </w:rPr>
        <w:t>on</w:t>
      </w:r>
      <w:r w:rsidR="006C7D66">
        <w:rPr>
          <w:rFonts w:ascii="Book Antiqua" w:hAnsi="Book Antiqua" w:cs="Arial"/>
        </w:rPr>
        <w:t xml:space="preserve"> 13 August 2014. </w:t>
      </w:r>
    </w:p>
    <w:p w:rsidR="006C7D66" w:rsidRPr="006C7D66" w:rsidRDefault="006C7D66" w:rsidP="006C7D66">
      <w:pPr>
        <w:spacing w:before="240"/>
        <w:jc w:val="both"/>
        <w:rPr>
          <w:rFonts w:ascii="Book Antiqua" w:hAnsi="Book Antiqua" w:cs="Arial"/>
          <w:b/>
          <w:u w:val="single"/>
        </w:rPr>
      </w:pPr>
      <w:r w:rsidRPr="006C7D66">
        <w:rPr>
          <w:rFonts w:ascii="Book Antiqua" w:hAnsi="Book Antiqua" w:cs="Arial"/>
          <w:b/>
          <w:u w:val="single"/>
        </w:rPr>
        <w:t>Proceedings before the First-tier Tribunal</w:t>
      </w:r>
    </w:p>
    <w:p w:rsidR="00D84AEA" w:rsidRDefault="006F1781">
      <w:pPr>
        <w:numPr>
          <w:ilvl w:val="0"/>
          <w:numId w:val="3"/>
        </w:numPr>
        <w:spacing w:before="240"/>
        <w:jc w:val="both"/>
        <w:rPr>
          <w:rFonts w:ascii="Book Antiqua" w:hAnsi="Book Antiqua" w:cs="Arial"/>
        </w:rPr>
      </w:pPr>
      <w:r>
        <w:rPr>
          <w:rFonts w:ascii="Book Antiqua" w:hAnsi="Book Antiqua" w:cs="Arial"/>
        </w:rPr>
        <w:t xml:space="preserve">Before </w:t>
      </w:r>
      <w:r w:rsidR="00D84AEA">
        <w:rPr>
          <w:rFonts w:ascii="Book Antiqua" w:hAnsi="Book Antiqua" w:cs="Arial"/>
        </w:rPr>
        <w:t>th</w:t>
      </w:r>
      <w:r w:rsidR="006C7D66">
        <w:rPr>
          <w:rFonts w:ascii="Book Antiqua" w:hAnsi="Book Antiqua" w:cs="Arial"/>
        </w:rPr>
        <w:t xml:space="preserve">e First-tier Tribunal </w:t>
      </w:r>
      <w:r w:rsidR="00AC10C4">
        <w:rPr>
          <w:rFonts w:ascii="Book Antiqua" w:hAnsi="Book Antiqua" w:cs="Arial"/>
        </w:rPr>
        <w:t xml:space="preserve">(“FtT”) </w:t>
      </w:r>
      <w:r w:rsidR="00D84AEA">
        <w:rPr>
          <w:rFonts w:ascii="Book Antiqua" w:hAnsi="Book Antiqua" w:cs="Arial"/>
        </w:rPr>
        <w:t xml:space="preserve">the </w:t>
      </w:r>
      <w:r>
        <w:rPr>
          <w:rFonts w:ascii="Book Antiqua" w:hAnsi="Book Antiqua" w:cs="Arial"/>
        </w:rPr>
        <w:t>appellants</w:t>
      </w:r>
      <w:r w:rsidR="00D84AEA">
        <w:rPr>
          <w:rFonts w:ascii="Book Antiqua" w:hAnsi="Book Antiqua" w:cs="Arial"/>
        </w:rPr>
        <w:t xml:space="preserve"> </w:t>
      </w:r>
      <w:r w:rsidR="00367DC3">
        <w:rPr>
          <w:rFonts w:ascii="Book Antiqua" w:hAnsi="Book Antiqua" w:cs="Arial"/>
        </w:rPr>
        <w:t>asserted</w:t>
      </w:r>
      <w:r w:rsidR="00D84AEA">
        <w:rPr>
          <w:rFonts w:ascii="Book Antiqua" w:hAnsi="Book Antiqua" w:cs="Arial"/>
        </w:rPr>
        <w:t xml:space="preserve"> that</w:t>
      </w:r>
      <w:r w:rsidR="006C7D66">
        <w:rPr>
          <w:rFonts w:ascii="Book Antiqua" w:hAnsi="Book Antiqua" w:cs="Arial"/>
        </w:rPr>
        <w:t xml:space="preserve"> after their sister’s divorce from the EEA national each had </w:t>
      </w:r>
      <w:r>
        <w:rPr>
          <w:rFonts w:ascii="Book Antiqua" w:hAnsi="Book Antiqua" w:cs="Arial"/>
        </w:rPr>
        <w:t xml:space="preserve">a </w:t>
      </w:r>
      <w:r w:rsidR="006C7D66">
        <w:rPr>
          <w:rFonts w:ascii="Book Antiqua" w:hAnsi="Book Antiqua" w:cs="Arial"/>
        </w:rPr>
        <w:t>retained right</w:t>
      </w:r>
      <w:r w:rsidR="00D84AEA">
        <w:rPr>
          <w:rFonts w:ascii="Book Antiqua" w:hAnsi="Book Antiqua" w:cs="Arial"/>
        </w:rPr>
        <w:t xml:space="preserve"> of residence </w:t>
      </w:r>
      <w:r>
        <w:rPr>
          <w:rFonts w:ascii="Book Antiqua" w:hAnsi="Book Antiqua" w:cs="Arial"/>
        </w:rPr>
        <w:t>in the United Kingdom</w:t>
      </w:r>
      <w:r w:rsidR="00D56E27">
        <w:rPr>
          <w:rFonts w:ascii="Book Antiqua" w:hAnsi="Book Antiqua" w:cs="Arial"/>
        </w:rPr>
        <w:t>, relying on r</w:t>
      </w:r>
      <w:r w:rsidR="00D84AEA">
        <w:rPr>
          <w:rFonts w:ascii="Book Antiqua" w:hAnsi="Book Antiqua" w:cs="Arial"/>
        </w:rPr>
        <w:t xml:space="preserve">egulation 10(5) of the 2006 </w:t>
      </w:r>
      <w:r w:rsidR="006C7D66">
        <w:rPr>
          <w:rFonts w:ascii="Book Antiqua" w:hAnsi="Book Antiqua" w:cs="Arial"/>
        </w:rPr>
        <w:t>EEA Regulations.</w:t>
      </w:r>
    </w:p>
    <w:p w:rsidR="00D84AEA" w:rsidRDefault="00B90495">
      <w:pPr>
        <w:numPr>
          <w:ilvl w:val="0"/>
          <w:numId w:val="3"/>
        </w:numPr>
        <w:spacing w:before="240"/>
        <w:jc w:val="both"/>
        <w:rPr>
          <w:rFonts w:ascii="Book Antiqua" w:hAnsi="Book Antiqua" w:cs="Arial"/>
        </w:rPr>
      </w:pPr>
      <w:r>
        <w:rPr>
          <w:rFonts w:ascii="Book Antiqua" w:hAnsi="Book Antiqua" w:cs="Arial"/>
        </w:rPr>
        <w:t>I</w:t>
      </w:r>
      <w:r w:rsidR="00AC10C4">
        <w:rPr>
          <w:rFonts w:ascii="Book Antiqua" w:hAnsi="Book Antiqua" w:cs="Arial"/>
        </w:rPr>
        <w:t xml:space="preserve">n a decision promulgated on </w:t>
      </w:r>
      <w:r>
        <w:rPr>
          <w:rFonts w:ascii="Book Antiqua" w:hAnsi="Book Antiqua" w:cs="Arial"/>
        </w:rPr>
        <w:t xml:space="preserve">6 September 2017, the FtT dismissed the appeal for want of jurisdiction, </w:t>
      </w:r>
      <w:r w:rsidR="00D84AEA">
        <w:rPr>
          <w:rFonts w:ascii="Book Antiqua" w:hAnsi="Book Antiqua" w:cs="Arial"/>
        </w:rPr>
        <w:t xml:space="preserve">following the reasoning of the Upper Tribunal in </w:t>
      </w:r>
      <w:r w:rsidR="00D84AEA" w:rsidRPr="003C2FBB">
        <w:rPr>
          <w:rFonts w:ascii="Book Antiqua" w:hAnsi="Book Antiqua" w:cs="Arial"/>
          <w:u w:val="single"/>
        </w:rPr>
        <w:t>Sala</w:t>
      </w:r>
      <w:r w:rsidR="003C2FBB">
        <w:rPr>
          <w:rFonts w:ascii="Book Antiqua" w:hAnsi="Book Antiqua" w:cs="Arial"/>
        </w:rPr>
        <w:t xml:space="preserve"> (EFMs: right of</w:t>
      </w:r>
      <w:r>
        <w:rPr>
          <w:rFonts w:ascii="Book Antiqua" w:hAnsi="Book Antiqua" w:cs="Arial"/>
        </w:rPr>
        <w:t xml:space="preserve"> appeal) [2016] UKUT 00411</w:t>
      </w:r>
      <w:r w:rsidR="00D56E27">
        <w:rPr>
          <w:rFonts w:ascii="Book Antiqua" w:hAnsi="Book Antiqua" w:cs="Arial"/>
        </w:rPr>
        <w:t xml:space="preserve"> – in which </w:t>
      </w:r>
      <w:r>
        <w:rPr>
          <w:rFonts w:ascii="Book Antiqua" w:hAnsi="Book Antiqua" w:cs="Arial"/>
        </w:rPr>
        <w:t>the Tribunal</w:t>
      </w:r>
      <w:r w:rsidR="003C2FBB">
        <w:rPr>
          <w:rFonts w:ascii="Book Antiqua" w:hAnsi="Book Antiqua" w:cs="Arial"/>
        </w:rPr>
        <w:t xml:space="preserve"> </w:t>
      </w:r>
      <w:r w:rsidR="00D56E27">
        <w:rPr>
          <w:rFonts w:ascii="Book Antiqua" w:hAnsi="Book Antiqua" w:cs="Arial"/>
        </w:rPr>
        <w:t xml:space="preserve">had </w:t>
      </w:r>
      <w:r w:rsidR="003C2FBB">
        <w:rPr>
          <w:rFonts w:ascii="Book Antiqua" w:hAnsi="Book Antiqua" w:cs="Arial"/>
        </w:rPr>
        <w:t>concluded</w:t>
      </w:r>
      <w:r>
        <w:rPr>
          <w:rFonts w:ascii="Book Antiqua" w:hAnsi="Book Antiqua" w:cs="Arial"/>
        </w:rPr>
        <w:t xml:space="preserve"> </w:t>
      </w:r>
      <w:r w:rsidR="003C2FBB">
        <w:rPr>
          <w:rFonts w:ascii="Book Antiqua" w:hAnsi="Book Antiqua" w:cs="Arial"/>
        </w:rPr>
        <w:t>that decisions</w:t>
      </w:r>
      <w:r>
        <w:rPr>
          <w:rFonts w:ascii="Book Antiqua" w:hAnsi="Book Antiqua" w:cs="Arial"/>
        </w:rPr>
        <w:t xml:space="preserve"> made by the Secretary of State on application</w:t>
      </w:r>
      <w:r w:rsidR="00D56E27">
        <w:rPr>
          <w:rFonts w:ascii="Book Antiqua" w:hAnsi="Book Antiqua" w:cs="Arial"/>
        </w:rPr>
        <w:t>s</w:t>
      </w:r>
      <w:r>
        <w:rPr>
          <w:rFonts w:ascii="Book Antiqua" w:hAnsi="Book Antiqua" w:cs="Arial"/>
        </w:rPr>
        <w:t xml:space="preserve"> for </w:t>
      </w:r>
      <w:r w:rsidR="003C2FBB">
        <w:rPr>
          <w:rFonts w:ascii="Book Antiqua" w:hAnsi="Book Antiqua" w:cs="Arial"/>
        </w:rPr>
        <w:t>E</w:t>
      </w:r>
      <w:r>
        <w:rPr>
          <w:rFonts w:ascii="Book Antiqua" w:hAnsi="Book Antiqua" w:cs="Arial"/>
        </w:rPr>
        <w:t>E</w:t>
      </w:r>
      <w:r w:rsidR="003C2FBB">
        <w:rPr>
          <w:rFonts w:ascii="Book Antiqua" w:hAnsi="Book Antiqua" w:cs="Arial"/>
        </w:rPr>
        <w:t xml:space="preserve">A residence cards by extended family members did not </w:t>
      </w:r>
      <w:r>
        <w:rPr>
          <w:rFonts w:ascii="Book Antiqua" w:hAnsi="Book Antiqua" w:cs="Arial"/>
        </w:rPr>
        <w:t xml:space="preserve">accrue a right of appeal. </w:t>
      </w:r>
    </w:p>
    <w:p w:rsidR="00E27948" w:rsidRDefault="00B90495">
      <w:pPr>
        <w:numPr>
          <w:ilvl w:val="0"/>
          <w:numId w:val="3"/>
        </w:numPr>
        <w:spacing w:before="240"/>
        <w:jc w:val="both"/>
        <w:rPr>
          <w:rFonts w:ascii="Book Antiqua" w:hAnsi="Book Antiqua" w:cs="Arial"/>
        </w:rPr>
      </w:pPr>
      <w:r>
        <w:rPr>
          <w:rFonts w:ascii="Book Antiqua" w:hAnsi="Book Antiqua" w:cs="Arial"/>
        </w:rPr>
        <w:t>I</w:t>
      </w:r>
      <w:r w:rsidR="003C2FBB">
        <w:rPr>
          <w:rFonts w:ascii="Book Antiqua" w:hAnsi="Book Antiqua" w:cs="Arial"/>
        </w:rPr>
        <w:t>mportantly</w:t>
      </w:r>
      <w:r w:rsidR="009154E0">
        <w:rPr>
          <w:rFonts w:ascii="Book Antiqua" w:hAnsi="Book Antiqua" w:cs="Arial"/>
        </w:rPr>
        <w:t>, t</w:t>
      </w:r>
      <w:r>
        <w:rPr>
          <w:rFonts w:ascii="Book Antiqua" w:hAnsi="Book Antiqua" w:cs="Arial"/>
        </w:rPr>
        <w:t>he FtT also</w:t>
      </w:r>
      <w:r w:rsidR="003C2FBB">
        <w:rPr>
          <w:rFonts w:ascii="Book Antiqua" w:hAnsi="Book Antiqua" w:cs="Arial"/>
        </w:rPr>
        <w:t xml:space="preserve"> made </w:t>
      </w:r>
      <w:r w:rsidR="00D56E27">
        <w:rPr>
          <w:rFonts w:ascii="Book Antiqua" w:hAnsi="Book Antiqua" w:cs="Arial"/>
        </w:rPr>
        <w:t>alternative</w:t>
      </w:r>
      <w:r w:rsidR="003C2FBB">
        <w:rPr>
          <w:rFonts w:ascii="Book Antiqua" w:hAnsi="Book Antiqua" w:cs="Arial"/>
        </w:rPr>
        <w:t xml:space="preserve"> findings</w:t>
      </w:r>
      <w:r w:rsidR="00D56E27">
        <w:rPr>
          <w:rFonts w:ascii="Book Antiqua" w:hAnsi="Book Antiqua" w:cs="Arial"/>
        </w:rPr>
        <w:t xml:space="preserve"> </w:t>
      </w:r>
      <w:r w:rsidR="009154E0">
        <w:rPr>
          <w:rFonts w:ascii="Book Antiqua" w:hAnsi="Book Antiqua" w:cs="Arial"/>
        </w:rPr>
        <w:t xml:space="preserve">in relation to the application of regulation 10(5) of the 2006 EEA Regulations. </w:t>
      </w:r>
      <w:r w:rsidR="008A5375">
        <w:rPr>
          <w:rFonts w:ascii="Book Antiqua" w:hAnsi="Book Antiqua" w:cs="Arial"/>
        </w:rPr>
        <w:t>By regulation 10</w:t>
      </w:r>
      <w:r w:rsidR="00AE6121">
        <w:rPr>
          <w:rFonts w:ascii="Book Antiqua" w:hAnsi="Book Antiqua" w:cs="Arial"/>
        </w:rPr>
        <w:t xml:space="preserve"> of the 2006 EEA Regulations a person who satisfies </w:t>
      </w:r>
      <w:r w:rsidR="00AD7EB7">
        <w:rPr>
          <w:rFonts w:ascii="Book Antiqua" w:hAnsi="Book Antiqua" w:cs="Arial"/>
        </w:rPr>
        <w:t xml:space="preserve">one </w:t>
      </w:r>
      <w:r w:rsidR="00AE6121">
        <w:rPr>
          <w:rFonts w:ascii="Book Antiqua" w:hAnsi="Book Antiqua" w:cs="Arial"/>
        </w:rPr>
        <w:t xml:space="preserve">the conditions </w:t>
      </w:r>
      <w:r w:rsidR="00AD7EB7">
        <w:rPr>
          <w:rFonts w:ascii="Book Antiqua" w:hAnsi="Book Antiqua" w:cs="Arial"/>
        </w:rPr>
        <w:t>identified in</w:t>
      </w:r>
      <w:r w:rsidR="00AE6121">
        <w:rPr>
          <w:rFonts w:ascii="Book Antiqua" w:hAnsi="Book Antiqua" w:cs="Arial"/>
        </w:rPr>
        <w:t xml:space="preserve"> subparagraphs</w:t>
      </w:r>
      <w:r w:rsidR="00A40176">
        <w:rPr>
          <w:rFonts w:ascii="Book Antiqua" w:hAnsi="Book Antiqua" w:cs="Arial"/>
        </w:rPr>
        <w:t xml:space="preserve"> (2) to (5) </w:t>
      </w:r>
      <w:r w:rsidR="00AD7EB7">
        <w:rPr>
          <w:rFonts w:ascii="Book Antiqua" w:hAnsi="Book Antiqua" w:cs="Arial"/>
        </w:rPr>
        <w:t xml:space="preserve">thereof, </w:t>
      </w:r>
      <w:r w:rsidR="00A40176">
        <w:rPr>
          <w:rFonts w:ascii="Book Antiqua" w:hAnsi="Book Antiqua" w:cs="Arial"/>
        </w:rPr>
        <w:t>retains a right to reside in the United Kingdom</w:t>
      </w:r>
      <w:r w:rsidR="00E202D4">
        <w:rPr>
          <w:rFonts w:ascii="Book Antiqua" w:hAnsi="Book Antiqua" w:cs="Arial"/>
        </w:rPr>
        <w:t xml:space="preserve"> after a specified event. The specified event </w:t>
      </w:r>
      <w:r w:rsidR="002A63AD">
        <w:rPr>
          <w:rFonts w:ascii="Book Antiqua" w:hAnsi="Book Antiqua" w:cs="Arial"/>
        </w:rPr>
        <w:t>identified in</w:t>
      </w:r>
      <w:r w:rsidR="00E202D4">
        <w:rPr>
          <w:rFonts w:ascii="Book Antiqua" w:hAnsi="Book Antiqua" w:cs="Arial"/>
        </w:rPr>
        <w:t xml:space="preserve"> subparagraph 5 </w:t>
      </w:r>
      <w:r w:rsidR="002A63AD">
        <w:rPr>
          <w:rFonts w:ascii="Book Antiqua" w:hAnsi="Book Antiqua" w:cs="Arial"/>
        </w:rPr>
        <w:t xml:space="preserve">is the termination of </w:t>
      </w:r>
      <w:r w:rsidR="00D70A35">
        <w:rPr>
          <w:rFonts w:ascii="Book Antiqua" w:hAnsi="Book Antiqua" w:cs="Arial"/>
        </w:rPr>
        <w:t xml:space="preserve">a </w:t>
      </w:r>
      <w:r w:rsidR="002A63AD">
        <w:rPr>
          <w:rFonts w:ascii="Book Antiqua" w:hAnsi="Book Antiqua" w:cs="Arial"/>
        </w:rPr>
        <w:t xml:space="preserve">marriage </w:t>
      </w:r>
      <w:r w:rsidR="005E282F">
        <w:rPr>
          <w:rFonts w:ascii="Book Antiqua" w:hAnsi="Book Antiqua" w:cs="Arial"/>
        </w:rPr>
        <w:t>between an EEA national and</w:t>
      </w:r>
      <w:r w:rsidR="00D70A35">
        <w:rPr>
          <w:rFonts w:ascii="Book Antiqua" w:hAnsi="Book Antiqua" w:cs="Arial"/>
        </w:rPr>
        <w:t xml:space="preserve"> a</w:t>
      </w:r>
      <w:r w:rsidR="005E282F">
        <w:rPr>
          <w:rFonts w:ascii="Book Antiqua" w:hAnsi="Book Antiqua" w:cs="Arial"/>
        </w:rPr>
        <w:t xml:space="preserve"> non-EEA national.</w:t>
      </w:r>
    </w:p>
    <w:p w:rsidR="008A5375" w:rsidRDefault="009D7947">
      <w:pPr>
        <w:numPr>
          <w:ilvl w:val="0"/>
          <w:numId w:val="3"/>
        </w:numPr>
        <w:spacing w:before="240"/>
        <w:jc w:val="both"/>
        <w:rPr>
          <w:rFonts w:ascii="Book Antiqua" w:hAnsi="Book Antiqua" w:cs="Arial"/>
        </w:rPr>
      </w:pPr>
      <w:r>
        <w:rPr>
          <w:rFonts w:ascii="Book Antiqua" w:hAnsi="Book Antiqua" w:cs="Arial"/>
        </w:rPr>
        <w:t xml:space="preserve">One of </w:t>
      </w:r>
      <w:r w:rsidR="00D70A35">
        <w:rPr>
          <w:rFonts w:ascii="Book Antiqua" w:hAnsi="Book Antiqua" w:cs="Arial"/>
        </w:rPr>
        <w:t xml:space="preserve">the </w:t>
      </w:r>
      <w:r w:rsidR="00362A91">
        <w:rPr>
          <w:rFonts w:ascii="Book Antiqua" w:hAnsi="Book Antiqua" w:cs="Arial"/>
        </w:rPr>
        <w:t>conditions required to satisfy subparagraph 5 is that the applicant</w:t>
      </w:r>
      <w:r w:rsidR="005541BB">
        <w:rPr>
          <w:rFonts w:ascii="Book Antiqua" w:hAnsi="Book Antiqua" w:cs="Arial"/>
        </w:rPr>
        <w:t xml:space="preserve"> must have</w:t>
      </w:r>
      <w:r w:rsidR="00362A91">
        <w:rPr>
          <w:rFonts w:ascii="Book Antiqua" w:hAnsi="Book Antiqua" w:cs="Arial"/>
        </w:rPr>
        <w:t xml:space="preserve"> ‘ceased to be the family member’ of the qualifying EEA national</w:t>
      </w:r>
      <w:r w:rsidR="003472B1">
        <w:rPr>
          <w:rFonts w:ascii="Book Antiqua" w:hAnsi="Book Antiqua" w:cs="Arial"/>
        </w:rPr>
        <w:t xml:space="preserve"> on the termination of the marriage. </w:t>
      </w:r>
    </w:p>
    <w:p w:rsidR="003C2FBB" w:rsidRDefault="009154E0">
      <w:pPr>
        <w:numPr>
          <w:ilvl w:val="0"/>
          <w:numId w:val="3"/>
        </w:numPr>
        <w:spacing w:before="240"/>
        <w:jc w:val="both"/>
        <w:rPr>
          <w:rFonts w:ascii="Book Antiqua" w:hAnsi="Book Antiqua" w:cs="Arial"/>
        </w:rPr>
      </w:pPr>
      <w:r>
        <w:rPr>
          <w:rFonts w:ascii="Book Antiqua" w:hAnsi="Book Antiqua" w:cs="Arial"/>
        </w:rPr>
        <w:t xml:space="preserve">In this regard the FtT </w:t>
      </w:r>
      <w:r w:rsidR="003472B1">
        <w:rPr>
          <w:rFonts w:ascii="Book Antiqua" w:hAnsi="Book Antiqua" w:cs="Arial"/>
        </w:rPr>
        <w:t>identified that</w:t>
      </w:r>
      <w:r>
        <w:rPr>
          <w:rFonts w:ascii="Book Antiqua" w:hAnsi="Book Antiqua" w:cs="Arial"/>
        </w:rPr>
        <w:t xml:space="preserve"> th</w:t>
      </w:r>
      <w:r w:rsidR="00D56E27">
        <w:rPr>
          <w:rFonts w:ascii="Book Antiqua" w:hAnsi="Book Antiqua" w:cs="Arial"/>
        </w:rPr>
        <w:t>e appellants must</w:t>
      </w:r>
      <w:r w:rsidR="003472B1">
        <w:rPr>
          <w:rFonts w:ascii="Book Antiqua" w:hAnsi="Book Antiqua" w:cs="Arial"/>
        </w:rPr>
        <w:t xml:space="preserve"> </w:t>
      </w:r>
      <w:r w:rsidR="00A000AB">
        <w:rPr>
          <w:rFonts w:ascii="Book Antiqua" w:hAnsi="Book Antiqua" w:cs="Arial"/>
        </w:rPr>
        <w:t xml:space="preserve">each </w:t>
      </w:r>
      <w:r w:rsidR="00D56E27">
        <w:rPr>
          <w:rFonts w:ascii="Book Antiqua" w:hAnsi="Book Antiqua" w:cs="Arial"/>
        </w:rPr>
        <w:t xml:space="preserve">demonstrate that they were </w:t>
      </w:r>
      <w:r w:rsidR="00A000AB">
        <w:rPr>
          <w:rFonts w:ascii="Book Antiqua" w:hAnsi="Book Antiqua" w:cs="Arial"/>
        </w:rPr>
        <w:t>a</w:t>
      </w:r>
      <w:r w:rsidR="00D56E27">
        <w:rPr>
          <w:rFonts w:ascii="Book Antiqua" w:hAnsi="Book Antiqua" w:cs="Arial"/>
        </w:rPr>
        <w:t xml:space="preserve"> family member of </w:t>
      </w:r>
      <w:r w:rsidR="00A000AB">
        <w:rPr>
          <w:rFonts w:ascii="Book Antiqua" w:hAnsi="Book Antiqua" w:cs="Arial"/>
        </w:rPr>
        <w:t>the</w:t>
      </w:r>
      <w:r w:rsidR="00D56E27">
        <w:rPr>
          <w:rFonts w:ascii="Book Antiqua" w:hAnsi="Book Antiqua" w:cs="Arial"/>
        </w:rPr>
        <w:t xml:space="preserve"> EEA national</w:t>
      </w:r>
      <w:r w:rsidR="00163227">
        <w:rPr>
          <w:rFonts w:ascii="Book Antiqua" w:hAnsi="Book Antiqua" w:cs="Arial"/>
        </w:rPr>
        <w:t xml:space="preserve"> </w:t>
      </w:r>
      <w:r>
        <w:rPr>
          <w:rFonts w:ascii="Book Antiqua" w:hAnsi="Book Antiqua" w:cs="Arial"/>
        </w:rPr>
        <w:t>prior to the</w:t>
      </w:r>
      <w:r w:rsidR="00163227">
        <w:rPr>
          <w:rFonts w:ascii="Book Antiqua" w:hAnsi="Book Antiqua" w:cs="Arial"/>
        </w:rPr>
        <w:t xml:space="preserve"> </w:t>
      </w:r>
      <w:r w:rsidR="008E56C2">
        <w:rPr>
          <w:rFonts w:ascii="Book Antiqua" w:hAnsi="Book Antiqua" w:cs="Arial"/>
        </w:rPr>
        <w:t xml:space="preserve">termination of the marriage </w:t>
      </w:r>
      <w:r w:rsidR="008E56C2">
        <w:rPr>
          <w:rFonts w:ascii="Book Antiqua" w:hAnsi="Book Antiqua" w:cs="Arial"/>
        </w:rPr>
        <w:lastRenderedPageBreak/>
        <w:t>between the E</w:t>
      </w:r>
      <w:r w:rsidR="005541BB">
        <w:rPr>
          <w:rFonts w:ascii="Book Antiqua" w:hAnsi="Book Antiqua" w:cs="Arial"/>
        </w:rPr>
        <w:t>E</w:t>
      </w:r>
      <w:r w:rsidR="008E56C2">
        <w:rPr>
          <w:rFonts w:ascii="Book Antiqua" w:hAnsi="Book Antiqua" w:cs="Arial"/>
        </w:rPr>
        <w:t>A national and their sister</w:t>
      </w:r>
      <w:r w:rsidR="00163227">
        <w:rPr>
          <w:rFonts w:ascii="Book Antiqua" w:hAnsi="Book Antiqua" w:cs="Arial"/>
        </w:rPr>
        <w:t>. Applying this legal analysis to the facts of the instant case,</w:t>
      </w:r>
      <w:r w:rsidR="00510E08">
        <w:rPr>
          <w:rFonts w:ascii="Book Antiqua" w:hAnsi="Book Antiqua" w:cs="Arial"/>
        </w:rPr>
        <w:t xml:space="preserve"> the FtT said as</w:t>
      </w:r>
      <w:r w:rsidR="00163227">
        <w:rPr>
          <w:rFonts w:ascii="Book Antiqua" w:hAnsi="Book Antiqua" w:cs="Arial"/>
        </w:rPr>
        <w:t xml:space="preserve"> follows </w:t>
      </w:r>
      <w:r w:rsidR="00510E08">
        <w:rPr>
          <w:rFonts w:ascii="Book Antiqua" w:hAnsi="Book Antiqua" w:cs="Arial"/>
        </w:rPr>
        <w:t>at</w:t>
      </w:r>
      <w:r w:rsidR="00163227">
        <w:rPr>
          <w:rFonts w:ascii="Book Antiqua" w:hAnsi="Book Antiqua" w:cs="Arial"/>
        </w:rPr>
        <w:t xml:space="preserve"> </w:t>
      </w:r>
      <w:r w:rsidR="003C2FBB">
        <w:rPr>
          <w:rFonts w:ascii="Book Antiqua" w:hAnsi="Book Antiqua" w:cs="Arial"/>
        </w:rPr>
        <w:t>paragraph 27</w:t>
      </w:r>
      <w:r w:rsidR="00E24DC8">
        <w:rPr>
          <w:rFonts w:ascii="Book Antiqua" w:hAnsi="Book Antiqua" w:cs="Arial"/>
        </w:rPr>
        <w:t>:</w:t>
      </w:r>
    </w:p>
    <w:p w:rsidR="003C2FBB" w:rsidRPr="00A01D14" w:rsidRDefault="00A01D14" w:rsidP="003C2FBB">
      <w:pPr>
        <w:spacing w:before="240"/>
        <w:ind w:left="1134"/>
        <w:jc w:val="both"/>
        <w:rPr>
          <w:rFonts w:ascii="Book Antiqua" w:hAnsi="Book Antiqua" w:cs="Arial"/>
          <w:sz w:val="22"/>
          <w:szCs w:val="22"/>
        </w:rPr>
      </w:pPr>
      <w:r>
        <w:rPr>
          <w:rFonts w:ascii="Book Antiqua" w:hAnsi="Book Antiqua" w:cs="Arial"/>
          <w:sz w:val="22"/>
          <w:szCs w:val="22"/>
        </w:rPr>
        <w:t>“I find that the relationship of the Appellants and their sister and the Appellants and their sister’s ex-husband does not fall within the one of the categories in (a) to (c).  In respect of category (d), the Appellants’ case is that they have always been financially dependent on their ex-brother-in-law [</w:t>
      </w:r>
      <w:r w:rsidR="00784A7D">
        <w:rPr>
          <w:rFonts w:ascii="Book Antiqua" w:hAnsi="Book Antiqua" w:cs="Arial"/>
          <w:sz w:val="22"/>
          <w:szCs w:val="22"/>
        </w:rPr>
        <w:t xml:space="preserve">i.e. </w:t>
      </w:r>
      <w:r>
        <w:rPr>
          <w:rFonts w:ascii="Book Antiqua" w:hAnsi="Book Antiqua" w:cs="Arial"/>
          <w:sz w:val="22"/>
          <w:szCs w:val="22"/>
        </w:rPr>
        <w:t>the E</w:t>
      </w:r>
      <w:r w:rsidR="001072E3">
        <w:rPr>
          <w:rFonts w:ascii="Book Antiqua" w:hAnsi="Book Antiqua" w:cs="Arial"/>
          <w:sz w:val="22"/>
          <w:szCs w:val="22"/>
        </w:rPr>
        <w:t>E</w:t>
      </w:r>
      <w:r>
        <w:rPr>
          <w:rFonts w:ascii="Book Antiqua" w:hAnsi="Book Antiqua" w:cs="Arial"/>
          <w:sz w:val="22"/>
          <w:szCs w:val="22"/>
        </w:rPr>
        <w:t xml:space="preserve">A national sister’s ex-husband] since coming to the United Kingdom.”  </w:t>
      </w:r>
    </w:p>
    <w:p w:rsidR="001072E3" w:rsidRDefault="00A01D14">
      <w:pPr>
        <w:numPr>
          <w:ilvl w:val="0"/>
          <w:numId w:val="3"/>
        </w:numPr>
        <w:spacing w:before="240"/>
        <w:jc w:val="both"/>
        <w:rPr>
          <w:rFonts w:ascii="Book Antiqua" w:hAnsi="Book Antiqua" w:cs="Arial"/>
        </w:rPr>
      </w:pPr>
      <w:r>
        <w:rPr>
          <w:rFonts w:ascii="Book Antiqua" w:hAnsi="Book Antiqua" w:cs="Arial"/>
        </w:rPr>
        <w:t>The</w:t>
      </w:r>
      <w:r w:rsidR="00510E08">
        <w:rPr>
          <w:rFonts w:ascii="Book Antiqua" w:hAnsi="Book Antiqua" w:cs="Arial"/>
        </w:rPr>
        <w:t xml:space="preserve"> reference to categories (a) to</w:t>
      </w:r>
      <w:r>
        <w:rPr>
          <w:rFonts w:ascii="Book Antiqua" w:hAnsi="Book Antiqua" w:cs="Arial"/>
        </w:rPr>
        <w:t xml:space="preserve"> (c) is a reference to Regulation 7</w:t>
      </w:r>
      <w:r w:rsidR="002C4F12">
        <w:rPr>
          <w:rFonts w:ascii="Book Antiqua" w:hAnsi="Book Antiqua" w:cs="Arial"/>
        </w:rPr>
        <w:t>(1)</w:t>
      </w:r>
      <w:r>
        <w:rPr>
          <w:rFonts w:ascii="Book Antiqua" w:hAnsi="Book Antiqua" w:cs="Arial"/>
        </w:rPr>
        <w:t xml:space="preserve"> of the 2006</w:t>
      </w:r>
      <w:r w:rsidR="00A54EE6">
        <w:rPr>
          <w:rFonts w:ascii="Book Antiqua" w:hAnsi="Book Antiqua" w:cs="Arial"/>
        </w:rPr>
        <w:t xml:space="preserve"> EEA</w:t>
      </w:r>
      <w:r>
        <w:rPr>
          <w:rFonts w:ascii="Book Antiqua" w:hAnsi="Book Antiqua" w:cs="Arial"/>
        </w:rPr>
        <w:t xml:space="preserve"> Regulations which defines </w:t>
      </w:r>
      <w:r w:rsidR="00510E08">
        <w:rPr>
          <w:rFonts w:ascii="Book Antiqua" w:hAnsi="Book Antiqua" w:cs="Arial"/>
        </w:rPr>
        <w:t xml:space="preserve">the meaning of </w:t>
      </w:r>
      <w:r>
        <w:rPr>
          <w:rFonts w:ascii="Book Antiqua" w:hAnsi="Book Antiqua" w:cs="Arial"/>
        </w:rPr>
        <w:t xml:space="preserve">family member </w:t>
      </w:r>
      <w:r w:rsidR="00510E08">
        <w:rPr>
          <w:rFonts w:ascii="Book Antiqua" w:hAnsi="Book Antiqua" w:cs="Arial"/>
        </w:rPr>
        <w:t xml:space="preserve">for the purposes of the 2006 EEA Regulations. </w:t>
      </w:r>
      <w:r w:rsidR="001072E3">
        <w:rPr>
          <w:rFonts w:ascii="Book Antiqua" w:hAnsi="Book Antiqua" w:cs="Arial"/>
        </w:rPr>
        <w:t>I</w:t>
      </w:r>
      <w:r>
        <w:rPr>
          <w:rFonts w:ascii="Book Antiqua" w:hAnsi="Book Antiqua" w:cs="Arial"/>
        </w:rPr>
        <w:t xml:space="preserve"> need not read out </w:t>
      </w:r>
      <w:r w:rsidR="001072E3">
        <w:rPr>
          <w:rFonts w:ascii="Book Antiqua" w:hAnsi="Book Antiqua" w:cs="Arial"/>
        </w:rPr>
        <w:t>paragraphs</w:t>
      </w:r>
      <w:r w:rsidR="003E4EB3">
        <w:rPr>
          <w:rFonts w:ascii="Book Antiqua" w:hAnsi="Book Antiqua" w:cs="Arial"/>
        </w:rPr>
        <w:t xml:space="preserve"> 7(1)</w:t>
      </w:r>
      <w:r w:rsidR="001072E3">
        <w:rPr>
          <w:rFonts w:ascii="Book Antiqua" w:hAnsi="Book Antiqua" w:cs="Arial"/>
        </w:rPr>
        <w:t xml:space="preserve">(a) to (c) </w:t>
      </w:r>
      <w:r w:rsidR="003E4EB3">
        <w:rPr>
          <w:rFonts w:ascii="Book Antiqua" w:hAnsi="Book Antiqua" w:cs="Arial"/>
        </w:rPr>
        <w:t>because the appellants</w:t>
      </w:r>
      <w:r w:rsidR="001072E3">
        <w:rPr>
          <w:rFonts w:ascii="Book Antiqua" w:hAnsi="Book Antiqua" w:cs="Arial"/>
        </w:rPr>
        <w:t xml:space="preserve"> obviously do not </w:t>
      </w:r>
      <w:r w:rsidR="003E4EB3">
        <w:rPr>
          <w:rFonts w:ascii="Book Antiqua" w:hAnsi="Book Antiqua" w:cs="Arial"/>
        </w:rPr>
        <w:t>fall within their confines and</w:t>
      </w:r>
      <w:r w:rsidR="001072E3">
        <w:rPr>
          <w:rFonts w:ascii="Book Antiqua" w:hAnsi="Book Antiqua" w:cs="Arial"/>
        </w:rPr>
        <w:t xml:space="preserve"> </w:t>
      </w:r>
      <w:r>
        <w:rPr>
          <w:rFonts w:ascii="Book Antiqua" w:hAnsi="Book Antiqua" w:cs="Arial"/>
        </w:rPr>
        <w:t xml:space="preserve">there has been no </w:t>
      </w:r>
      <w:r w:rsidR="001072E3">
        <w:rPr>
          <w:rFonts w:ascii="Book Antiqua" w:hAnsi="Book Antiqua" w:cs="Arial"/>
        </w:rPr>
        <w:t>challenge to the finding in this</w:t>
      </w:r>
      <w:r>
        <w:rPr>
          <w:rFonts w:ascii="Book Antiqua" w:hAnsi="Book Antiqua" w:cs="Arial"/>
        </w:rPr>
        <w:t xml:space="preserve"> regard </w:t>
      </w:r>
      <w:r w:rsidR="001072E3">
        <w:rPr>
          <w:rFonts w:ascii="Book Antiqua" w:hAnsi="Book Antiqua" w:cs="Arial"/>
        </w:rPr>
        <w:t>made by the FtT.</w:t>
      </w:r>
    </w:p>
    <w:p w:rsidR="003E4EB3" w:rsidRDefault="002E0E4D" w:rsidP="00967614">
      <w:pPr>
        <w:numPr>
          <w:ilvl w:val="0"/>
          <w:numId w:val="3"/>
        </w:numPr>
        <w:spacing w:before="240"/>
        <w:jc w:val="both"/>
        <w:rPr>
          <w:rFonts w:ascii="Book Antiqua" w:hAnsi="Book Antiqua" w:cs="Arial"/>
        </w:rPr>
      </w:pPr>
      <w:r>
        <w:rPr>
          <w:rFonts w:ascii="Book Antiqua" w:hAnsi="Book Antiqua" w:cs="Arial"/>
        </w:rPr>
        <w:t>By r</w:t>
      </w:r>
      <w:r w:rsidR="00C71E8A">
        <w:rPr>
          <w:rFonts w:ascii="Book Antiqua" w:hAnsi="Book Antiqua" w:cs="Arial"/>
        </w:rPr>
        <w:t xml:space="preserve">egulation 7(1)(d) </w:t>
      </w:r>
      <w:r>
        <w:rPr>
          <w:rFonts w:ascii="Book Antiqua" w:hAnsi="Book Antiqua" w:cs="Arial"/>
        </w:rPr>
        <w:t>and person</w:t>
      </w:r>
      <w:r w:rsidR="000A46E2">
        <w:rPr>
          <w:rFonts w:ascii="Book Antiqua" w:hAnsi="Book Antiqua" w:cs="Arial"/>
        </w:rPr>
        <w:t xml:space="preserve"> </w:t>
      </w:r>
      <w:r>
        <w:rPr>
          <w:rFonts w:ascii="Book Antiqua" w:hAnsi="Book Antiqua" w:cs="Arial"/>
        </w:rPr>
        <w:t xml:space="preserve">is to be treated as a family member </w:t>
      </w:r>
      <w:r w:rsidR="000A46E2">
        <w:rPr>
          <w:rFonts w:ascii="Book Antiqua" w:hAnsi="Book Antiqua" w:cs="Arial"/>
        </w:rPr>
        <w:t>i</w:t>
      </w:r>
      <w:r>
        <w:rPr>
          <w:rFonts w:ascii="Book Antiqua" w:hAnsi="Book Antiqua" w:cs="Arial"/>
        </w:rPr>
        <w:t>f they fall within</w:t>
      </w:r>
      <w:r w:rsidR="000A46E2">
        <w:rPr>
          <w:rFonts w:ascii="Book Antiqua" w:hAnsi="Book Antiqua" w:cs="Arial"/>
        </w:rPr>
        <w:t xml:space="preserve"> the confines of</w:t>
      </w:r>
      <w:r>
        <w:rPr>
          <w:rFonts w:ascii="Book Antiqua" w:hAnsi="Book Antiqua" w:cs="Arial"/>
        </w:rPr>
        <w:t xml:space="preserve"> regulation 7(3). Regulation 7(3) reads:</w:t>
      </w:r>
    </w:p>
    <w:p w:rsidR="002E0E4D" w:rsidRPr="002E0E4D" w:rsidRDefault="002E0E4D" w:rsidP="002E0E4D">
      <w:pPr>
        <w:spacing w:before="240"/>
        <w:ind w:left="1134"/>
        <w:jc w:val="both"/>
        <w:rPr>
          <w:rFonts w:ascii="Book Antiqua" w:hAnsi="Book Antiqua" w:cs="Arial"/>
          <w:sz w:val="22"/>
          <w:szCs w:val="22"/>
        </w:rPr>
      </w:pPr>
      <w:r>
        <w:rPr>
          <w:rFonts w:ascii="Book Antiqua" w:hAnsi="Book Antiqua" w:cs="Arial"/>
          <w:sz w:val="22"/>
          <w:szCs w:val="22"/>
        </w:rPr>
        <w:t>“</w:t>
      </w:r>
      <w:r w:rsidR="00887984">
        <w:rPr>
          <w:rFonts w:ascii="Book Antiqua" w:hAnsi="Book Antiqua" w:cs="Arial"/>
          <w:sz w:val="22"/>
          <w:szCs w:val="22"/>
        </w:rPr>
        <w:t>…a person who is an extended family member and has been issued with an EEA family permit, a registration certificate</w:t>
      </w:r>
      <w:r w:rsidR="00C14503">
        <w:rPr>
          <w:rFonts w:ascii="Book Antiqua" w:hAnsi="Book Antiqua" w:cs="Arial"/>
          <w:sz w:val="22"/>
          <w:szCs w:val="22"/>
        </w:rPr>
        <w:t xml:space="preserve"> or residence card shall be treated as the family member of the relevant EEA national for as long as he continues to </w:t>
      </w:r>
      <w:r w:rsidR="00F43E5A">
        <w:rPr>
          <w:rFonts w:ascii="Book Antiqua" w:hAnsi="Book Antiqua" w:cs="Arial"/>
          <w:sz w:val="22"/>
          <w:szCs w:val="22"/>
        </w:rPr>
        <w:t>satisfy</w:t>
      </w:r>
      <w:r w:rsidR="00C14503">
        <w:rPr>
          <w:rFonts w:ascii="Book Antiqua" w:hAnsi="Book Antiqua" w:cs="Arial"/>
          <w:sz w:val="22"/>
          <w:szCs w:val="22"/>
        </w:rPr>
        <w:t xml:space="preserve"> the conditions in regulation 8(2)</w:t>
      </w:r>
      <w:r w:rsidR="00D63054">
        <w:rPr>
          <w:rFonts w:ascii="Book Antiqua" w:hAnsi="Book Antiqua" w:cs="Arial"/>
          <w:sz w:val="22"/>
          <w:szCs w:val="22"/>
        </w:rPr>
        <w:t>, (3), (4) or (5) in relation to the EEA national…”</w:t>
      </w:r>
    </w:p>
    <w:p w:rsidR="001A6808" w:rsidRDefault="00A01D14" w:rsidP="00967614">
      <w:pPr>
        <w:numPr>
          <w:ilvl w:val="0"/>
          <w:numId w:val="3"/>
        </w:numPr>
        <w:spacing w:before="240"/>
        <w:jc w:val="both"/>
        <w:rPr>
          <w:rFonts w:ascii="Book Antiqua" w:hAnsi="Book Antiqua" w:cs="Arial"/>
        </w:rPr>
      </w:pPr>
      <w:r w:rsidRPr="001A6808">
        <w:rPr>
          <w:rFonts w:ascii="Book Antiqua" w:hAnsi="Book Antiqua" w:cs="Arial"/>
        </w:rPr>
        <w:t xml:space="preserve">The </w:t>
      </w:r>
      <w:r w:rsidR="001A6808" w:rsidRPr="001A6808">
        <w:rPr>
          <w:rFonts w:ascii="Book Antiqua" w:hAnsi="Book Antiqua" w:cs="Arial"/>
        </w:rPr>
        <w:t>FtT</w:t>
      </w:r>
      <w:r w:rsidR="00E24DC8" w:rsidRPr="001A6808">
        <w:rPr>
          <w:rFonts w:ascii="Book Antiqua" w:hAnsi="Book Antiqua" w:cs="Arial"/>
        </w:rPr>
        <w:t xml:space="preserve"> </w:t>
      </w:r>
      <w:r w:rsidR="00AB60A3">
        <w:rPr>
          <w:rFonts w:ascii="Book Antiqua" w:hAnsi="Book Antiqua" w:cs="Arial"/>
        </w:rPr>
        <w:t>identified</w:t>
      </w:r>
      <w:r w:rsidR="001A6808" w:rsidRPr="001A6808">
        <w:rPr>
          <w:rFonts w:ascii="Book Antiqua" w:hAnsi="Book Antiqua" w:cs="Arial"/>
        </w:rPr>
        <w:t xml:space="preserve"> that </w:t>
      </w:r>
      <w:r w:rsidR="001C24FD" w:rsidRPr="001A6808">
        <w:rPr>
          <w:rFonts w:ascii="Book Antiqua" w:hAnsi="Book Antiqua" w:cs="Arial"/>
        </w:rPr>
        <w:t xml:space="preserve">an extended family member </w:t>
      </w:r>
      <w:r w:rsidR="001A6808">
        <w:rPr>
          <w:rFonts w:ascii="Book Antiqua" w:hAnsi="Book Antiqua" w:cs="Arial"/>
        </w:rPr>
        <w:t xml:space="preserve">cannot be </w:t>
      </w:r>
      <w:r w:rsidR="001C24FD" w:rsidRPr="001A6808">
        <w:rPr>
          <w:rFonts w:ascii="Book Antiqua" w:hAnsi="Book Antiqua" w:cs="Arial"/>
        </w:rPr>
        <w:t xml:space="preserve">treated as a family member </w:t>
      </w:r>
      <w:r w:rsidR="001A6808">
        <w:rPr>
          <w:rFonts w:ascii="Book Antiqua" w:hAnsi="Book Antiqua" w:cs="Arial"/>
        </w:rPr>
        <w:t>for the purposes of regulation 7</w:t>
      </w:r>
      <w:r w:rsidR="00AB60A3">
        <w:rPr>
          <w:rFonts w:ascii="Book Antiqua" w:hAnsi="Book Antiqua" w:cs="Arial"/>
        </w:rPr>
        <w:t>(1)</w:t>
      </w:r>
      <w:r w:rsidR="001A6808">
        <w:rPr>
          <w:rFonts w:ascii="Book Antiqua" w:hAnsi="Book Antiqua" w:cs="Arial"/>
        </w:rPr>
        <w:t xml:space="preserve">(d) </w:t>
      </w:r>
      <w:r w:rsidR="00AB60A3">
        <w:rPr>
          <w:rFonts w:ascii="Book Antiqua" w:hAnsi="Book Antiqua" w:cs="Arial"/>
        </w:rPr>
        <w:t>unless</w:t>
      </w:r>
      <w:r w:rsidR="001C24FD" w:rsidRPr="001A6808">
        <w:rPr>
          <w:rFonts w:ascii="Book Antiqua" w:hAnsi="Book Antiqua" w:cs="Arial"/>
        </w:rPr>
        <w:t xml:space="preserve"> the Secretary of St</w:t>
      </w:r>
      <w:r w:rsidR="00BE1FC4" w:rsidRPr="001A6808">
        <w:rPr>
          <w:rFonts w:ascii="Book Antiqua" w:hAnsi="Book Antiqua" w:cs="Arial"/>
        </w:rPr>
        <w:t>ate has issued a residence card</w:t>
      </w:r>
      <w:r w:rsidR="00AB60A3">
        <w:rPr>
          <w:rFonts w:ascii="Book Antiqua" w:hAnsi="Book Antiqua" w:cs="Arial"/>
        </w:rPr>
        <w:t xml:space="preserve"> etc</w:t>
      </w:r>
      <w:r w:rsidR="001A6808">
        <w:rPr>
          <w:rFonts w:ascii="Book Antiqua" w:hAnsi="Book Antiqua" w:cs="Arial"/>
        </w:rPr>
        <w:t xml:space="preserve"> confirming </w:t>
      </w:r>
      <w:r w:rsidR="001C24FD" w:rsidRPr="001A6808">
        <w:rPr>
          <w:rFonts w:ascii="Book Antiqua" w:hAnsi="Book Antiqua" w:cs="Arial"/>
        </w:rPr>
        <w:t xml:space="preserve">status as an extended family member. </w:t>
      </w:r>
      <w:r w:rsidR="001A6808">
        <w:rPr>
          <w:rFonts w:ascii="Book Antiqua" w:hAnsi="Book Antiqua" w:cs="Arial"/>
        </w:rPr>
        <w:t>Given that the appel</w:t>
      </w:r>
      <w:r w:rsidR="00376FD2">
        <w:rPr>
          <w:rFonts w:ascii="Book Antiqua" w:hAnsi="Book Antiqua" w:cs="Arial"/>
        </w:rPr>
        <w:t>l</w:t>
      </w:r>
      <w:r w:rsidR="001A6808">
        <w:rPr>
          <w:rFonts w:ascii="Book Antiqua" w:hAnsi="Book Antiqua" w:cs="Arial"/>
        </w:rPr>
        <w:t xml:space="preserve">ants have never been issued with an EEA residence card </w:t>
      </w:r>
      <w:r w:rsidR="00045BEB">
        <w:rPr>
          <w:rFonts w:ascii="Book Antiqua" w:hAnsi="Book Antiqua" w:cs="Arial"/>
        </w:rPr>
        <w:t>the FtT concluded that the requirements of regulation 7(1)(d) ha</w:t>
      </w:r>
      <w:r w:rsidR="00F21C7D">
        <w:rPr>
          <w:rFonts w:ascii="Book Antiqua" w:hAnsi="Book Antiqua" w:cs="Arial"/>
        </w:rPr>
        <w:t>d</w:t>
      </w:r>
      <w:r w:rsidR="00045BEB">
        <w:rPr>
          <w:rFonts w:ascii="Book Antiqua" w:hAnsi="Book Antiqua" w:cs="Arial"/>
        </w:rPr>
        <w:t xml:space="preserve"> not been met. </w:t>
      </w:r>
    </w:p>
    <w:p w:rsidR="00252270" w:rsidRDefault="00101E69" w:rsidP="00967614">
      <w:pPr>
        <w:numPr>
          <w:ilvl w:val="0"/>
          <w:numId w:val="3"/>
        </w:numPr>
        <w:spacing w:before="240"/>
        <w:jc w:val="both"/>
        <w:rPr>
          <w:rFonts w:ascii="Book Antiqua" w:hAnsi="Book Antiqua" w:cs="Arial"/>
        </w:rPr>
      </w:pPr>
      <w:r>
        <w:rPr>
          <w:rFonts w:ascii="Book Antiqua" w:hAnsi="Book Antiqua" w:cs="Arial"/>
        </w:rPr>
        <w:t>T</w:t>
      </w:r>
      <w:r w:rsidR="001C24FD" w:rsidRPr="001A6808">
        <w:rPr>
          <w:rFonts w:ascii="Book Antiqua" w:hAnsi="Book Antiqua" w:cs="Arial"/>
        </w:rPr>
        <w:t xml:space="preserve">he FtT </w:t>
      </w:r>
      <w:r w:rsidR="00DD0157">
        <w:rPr>
          <w:rFonts w:ascii="Book Antiqua" w:hAnsi="Book Antiqua" w:cs="Arial"/>
        </w:rPr>
        <w:t xml:space="preserve">ultimately </w:t>
      </w:r>
      <w:r w:rsidR="00FD15AA">
        <w:rPr>
          <w:rFonts w:ascii="Book Antiqua" w:hAnsi="Book Antiqua" w:cs="Arial"/>
        </w:rPr>
        <w:t>found</w:t>
      </w:r>
      <w:r w:rsidR="00252270">
        <w:rPr>
          <w:rFonts w:ascii="Book Antiqua" w:hAnsi="Book Antiqua" w:cs="Arial"/>
        </w:rPr>
        <w:t xml:space="preserve"> (in the alternative to its findings on jurisdiction)</w:t>
      </w:r>
      <w:r w:rsidR="001C24FD" w:rsidRPr="001A6808">
        <w:rPr>
          <w:rFonts w:ascii="Book Antiqua" w:hAnsi="Book Antiqua" w:cs="Arial"/>
        </w:rPr>
        <w:t xml:space="preserve"> that the appellants could not demonstrate that they </w:t>
      </w:r>
      <w:r w:rsidR="00FD15AA">
        <w:rPr>
          <w:rFonts w:ascii="Book Antiqua" w:hAnsi="Book Antiqua" w:cs="Arial"/>
        </w:rPr>
        <w:t>had been</w:t>
      </w:r>
      <w:r w:rsidR="00DD0157">
        <w:rPr>
          <w:rFonts w:ascii="Book Antiqua" w:hAnsi="Book Antiqua" w:cs="Arial"/>
        </w:rPr>
        <w:t>, at any point in time prior to their sister</w:t>
      </w:r>
      <w:r w:rsidR="00500832">
        <w:rPr>
          <w:rFonts w:ascii="Book Antiqua" w:hAnsi="Book Antiqua" w:cs="Arial"/>
        </w:rPr>
        <w:t>’</w:t>
      </w:r>
      <w:r w:rsidR="00DD0157">
        <w:rPr>
          <w:rFonts w:ascii="Book Antiqua" w:hAnsi="Book Antiqua" w:cs="Arial"/>
        </w:rPr>
        <w:t xml:space="preserve">s divorce from the EEA national, </w:t>
      </w:r>
      <w:r w:rsidR="00252270">
        <w:rPr>
          <w:rFonts w:ascii="Book Antiqua" w:hAnsi="Book Antiqua" w:cs="Arial"/>
        </w:rPr>
        <w:t xml:space="preserve">family members of </w:t>
      </w:r>
      <w:r w:rsidR="00DD0157">
        <w:rPr>
          <w:rFonts w:ascii="Book Antiqua" w:hAnsi="Book Antiqua" w:cs="Arial"/>
        </w:rPr>
        <w:t>the</w:t>
      </w:r>
      <w:r w:rsidR="00252270">
        <w:rPr>
          <w:rFonts w:ascii="Book Antiqua" w:hAnsi="Book Antiqua" w:cs="Arial"/>
        </w:rPr>
        <w:t xml:space="preserve"> </w:t>
      </w:r>
      <w:r w:rsidR="001C24FD" w:rsidRPr="001A6808">
        <w:rPr>
          <w:rFonts w:ascii="Book Antiqua" w:hAnsi="Book Antiqua" w:cs="Arial"/>
        </w:rPr>
        <w:t>E</w:t>
      </w:r>
      <w:r w:rsidR="00DD0157">
        <w:rPr>
          <w:rFonts w:ascii="Book Antiqua" w:hAnsi="Book Antiqua" w:cs="Arial"/>
        </w:rPr>
        <w:t xml:space="preserve">EA national. It was </w:t>
      </w:r>
      <w:r w:rsidR="00903A7C">
        <w:rPr>
          <w:rFonts w:ascii="Book Antiqua" w:hAnsi="Book Antiqua" w:cs="Arial"/>
        </w:rPr>
        <w:t xml:space="preserve">consequently </w:t>
      </w:r>
      <w:r w:rsidR="00DD0157">
        <w:rPr>
          <w:rFonts w:ascii="Book Antiqua" w:hAnsi="Book Antiqua" w:cs="Arial"/>
        </w:rPr>
        <w:t xml:space="preserve">concluded </w:t>
      </w:r>
      <w:r w:rsidR="00252270">
        <w:rPr>
          <w:rFonts w:ascii="Book Antiqua" w:hAnsi="Book Antiqua" w:cs="Arial"/>
        </w:rPr>
        <w:t xml:space="preserve">that neither </w:t>
      </w:r>
      <w:r w:rsidR="00903A7C">
        <w:rPr>
          <w:rFonts w:ascii="Book Antiqua" w:hAnsi="Book Antiqua" w:cs="Arial"/>
        </w:rPr>
        <w:t xml:space="preserve">appellant </w:t>
      </w:r>
      <w:r w:rsidR="00252270">
        <w:rPr>
          <w:rFonts w:ascii="Book Antiqua" w:hAnsi="Book Antiqua" w:cs="Arial"/>
        </w:rPr>
        <w:t>could retain rights</w:t>
      </w:r>
      <w:r w:rsidR="00903A7C">
        <w:rPr>
          <w:rFonts w:ascii="Book Antiqua" w:hAnsi="Book Antiqua" w:cs="Arial"/>
        </w:rPr>
        <w:t xml:space="preserve"> of residence</w:t>
      </w:r>
      <w:r w:rsidR="00252270">
        <w:rPr>
          <w:rFonts w:ascii="Book Antiqua" w:hAnsi="Book Antiqua" w:cs="Arial"/>
        </w:rPr>
        <w:t xml:space="preserve"> </w:t>
      </w:r>
      <w:r w:rsidR="00903A7C">
        <w:rPr>
          <w:rFonts w:ascii="Book Antiqua" w:hAnsi="Book Antiqua" w:cs="Arial"/>
        </w:rPr>
        <w:t xml:space="preserve">after the </w:t>
      </w:r>
      <w:r w:rsidR="00FB59D9">
        <w:rPr>
          <w:rFonts w:ascii="Book Antiqua" w:hAnsi="Book Antiqua" w:cs="Arial"/>
        </w:rPr>
        <w:t>termination of the marriage</w:t>
      </w:r>
      <w:r w:rsidR="00903A7C">
        <w:rPr>
          <w:rFonts w:ascii="Book Antiqua" w:hAnsi="Book Antiqua" w:cs="Arial"/>
        </w:rPr>
        <w:t xml:space="preserve"> </w:t>
      </w:r>
      <w:r w:rsidR="00FB59D9">
        <w:rPr>
          <w:rFonts w:ascii="Book Antiqua" w:hAnsi="Book Antiqua" w:cs="Arial"/>
        </w:rPr>
        <w:t>because they did not have such rights prior to the termination.</w:t>
      </w:r>
      <w:r w:rsidR="00967614" w:rsidRPr="001A6808">
        <w:rPr>
          <w:rFonts w:ascii="Book Antiqua" w:hAnsi="Book Antiqua" w:cs="Arial"/>
        </w:rPr>
        <w:t xml:space="preserve">  </w:t>
      </w:r>
    </w:p>
    <w:p w:rsidR="001C24FD" w:rsidRPr="00500832" w:rsidRDefault="00903A7C" w:rsidP="00252270">
      <w:pPr>
        <w:spacing w:before="240"/>
        <w:jc w:val="both"/>
        <w:rPr>
          <w:rFonts w:ascii="Book Antiqua" w:hAnsi="Book Antiqua" w:cs="Arial"/>
          <w:b/>
          <w:u w:val="single"/>
        </w:rPr>
      </w:pPr>
      <w:r w:rsidRPr="00500832">
        <w:rPr>
          <w:rFonts w:ascii="Book Antiqua" w:hAnsi="Book Antiqua" w:cs="Arial"/>
          <w:b/>
          <w:u w:val="single"/>
        </w:rPr>
        <w:t>Decision</w:t>
      </w:r>
      <w:r w:rsidR="00252270" w:rsidRPr="00500832">
        <w:rPr>
          <w:rFonts w:ascii="Book Antiqua" w:hAnsi="Book Antiqua" w:cs="Arial"/>
          <w:b/>
          <w:u w:val="single"/>
        </w:rPr>
        <w:t xml:space="preserve"> and Reasons </w:t>
      </w:r>
    </w:p>
    <w:p w:rsidR="004C223C" w:rsidRDefault="00967614" w:rsidP="00967614">
      <w:pPr>
        <w:numPr>
          <w:ilvl w:val="0"/>
          <w:numId w:val="3"/>
        </w:numPr>
        <w:spacing w:before="240"/>
        <w:jc w:val="both"/>
        <w:rPr>
          <w:rFonts w:ascii="Book Antiqua" w:hAnsi="Book Antiqua" w:cs="Arial"/>
        </w:rPr>
      </w:pPr>
      <w:r w:rsidRPr="007F14FF">
        <w:rPr>
          <w:rFonts w:ascii="Book Antiqua" w:hAnsi="Book Antiqua" w:cs="Arial"/>
        </w:rPr>
        <w:t>Turning then to the appeal before the Upper Tribunal.  Permission to appeal was granted by FtT</w:t>
      </w:r>
      <w:r w:rsidR="00903A7C">
        <w:rPr>
          <w:rFonts w:ascii="Book Antiqua" w:hAnsi="Book Antiqua" w:cs="Arial"/>
        </w:rPr>
        <w:t xml:space="preserve"> Judge Chohan in a decision dated 9 March 2018. Judge Chohan’s</w:t>
      </w:r>
      <w:r w:rsidRPr="007F14FF">
        <w:rPr>
          <w:rFonts w:ascii="Book Antiqua" w:hAnsi="Book Antiqua" w:cs="Arial"/>
        </w:rPr>
        <w:t xml:space="preserve"> decision focused entirely on the jurisdiction</w:t>
      </w:r>
      <w:r w:rsidR="00903A7C">
        <w:rPr>
          <w:rFonts w:ascii="Book Antiqua" w:hAnsi="Book Antiqua" w:cs="Arial"/>
        </w:rPr>
        <w:t>al</w:t>
      </w:r>
      <w:r w:rsidRPr="007F14FF">
        <w:rPr>
          <w:rFonts w:ascii="Book Antiqua" w:hAnsi="Book Antiqua" w:cs="Arial"/>
        </w:rPr>
        <w:t xml:space="preserve"> </w:t>
      </w:r>
      <w:r w:rsidR="008A786A" w:rsidRPr="007F14FF">
        <w:rPr>
          <w:rFonts w:ascii="Book Antiqua" w:hAnsi="Book Antiqua" w:cs="Arial"/>
        </w:rPr>
        <w:t xml:space="preserve">issue and </w:t>
      </w:r>
      <w:r w:rsidR="00903A7C">
        <w:rPr>
          <w:rFonts w:ascii="Book Antiqua" w:hAnsi="Book Antiqua" w:cs="Arial"/>
        </w:rPr>
        <w:t xml:space="preserve">correctly </w:t>
      </w:r>
      <w:r w:rsidR="008A786A" w:rsidRPr="007F14FF">
        <w:rPr>
          <w:rFonts w:ascii="Book Antiqua" w:hAnsi="Book Antiqua" w:cs="Arial"/>
        </w:rPr>
        <w:t xml:space="preserve">identified that it was arguable that the FtT </w:t>
      </w:r>
      <w:r w:rsidR="00903A7C">
        <w:rPr>
          <w:rFonts w:ascii="Book Antiqua" w:hAnsi="Book Antiqua" w:cs="Arial"/>
        </w:rPr>
        <w:t>did have jurisdiction</w:t>
      </w:r>
      <w:r w:rsidR="0034626F">
        <w:rPr>
          <w:rFonts w:ascii="Book Antiqua" w:hAnsi="Book Antiqua" w:cs="Arial"/>
        </w:rPr>
        <w:t xml:space="preserve"> to hear the appeal</w:t>
      </w:r>
      <w:r w:rsidR="00903A7C">
        <w:rPr>
          <w:rFonts w:ascii="Book Antiqua" w:hAnsi="Book Antiqua" w:cs="Arial"/>
        </w:rPr>
        <w:t xml:space="preserve">.  In fact, we now know that this point was </w:t>
      </w:r>
      <w:r w:rsidR="008A786A" w:rsidRPr="007F14FF">
        <w:rPr>
          <w:rFonts w:ascii="Book Antiqua" w:hAnsi="Book Antiqua" w:cs="Arial"/>
        </w:rPr>
        <w:t xml:space="preserve">more than arguable </w:t>
      </w:r>
      <w:r w:rsidR="004C223C">
        <w:rPr>
          <w:rFonts w:ascii="Book Antiqua" w:hAnsi="Book Antiqua" w:cs="Arial"/>
        </w:rPr>
        <w:t>because t</w:t>
      </w:r>
      <w:r w:rsidR="008A786A" w:rsidRPr="007F14FF">
        <w:rPr>
          <w:rFonts w:ascii="Book Antiqua" w:hAnsi="Book Antiqua" w:cs="Arial"/>
        </w:rPr>
        <w:t xml:space="preserve">he Court of Appeal in </w:t>
      </w:r>
      <w:r w:rsidR="008A786A" w:rsidRPr="007F14FF">
        <w:rPr>
          <w:rFonts w:ascii="Book Antiqua" w:hAnsi="Book Antiqua" w:cs="Arial"/>
          <w:u w:val="single"/>
        </w:rPr>
        <w:t>Khan</w:t>
      </w:r>
      <w:r w:rsidR="008A786A" w:rsidRPr="007F14FF">
        <w:rPr>
          <w:rFonts w:ascii="Book Antiqua" w:hAnsi="Book Antiqua" w:cs="Arial"/>
        </w:rPr>
        <w:t xml:space="preserve"> [2017] EWCA Civ 1755 confirmed that the decision in </w:t>
      </w:r>
      <w:r w:rsidR="008A786A" w:rsidRPr="007F14FF">
        <w:rPr>
          <w:rFonts w:ascii="Book Antiqua" w:hAnsi="Book Antiqua" w:cs="Arial"/>
          <w:u w:val="single"/>
        </w:rPr>
        <w:t>Sala</w:t>
      </w:r>
      <w:r w:rsidR="008A786A" w:rsidRPr="007F14FF">
        <w:rPr>
          <w:rFonts w:ascii="Book Antiqua" w:hAnsi="Book Antiqua" w:cs="Arial"/>
        </w:rPr>
        <w:t xml:space="preserve"> was wrong.  </w:t>
      </w:r>
    </w:p>
    <w:p w:rsidR="004C223C" w:rsidRDefault="008A786A" w:rsidP="00967614">
      <w:pPr>
        <w:numPr>
          <w:ilvl w:val="0"/>
          <w:numId w:val="3"/>
        </w:numPr>
        <w:spacing w:before="240"/>
        <w:jc w:val="both"/>
        <w:rPr>
          <w:rFonts w:ascii="Book Antiqua" w:hAnsi="Book Antiqua" w:cs="Arial"/>
        </w:rPr>
      </w:pPr>
      <w:r w:rsidRPr="007F14FF">
        <w:rPr>
          <w:rFonts w:ascii="Book Antiqua" w:hAnsi="Book Antiqua" w:cs="Arial"/>
        </w:rPr>
        <w:t xml:space="preserve">The consequence </w:t>
      </w:r>
      <w:r w:rsidR="004C223C">
        <w:rPr>
          <w:rFonts w:ascii="Book Antiqua" w:hAnsi="Book Antiqua" w:cs="Arial"/>
        </w:rPr>
        <w:t xml:space="preserve">in this case </w:t>
      </w:r>
      <w:r w:rsidRPr="007F14FF">
        <w:rPr>
          <w:rFonts w:ascii="Book Antiqua" w:hAnsi="Book Antiqua" w:cs="Arial"/>
        </w:rPr>
        <w:t xml:space="preserve">is that both appellants </w:t>
      </w:r>
      <w:r w:rsidR="004C223C">
        <w:rPr>
          <w:rFonts w:ascii="Book Antiqua" w:hAnsi="Book Antiqua" w:cs="Arial"/>
        </w:rPr>
        <w:t xml:space="preserve">had a right of appeal to the FtT against the Secretary of State’s decisions of 1 December 2015. </w:t>
      </w:r>
      <w:r w:rsidRPr="007F14FF">
        <w:rPr>
          <w:rFonts w:ascii="Book Antiqua" w:hAnsi="Book Antiqua" w:cs="Arial"/>
        </w:rPr>
        <w:t xml:space="preserve"> </w:t>
      </w:r>
      <w:r w:rsidR="004C223C">
        <w:rPr>
          <w:rFonts w:ascii="Book Antiqua" w:hAnsi="Book Antiqua" w:cs="Arial"/>
        </w:rPr>
        <w:t>The FtT</w:t>
      </w:r>
      <w:r w:rsidR="0034626F">
        <w:rPr>
          <w:rFonts w:ascii="Book Antiqua" w:hAnsi="Book Antiqua" w:cs="Arial"/>
        </w:rPr>
        <w:t>’s</w:t>
      </w:r>
      <w:r w:rsidR="004C223C">
        <w:rPr>
          <w:rFonts w:ascii="Book Antiqua" w:hAnsi="Book Antiqua" w:cs="Arial"/>
        </w:rPr>
        <w:t xml:space="preserve"> conclusion to the contrary was plainly in error.</w:t>
      </w:r>
    </w:p>
    <w:p w:rsidR="0034626F" w:rsidRDefault="004C223C" w:rsidP="00B46557">
      <w:pPr>
        <w:numPr>
          <w:ilvl w:val="0"/>
          <w:numId w:val="3"/>
        </w:numPr>
        <w:spacing w:before="240"/>
        <w:jc w:val="both"/>
        <w:rPr>
          <w:rFonts w:ascii="Book Antiqua" w:hAnsi="Book Antiqua" w:cs="Arial"/>
        </w:rPr>
      </w:pPr>
      <w:r>
        <w:rPr>
          <w:rFonts w:ascii="Book Antiqua" w:hAnsi="Book Antiqua" w:cs="Arial"/>
        </w:rPr>
        <w:lastRenderedPageBreak/>
        <w:t>In the normal course this would lead to the setting side of the FtT’s decision and t</w:t>
      </w:r>
      <w:r w:rsidR="0034626F">
        <w:rPr>
          <w:rFonts w:ascii="Book Antiqua" w:hAnsi="Book Antiqua" w:cs="Arial"/>
        </w:rPr>
        <w:t>h</w:t>
      </w:r>
      <w:r>
        <w:rPr>
          <w:rFonts w:ascii="Book Antiqua" w:hAnsi="Book Antiqua" w:cs="Arial"/>
        </w:rPr>
        <w:t>e remitting of the appeal back to the FtT to consider afresh. However</w:t>
      </w:r>
      <w:r w:rsidR="00CE769E">
        <w:rPr>
          <w:rFonts w:ascii="Book Antiqua" w:hAnsi="Book Antiqua" w:cs="Arial"/>
        </w:rPr>
        <w:t>,</w:t>
      </w:r>
      <w:r>
        <w:rPr>
          <w:rFonts w:ascii="Book Antiqua" w:hAnsi="Book Antiqua" w:cs="Arial"/>
        </w:rPr>
        <w:t xml:space="preserve"> that is not the course I take in the instant case. </w:t>
      </w:r>
    </w:p>
    <w:p w:rsidR="0076025C" w:rsidRPr="0076025C" w:rsidRDefault="00CE769E" w:rsidP="0076025C">
      <w:pPr>
        <w:numPr>
          <w:ilvl w:val="0"/>
          <w:numId w:val="3"/>
        </w:numPr>
        <w:spacing w:before="240"/>
        <w:jc w:val="both"/>
        <w:rPr>
          <w:rFonts w:ascii="Book Antiqua" w:hAnsi="Book Antiqua" w:cs="Arial"/>
        </w:rPr>
      </w:pPr>
      <w:r>
        <w:rPr>
          <w:rFonts w:ascii="Book Antiqua" w:hAnsi="Book Antiqua" w:cs="Arial"/>
        </w:rPr>
        <w:t>T</w:t>
      </w:r>
      <w:r w:rsidR="008A786A" w:rsidRPr="007F14FF">
        <w:rPr>
          <w:rFonts w:ascii="Book Antiqua" w:hAnsi="Book Antiqua" w:cs="Arial"/>
        </w:rPr>
        <w:t xml:space="preserve">he FtT </w:t>
      </w:r>
      <w:r w:rsidR="00CE038B" w:rsidRPr="007F14FF">
        <w:rPr>
          <w:rFonts w:ascii="Book Antiqua" w:hAnsi="Book Antiqua" w:cs="Arial"/>
        </w:rPr>
        <w:t xml:space="preserve">made clear findings in the alternative which </w:t>
      </w:r>
      <w:r>
        <w:rPr>
          <w:rFonts w:ascii="Book Antiqua" w:hAnsi="Book Antiqua" w:cs="Arial"/>
        </w:rPr>
        <w:t xml:space="preserve">have not been the subject of challenge and which </w:t>
      </w:r>
      <w:r w:rsidR="00CE038B" w:rsidRPr="007F14FF">
        <w:rPr>
          <w:rFonts w:ascii="Book Antiqua" w:hAnsi="Book Antiqua" w:cs="Arial"/>
        </w:rPr>
        <w:t>are</w:t>
      </w:r>
      <w:r>
        <w:rPr>
          <w:rFonts w:ascii="Book Antiqua" w:hAnsi="Book Antiqua" w:cs="Arial"/>
        </w:rPr>
        <w:t xml:space="preserve">, in any event, unimpeachable. To put it another way the FtT’s error is not one which was capable of affecting the outcome of the appeal. </w:t>
      </w:r>
      <w:r w:rsidR="008B77CE">
        <w:rPr>
          <w:rFonts w:ascii="Book Antiqua" w:hAnsi="Book Antiqua" w:cs="Arial"/>
        </w:rPr>
        <w:t xml:space="preserve">The appellants clearly cannot meet the </w:t>
      </w:r>
      <w:r w:rsidR="00BA5148">
        <w:rPr>
          <w:rFonts w:ascii="Book Antiqua" w:hAnsi="Book Antiqua" w:cs="Arial"/>
        </w:rPr>
        <w:t>definition</w:t>
      </w:r>
      <w:r w:rsidR="008B77CE">
        <w:rPr>
          <w:rFonts w:ascii="Book Antiqua" w:hAnsi="Book Antiqua" w:cs="Arial"/>
        </w:rPr>
        <w:t xml:space="preserve"> of family member found in regulation 7(1)(a)-(c) and the</w:t>
      </w:r>
      <w:r w:rsidR="00BA5148">
        <w:rPr>
          <w:rFonts w:ascii="Book Antiqua" w:hAnsi="Book Antiqua" w:cs="Arial"/>
        </w:rPr>
        <w:t xml:space="preserve"> FtT’s interpretation of regulation 7(1)(d) and 7(3) is clearly correct and its </w:t>
      </w:r>
      <w:r w:rsidR="00BA5148" w:rsidRPr="001A6808">
        <w:rPr>
          <w:rFonts w:ascii="Book Antiqua" w:hAnsi="Book Antiqua" w:cs="Arial"/>
        </w:rPr>
        <w:t>rationale is now supported</w:t>
      </w:r>
      <w:r w:rsidR="00BA5148">
        <w:rPr>
          <w:rFonts w:ascii="Book Antiqua" w:hAnsi="Book Antiqua" w:cs="Arial"/>
        </w:rPr>
        <w:t>, albeit in a slightly different context,</w:t>
      </w:r>
      <w:r w:rsidR="00BA5148" w:rsidRPr="001A6808">
        <w:rPr>
          <w:rFonts w:ascii="Book Antiqua" w:hAnsi="Book Antiqua" w:cs="Arial"/>
        </w:rPr>
        <w:t xml:space="preserve"> by the </w:t>
      </w:r>
      <w:r w:rsidR="00BA5148">
        <w:rPr>
          <w:rFonts w:ascii="Book Antiqua" w:hAnsi="Book Antiqua" w:cs="Arial"/>
        </w:rPr>
        <w:t xml:space="preserve">recent </w:t>
      </w:r>
      <w:r w:rsidR="00BA5148" w:rsidRPr="001A6808">
        <w:rPr>
          <w:rFonts w:ascii="Book Antiqua" w:hAnsi="Book Antiqua" w:cs="Arial"/>
        </w:rPr>
        <w:t xml:space="preserve">decision of the Court of Appeal in </w:t>
      </w:r>
      <w:r w:rsidR="00BA5148" w:rsidRPr="001A6808">
        <w:rPr>
          <w:rFonts w:ascii="Book Antiqua" w:hAnsi="Book Antiqua" w:cs="Arial"/>
          <w:u w:val="single"/>
        </w:rPr>
        <w:t>Macastena</w:t>
      </w:r>
      <w:r w:rsidR="00BA5148">
        <w:rPr>
          <w:rFonts w:ascii="Book Antiqua" w:hAnsi="Book Antiqua" w:cs="Arial"/>
        </w:rPr>
        <w:t xml:space="preserve"> [2018] EWCA Civ 1558.</w:t>
      </w:r>
      <w:r w:rsidR="0076025C">
        <w:rPr>
          <w:rFonts w:ascii="Book Antiqua" w:hAnsi="Book Antiqua" w:cs="Arial"/>
        </w:rPr>
        <w:t xml:space="preserve"> </w:t>
      </w:r>
      <w:r w:rsidR="0076025C" w:rsidRPr="0076025C">
        <w:rPr>
          <w:rFonts w:ascii="Book Antiqua" w:hAnsi="Book Antiqua" w:cs="Arial"/>
        </w:rPr>
        <w:t>The appellants were not the family members of an EEA national prior to their sister’s divorce and had no right to reside at that time. They cannot therefore accrue a retained right pursuant to regulation 10(5)</w:t>
      </w:r>
      <w:r w:rsidR="0076025C">
        <w:rPr>
          <w:rFonts w:ascii="Book Antiqua" w:hAnsi="Book Antiqua" w:cs="Arial"/>
        </w:rPr>
        <w:t>, for the reasons identified by the FtT.</w:t>
      </w:r>
    </w:p>
    <w:p w:rsidR="00D1743A" w:rsidRPr="00B46557" w:rsidRDefault="00CE769E" w:rsidP="00B46557">
      <w:pPr>
        <w:numPr>
          <w:ilvl w:val="0"/>
          <w:numId w:val="3"/>
        </w:numPr>
        <w:spacing w:before="240"/>
        <w:jc w:val="both"/>
        <w:rPr>
          <w:rFonts w:ascii="Book Antiqua" w:hAnsi="Book Antiqua" w:cs="Arial"/>
        </w:rPr>
      </w:pPr>
      <w:r>
        <w:rPr>
          <w:rFonts w:ascii="Book Antiqua" w:hAnsi="Book Antiqua" w:cs="Arial"/>
        </w:rPr>
        <w:t>The appeal would have been dismissed in any event for the reasons provided by the FtT</w:t>
      </w:r>
      <w:r w:rsidR="001F22A2">
        <w:rPr>
          <w:rFonts w:ascii="Book Antiqua" w:hAnsi="Book Antiqua" w:cs="Arial"/>
        </w:rPr>
        <w:t>,</w:t>
      </w:r>
      <w:r>
        <w:rPr>
          <w:rFonts w:ascii="Book Antiqua" w:hAnsi="Book Antiqua" w:cs="Arial"/>
        </w:rPr>
        <w:t xml:space="preserve"> in the alternative. For this</w:t>
      </w:r>
      <w:r w:rsidR="00CE038B" w:rsidRPr="007F14FF">
        <w:rPr>
          <w:rFonts w:ascii="Book Antiqua" w:hAnsi="Book Antiqua" w:cs="Arial"/>
        </w:rPr>
        <w:t xml:space="preserve"> reason</w:t>
      </w:r>
      <w:r w:rsidR="00BE1FC4">
        <w:rPr>
          <w:rFonts w:ascii="Book Antiqua" w:hAnsi="Book Antiqua" w:cs="Arial"/>
        </w:rPr>
        <w:t>,</w:t>
      </w:r>
      <w:r w:rsidR="00CE038B" w:rsidRPr="007F14FF">
        <w:rPr>
          <w:rFonts w:ascii="Book Antiqua" w:hAnsi="Book Antiqua" w:cs="Arial"/>
        </w:rPr>
        <w:t xml:space="preserve"> in my conclusion the appropriate course in this case is not to set aside the FtT’s decision </w:t>
      </w:r>
      <w:r w:rsidR="000D7D4D">
        <w:rPr>
          <w:rFonts w:ascii="Book Antiqua" w:hAnsi="Book Antiqua" w:cs="Arial"/>
        </w:rPr>
        <w:t>despite the</w:t>
      </w:r>
      <w:r w:rsidR="001F22A2">
        <w:rPr>
          <w:rFonts w:ascii="Book Antiqua" w:hAnsi="Book Antiqua" w:cs="Arial"/>
        </w:rPr>
        <w:t xml:space="preserve"> error of the FtT in </w:t>
      </w:r>
      <w:r w:rsidR="00E06EF7">
        <w:rPr>
          <w:rFonts w:ascii="Book Antiqua" w:hAnsi="Book Antiqua" w:cs="Arial"/>
        </w:rPr>
        <w:t>finding</w:t>
      </w:r>
      <w:r w:rsidR="001F22A2">
        <w:rPr>
          <w:rFonts w:ascii="Book Antiqua" w:hAnsi="Book Antiqua" w:cs="Arial"/>
        </w:rPr>
        <w:t xml:space="preserve"> it did not have jurisdiction. </w:t>
      </w:r>
      <w:r w:rsidR="000D7D4D">
        <w:rPr>
          <w:rFonts w:ascii="Book Antiqua" w:hAnsi="Book Antiqua" w:cs="Arial"/>
        </w:rPr>
        <w:t xml:space="preserve"> </w:t>
      </w:r>
    </w:p>
    <w:p w:rsidR="006903D8" w:rsidRDefault="006903D8">
      <w:pPr>
        <w:spacing w:before="240"/>
        <w:jc w:val="both"/>
        <w:rPr>
          <w:rFonts w:ascii="Book Antiqua" w:hAnsi="Book Antiqua" w:cs="Arial"/>
          <w:b/>
          <w:u w:val="single"/>
        </w:rPr>
      </w:pPr>
      <w:r>
        <w:rPr>
          <w:rFonts w:ascii="Book Antiqua" w:hAnsi="Book Antiqua" w:cs="Arial"/>
          <w:b/>
          <w:u w:val="single"/>
        </w:rPr>
        <w:t>Notice of Decision</w:t>
      </w:r>
    </w:p>
    <w:p w:rsidR="006903D8" w:rsidRDefault="006903D8">
      <w:pPr>
        <w:jc w:val="both"/>
        <w:rPr>
          <w:rFonts w:ascii="Book Antiqua" w:hAnsi="Book Antiqua" w:cs="Arial"/>
        </w:rPr>
      </w:pPr>
    </w:p>
    <w:p w:rsidR="006903D8" w:rsidRDefault="00B46557">
      <w:pPr>
        <w:jc w:val="both"/>
        <w:rPr>
          <w:rFonts w:ascii="Book Antiqua" w:hAnsi="Book Antiqua" w:cs="Arial"/>
        </w:rPr>
      </w:pPr>
      <w:r>
        <w:rPr>
          <w:rFonts w:ascii="Book Antiqua" w:hAnsi="Book Antiqua" w:cs="Arial"/>
        </w:rPr>
        <w:t>The decision of the FtT dismiss</w:t>
      </w:r>
      <w:r w:rsidR="00DC20F7">
        <w:rPr>
          <w:rFonts w:ascii="Book Antiqua" w:hAnsi="Book Antiqua" w:cs="Arial"/>
        </w:rPr>
        <w:t>ing</w:t>
      </w:r>
      <w:r>
        <w:rPr>
          <w:rFonts w:ascii="Book Antiqua" w:hAnsi="Book Antiqua" w:cs="Arial"/>
        </w:rPr>
        <w:t xml:space="preserve"> the appellants’ appeals stands. </w:t>
      </w:r>
    </w:p>
    <w:p w:rsidR="006903D8" w:rsidRDefault="006903D8">
      <w:pPr>
        <w:jc w:val="both"/>
        <w:rPr>
          <w:rFonts w:ascii="Book Antiqua" w:hAnsi="Book Antiqua" w:cs="Arial"/>
        </w:rPr>
      </w:pPr>
    </w:p>
    <w:p w:rsidR="00DC20F7" w:rsidRPr="00DC20F7" w:rsidRDefault="00DC20F7" w:rsidP="00DC20F7">
      <w:pPr>
        <w:rPr>
          <w:rFonts w:ascii="Book Antiqua" w:hAnsi="Book Antiqua" w:cs="Arial"/>
        </w:rPr>
      </w:pPr>
      <w:r w:rsidRPr="00DC20F7">
        <w:rPr>
          <w:rFonts w:ascii="Book Antiqua" w:hAnsi="Book Antiqua" w:cs="Arial"/>
        </w:rPr>
        <w:t xml:space="preserve">Signed: </w:t>
      </w:r>
    </w:p>
    <w:p w:rsidR="00DC20F7" w:rsidRPr="00DC20F7" w:rsidRDefault="00DC20F7" w:rsidP="00DC20F7">
      <w:pPr>
        <w:rPr>
          <w:rFonts w:ascii="Book Antiqua" w:hAnsi="Book Antiqua" w:cs="Arial"/>
        </w:rPr>
      </w:pPr>
      <w:r w:rsidRPr="00DC20F7">
        <w:rPr>
          <w:rFonts w:ascii="Book Antiqua" w:hAnsi="Book Antiqua" w:cs="Arial"/>
          <w:noProof/>
        </w:rPr>
        <w:drawing>
          <wp:inline distT="0" distB="0" distL="0" distR="0" wp14:anchorId="5255EDBE" wp14:editId="0F1B9AF6">
            <wp:extent cx="1371600" cy="44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447040"/>
                    </a:xfrm>
                    <a:prstGeom prst="rect">
                      <a:avLst/>
                    </a:prstGeom>
                    <a:noFill/>
                    <a:ln>
                      <a:noFill/>
                    </a:ln>
                  </pic:spPr>
                </pic:pic>
              </a:graphicData>
            </a:graphic>
          </wp:inline>
        </w:drawing>
      </w:r>
    </w:p>
    <w:p w:rsidR="00DC20F7" w:rsidRDefault="00DC20F7" w:rsidP="00DC20F7">
      <w:pPr>
        <w:rPr>
          <w:rFonts w:ascii="Book Antiqua" w:hAnsi="Book Antiqua" w:cs="Arial"/>
        </w:rPr>
      </w:pPr>
      <w:r w:rsidRPr="00DC20F7">
        <w:rPr>
          <w:rFonts w:ascii="Book Antiqua" w:hAnsi="Book Antiqua" w:cs="Arial"/>
        </w:rPr>
        <w:t>Upper Tribunal Judge O’Connor</w:t>
      </w:r>
    </w:p>
    <w:p w:rsidR="00E923B1" w:rsidRDefault="00E923B1" w:rsidP="00DC20F7">
      <w:pPr>
        <w:rPr>
          <w:rFonts w:ascii="Book Antiqua" w:hAnsi="Book Antiqua" w:cs="Arial"/>
        </w:rPr>
      </w:pPr>
    </w:p>
    <w:p w:rsidR="00E923B1" w:rsidRPr="00DC20F7" w:rsidRDefault="00E923B1" w:rsidP="00DC20F7">
      <w:pPr>
        <w:rPr>
          <w:rFonts w:ascii="Book Antiqua" w:hAnsi="Book Antiqua" w:cs="Arial"/>
        </w:rPr>
      </w:pPr>
      <w:r>
        <w:rPr>
          <w:rFonts w:ascii="Book Antiqua" w:hAnsi="Book Antiqua" w:cs="Arial"/>
        </w:rPr>
        <w:t xml:space="preserve">Date </w:t>
      </w:r>
      <w:r w:rsidRPr="00E923B1">
        <w:rPr>
          <w:rFonts w:ascii="Book Antiqua" w:hAnsi="Book Antiqua" w:cs="Arial"/>
        </w:rPr>
        <w:t>06 September 2018</w:t>
      </w:r>
    </w:p>
    <w:p w:rsidR="007F14FF" w:rsidRDefault="007F14FF">
      <w:pPr>
        <w:rPr>
          <w:rFonts w:ascii="Book Antiqua" w:hAnsi="Book Antiqua" w:cs="Arial"/>
        </w:rPr>
      </w:pPr>
    </w:p>
    <w:p w:rsidR="006903D8" w:rsidRDefault="006903D8">
      <w:pPr>
        <w:jc w:val="both"/>
        <w:rPr>
          <w:rFonts w:ascii="Book Antiqua" w:hAnsi="Book Antiqua" w:cs="Arial"/>
        </w:rPr>
      </w:pPr>
    </w:p>
    <w:p w:rsidR="006903D8" w:rsidRDefault="006903D8">
      <w:pPr>
        <w:jc w:val="both"/>
        <w:rPr>
          <w:rFonts w:ascii="Book Antiqua" w:hAnsi="Book Antiqua" w:cs="Arial"/>
        </w:rPr>
      </w:pPr>
    </w:p>
    <w:p w:rsidR="00B46557" w:rsidRDefault="00B46557">
      <w:pPr>
        <w:jc w:val="both"/>
        <w:rPr>
          <w:rFonts w:ascii="Book Antiqua" w:hAnsi="Book Antiqua" w:cs="Arial"/>
        </w:rPr>
      </w:pPr>
    </w:p>
    <w:p w:rsidR="00B46557" w:rsidRDefault="00B46557">
      <w:pPr>
        <w:jc w:val="both"/>
        <w:rPr>
          <w:rFonts w:ascii="Book Antiqua" w:hAnsi="Book Antiqua" w:cs="Arial"/>
        </w:rPr>
      </w:pPr>
    </w:p>
    <w:p w:rsidR="00B46557" w:rsidRDefault="00B46557">
      <w:pPr>
        <w:jc w:val="both"/>
        <w:rPr>
          <w:rFonts w:ascii="Book Antiqua" w:hAnsi="Book Antiqua" w:cs="Arial"/>
        </w:rPr>
      </w:pPr>
    </w:p>
    <w:p w:rsidR="00B46557" w:rsidRDefault="00B46557">
      <w:pPr>
        <w:jc w:val="both"/>
        <w:rPr>
          <w:rFonts w:ascii="Book Antiqua" w:hAnsi="Book Antiqua" w:cs="Arial"/>
        </w:rPr>
      </w:pPr>
    </w:p>
    <w:p w:rsidR="00B46557" w:rsidRDefault="00B46557">
      <w:pPr>
        <w:jc w:val="both"/>
        <w:rPr>
          <w:rFonts w:ascii="Book Antiqua" w:hAnsi="Book Antiqua" w:cs="Arial"/>
        </w:rPr>
      </w:pPr>
    </w:p>
    <w:p w:rsidR="00B46557" w:rsidRDefault="00B46557">
      <w:pPr>
        <w:jc w:val="both"/>
        <w:rPr>
          <w:rFonts w:ascii="Book Antiqua" w:hAnsi="Book Antiqua" w:cs="Arial"/>
        </w:rPr>
      </w:pPr>
    </w:p>
    <w:p w:rsidR="00B46557" w:rsidRDefault="00B46557">
      <w:pPr>
        <w:jc w:val="both"/>
        <w:rPr>
          <w:rFonts w:ascii="Book Antiqua" w:hAnsi="Book Antiqua" w:cs="Arial"/>
        </w:rPr>
      </w:pPr>
    </w:p>
    <w:p w:rsidR="00B46557" w:rsidRDefault="00B46557">
      <w:pPr>
        <w:jc w:val="both"/>
        <w:rPr>
          <w:rFonts w:ascii="Book Antiqua" w:hAnsi="Book Antiqua" w:cs="Arial"/>
        </w:rPr>
      </w:pPr>
    </w:p>
    <w:p w:rsidR="00B46557" w:rsidRDefault="00B46557">
      <w:pPr>
        <w:jc w:val="both"/>
        <w:rPr>
          <w:rFonts w:ascii="Book Antiqua" w:hAnsi="Book Antiqua" w:cs="Arial"/>
        </w:rPr>
      </w:pPr>
    </w:p>
    <w:p w:rsidR="006903D8" w:rsidRDefault="006903D8">
      <w:pPr>
        <w:rPr>
          <w:rFonts w:ascii="Book Antiqua" w:hAnsi="Book Antiqua" w:cs="Arial"/>
        </w:rPr>
      </w:pPr>
    </w:p>
    <w:sectPr w:rsidR="006903D8" w:rsidSect="00836DB1">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185" w:rsidRDefault="00554185">
      <w:r>
        <w:separator/>
      </w:r>
    </w:p>
  </w:endnote>
  <w:endnote w:type="continuationSeparator" w:id="0">
    <w:p w:rsidR="00554185" w:rsidRDefault="0055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3D8" w:rsidRPr="000274AE" w:rsidRDefault="006903D8">
    <w:pPr>
      <w:pStyle w:val="Footer"/>
      <w:jc w:val="center"/>
      <w:rPr>
        <w:rFonts w:ascii="Book Antiqua" w:hAnsi="Book Antiqua" w:cs="Arial"/>
      </w:rPr>
    </w:pPr>
    <w:r w:rsidRPr="000274AE">
      <w:rPr>
        <w:rStyle w:val="PageNumber"/>
        <w:rFonts w:ascii="Book Antiqua" w:hAnsi="Book Antiqua" w:cs="Arial"/>
      </w:rPr>
      <w:fldChar w:fldCharType="begin"/>
    </w:r>
    <w:r w:rsidRPr="000274AE">
      <w:rPr>
        <w:rStyle w:val="PageNumber"/>
        <w:rFonts w:ascii="Book Antiqua" w:hAnsi="Book Antiqua" w:cs="Arial"/>
      </w:rPr>
      <w:instrText xml:space="preserve"> PAGE </w:instrText>
    </w:r>
    <w:r w:rsidRPr="000274AE">
      <w:rPr>
        <w:rStyle w:val="PageNumber"/>
        <w:rFonts w:ascii="Book Antiqua" w:hAnsi="Book Antiqua" w:cs="Arial"/>
      </w:rPr>
      <w:fldChar w:fldCharType="separate"/>
    </w:r>
    <w:r w:rsidR="00C13B8D">
      <w:rPr>
        <w:rStyle w:val="PageNumber"/>
        <w:rFonts w:ascii="Book Antiqua" w:hAnsi="Book Antiqua" w:cs="Arial"/>
        <w:noProof/>
      </w:rPr>
      <w:t>4</w:t>
    </w:r>
    <w:r w:rsidRPr="000274A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b/>
      </w:rPr>
      <w:id w:val="-640505904"/>
      <w:docPartObj>
        <w:docPartGallery w:val="Page Numbers (Bottom of Page)"/>
        <w:docPartUnique/>
      </w:docPartObj>
    </w:sdtPr>
    <w:sdtEndPr>
      <w:rPr>
        <w:rFonts w:ascii="Times New Roman" w:hAnsi="Times New Roman"/>
        <w:b w:val="0"/>
        <w:noProof/>
      </w:rPr>
    </w:sdtEndPr>
    <w:sdtContent>
      <w:p w:rsidR="004C4DC2" w:rsidRDefault="00D55E86">
        <w:pPr>
          <w:pStyle w:val="Footer"/>
          <w:jc w:val="center"/>
        </w:pPr>
        <w:r w:rsidRPr="00A97C27">
          <w:rPr>
            <w:rFonts w:ascii="Book Antiqua" w:hAnsi="Book Antiqua"/>
            <w:b/>
            <w:noProof/>
          </w:rPr>
          <w:t>© CROWN COPYRIGHT 2018</w:t>
        </w:r>
      </w:p>
    </w:sdtContent>
  </w:sdt>
  <w:p w:rsidR="006903D8" w:rsidRDefault="006903D8">
    <w:pPr>
      <w:jc w:val="center"/>
      <w:rPr>
        <w:rFonts w:ascii="Book Antiqua" w:hAnsi="Book Antiqua"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185" w:rsidRDefault="00554185">
      <w:r>
        <w:separator/>
      </w:r>
    </w:p>
  </w:footnote>
  <w:footnote w:type="continuationSeparator" w:id="0">
    <w:p w:rsidR="00554185" w:rsidRDefault="00554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3D8" w:rsidRDefault="006903D8">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w:t>
    </w:r>
    <w:r w:rsidR="00A80572">
      <w:rPr>
        <w:rFonts w:ascii="Book Antiqua" w:hAnsi="Book Antiqua" w:cs="Arial"/>
        <w:sz w:val="16"/>
        <w:szCs w:val="16"/>
      </w:rPr>
      <w:t>s</w:t>
    </w:r>
    <w:r>
      <w:rPr>
        <w:rFonts w:ascii="Book Antiqua" w:hAnsi="Book Antiqua" w:cs="Arial"/>
        <w:sz w:val="16"/>
        <w:szCs w:val="16"/>
      </w:rPr>
      <w:t xml:space="preserve">: </w:t>
    </w:r>
    <w:r w:rsidR="00A80572">
      <w:rPr>
        <w:rFonts w:ascii="Book Antiqua" w:hAnsi="Book Antiqua" w:cs="Arial"/>
        <w:sz w:val="16"/>
        <w:szCs w:val="16"/>
      </w:rPr>
      <w:t>EA/03708/2015</w:t>
    </w:r>
  </w:p>
  <w:p w:rsidR="00A80572" w:rsidRDefault="00A80572">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EA/03713/2015</w:t>
    </w:r>
  </w:p>
  <w:p w:rsidR="00A80572" w:rsidRDefault="00A80572">
    <w:pPr>
      <w:pStyle w:val="Header"/>
      <w:tabs>
        <w:tab w:val="clear" w:pos="4153"/>
        <w:tab w:val="clear" w:pos="8306"/>
        <w:tab w:val="right" w:pos="9639"/>
      </w:tabs>
      <w:jc w:val="right"/>
      <w:rPr>
        <w:rFonts w:ascii="Book Antiqua" w:hAnsi="Book Antiqua" w:cs="Arial"/>
        <w:sz w:val="16"/>
        <w:szCs w:val="16"/>
      </w:rPr>
    </w:pPr>
  </w:p>
  <w:p w:rsidR="00A80572" w:rsidRDefault="00A80572">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3D8" w:rsidRDefault="006903D8">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AA2258"/>
    <w:multiLevelType w:val="multilevel"/>
    <w:tmpl w:val="8E6A0E4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4F72D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4C"/>
    <w:rsid w:val="00002D55"/>
    <w:rsid w:val="000274AE"/>
    <w:rsid w:val="00045BEB"/>
    <w:rsid w:val="00084C6B"/>
    <w:rsid w:val="000A46E2"/>
    <w:rsid w:val="000C775D"/>
    <w:rsid w:val="000D7D4D"/>
    <w:rsid w:val="00101E69"/>
    <w:rsid w:val="001072E3"/>
    <w:rsid w:val="0012670C"/>
    <w:rsid w:val="00146268"/>
    <w:rsid w:val="00163227"/>
    <w:rsid w:val="0017014B"/>
    <w:rsid w:val="00186E36"/>
    <w:rsid w:val="001A6808"/>
    <w:rsid w:val="001B4282"/>
    <w:rsid w:val="001C24FD"/>
    <w:rsid w:val="001C27FA"/>
    <w:rsid w:val="001C469B"/>
    <w:rsid w:val="001D3752"/>
    <w:rsid w:val="001F22A2"/>
    <w:rsid w:val="001F3440"/>
    <w:rsid w:val="00210B63"/>
    <w:rsid w:val="00252270"/>
    <w:rsid w:val="0026567A"/>
    <w:rsid w:val="00283AF7"/>
    <w:rsid w:val="002A63AD"/>
    <w:rsid w:val="002B6644"/>
    <w:rsid w:val="002C4F12"/>
    <w:rsid w:val="002E0E4D"/>
    <w:rsid w:val="003352CE"/>
    <w:rsid w:val="0034626F"/>
    <w:rsid w:val="003472B1"/>
    <w:rsid w:val="00362A91"/>
    <w:rsid w:val="00367DC3"/>
    <w:rsid w:val="00370FE1"/>
    <w:rsid w:val="00376FD2"/>
    <w:rsid w:val="003C2FBB"/>
    <w:rsid w:val="003E4EB3"/>
    <w:rsid w:val="003F254C"/>
    <w:rsid w:val="00415211"/>
    <w:rsid w:val="0049264B"/>
    <w:rsid w:val="004C223C"/>
    <w:rsid w:val="004C4DC2"/>
    <w:rsid w:val="00500832"/>
    <w:rsid w:val="00510E08"/>
    <w:rsid w:val="00523CDA"/>
    <w:rsid w:val="00554185"/>
    <w:rsid w:val="005541BB"/>
    <w:rsid w:val="005E0EA5"/>
    <w:rsid w:val="005E1071"/>
    <w:rsid w:val="005E282F"/>
    <w:rsid w:val="006119DA"/>
    <w:rsid w:val="00683806"/>
    <w:rsid w:val="006903D8"/>
    <w:rsid w:val="006C7D66"/>
    <w:rsid w:val="006F1781"/>
    <w:rsid w:val="006F303A"/>
    <w:rsid w:val="00741A91"/>
    <w:rsid w:val="0076025C"/>
    <w:rsid w:val="00784A7D"/>
    <w:rsid w:val="007F14FF"/>
    <w:rsid w:val="008052F0"/>
    <w:rsid w:val="00836DB1"/>
    <w:rsid w:val="008456EA"/>
    <w:rsid w:val="00870F4F"/>
    <w:rsid w:val="00887984"/>
    <w:rsid w:val="008A5375"/>
    <w:rsid w:val="008A786A"/>
    <w:rsid w:val="008B77CE"/>
    <w:rsid w:val="008E56C2"/>
    <w:rsid w:val="008E57E4"/>
    <w:rsid w:val="00903A7C"/>
    <w:rsid w:val="009154E0"/>
    <w:rsid w:val="009311EA"/>
    <w:rsid w:val="00967614"/>
    <w:rsid w:val="009B3CDF"/>
    <w:rsid w:val="009C6A91"/>
    <w:rsid w:val="009D0130"/>
    <w:rsid w:val="009D4279"/>
    <w:rsid w:val="009D7947"/>
    <w:rsid w:val="00A000AB"/>
    <w:rsid w:val="00A01D14"/>
    <w:rsid w:val="00A40176"/>
    <w:rsid w:val="00A54EE6"/>
    <w:rsid w:val="00A80572"/>
    <w:rsid w:val="00A956E5"/>
    <w:rsid w:val="00A97C27"/>
    <w:rsid w:val="00AB60A3"/>
    <w:rsid w:val="00AC10C4"/>
    <w:rsid w:val="00AD2550"/>
    <w:rsid w:val="00AD7EB7"/>
    <w:rsid w:val="00AE6121"/>
    <w:rsid w:val="00B46557"/>
    <w:rsid w:val="00B90495"/>
    <w:rsid w:val="00BA5148"/>
    <w:rsid w:val="00BE1FC4"/>
    <w:rsid w:val="00C13B8D"/>
    <w:rsid w:val="00C14503"/>
    <w:rsid w:val="00C422DD"/>
    <w:rsid w:val="00C71E8A"/>
    <w:rsid w:val="00CE038B"/>
    <w:rsid w:val="00CE769E"/>
    <w:rsid w:val="00D0164C"/>
    <w:rsid w:val="00D1743A"/>
    <w:rsid w:val="00D27D28"/>
    <w:rsid w:val="00D30DC6"/>
    <w:rsid w:val="00D55E86"/>
    <w:rsid w:val="00D56E27"/>
    <w:rsid w:val="00D63054"/>
    <w:rsid w:val="00D70A35"/>
    <w:rsid w:val="00D84AEA"/>
    <w:rsid w:val="00D9237D"/>
    <w:rsid w:val="00DB2B04"/>
    <w:rsid w:val="00DC20F7"/>
    <w:rsid w:val="00DD0157"/>
    <w:rsid w:val="00E06EF7"/>
    <w:rsid w:val="00E15C6B"/>
    <w:rsid w:val="00E202D4"/>
    <w:rsid w:val="00E24DC8"/>
    <w:rsid w:val="00E27948"/>
    <w:rsid w:val="00E545A9"/>
    <w:rsid w:val="00E923B1"/>
    <w:rsid w:val="00EA69D3"/>
    <w:rsid w:val="00EE505F"/>
    <w:rsid w:val="00F21C7D"/>
    <w:rsid w:val="00F43E5A"/>
    <w:rsid w:val="00F6191E"/>
    <w:rsid w:val="00F92FFD"/>
    <w:rsid w:val="00FA38BC"/>
    <w:rsid w:val="00FB24C7"/>
    <w:rsid w:val="00FB59D9"/>
    <w:rsid w:val="00FD1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C9536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uiPriority w:val="99"/>
    <w:rsid w:val="004C4D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C3C31-E0A0-4B8A-B47D-7E3B99A8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2018-09-28T14:25:00Z</dcterms:created>
  <dcterms:modified xsi:type="dcterms:W3CDTF">2018-09-28T14:26:00Z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