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0951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16"/>
          <w:szCs w:val="16"/>
          <w:lang w:eastAsia="en-GB"/>
        </w:rPr>
      </w:pPr>
      <w:r w:rsidRPr="00AC0C9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7683540" wp14:editId="03CFB7DD">
            <wp:extent cx="10477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1827" w14:textId="77777777" w:rsidR="00AC0C9F" w:rsidRPr="00AC0C9F" w:rsidRDefault="00AC0C9F" w:rsidP="00AC0C9F">
      <w:pPr>
        <w:spacing w:after="0" w:line="240" w:lineRule="auto"/>
        <w:rPr>
          <w:rFonts w:ascii="Book Antiqua" w:eastAsia="Times New Roman" w:hAnsi="Book Antiqua" w:cs="Arial"/>
          <w:sz w:val="16"/>
          <w:szCs w:val="16"/>
          <w:lang w:eastAsia="en-GB"/>
        </w:rPr>
      </w:pPr>
    </w:p>
    <w:p w14:paraId="01F58510" w14:textId="77777777" w:rsidR="00AC0C9F" w:rsidRPr="00AC0C9F" w:rsidRDefault="00AC0C9F" w:rsidP="00AC0C9F">
      <w:pPr>
        <w:tabs>
          <w:tab w:val="right" w:pos="9639"/>
        </w:tabs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lang w:eastAsia="en-GB"/>
        </w:rPr>
        <w:t xml:space="preserve">Upper Tribunal </w:t>
      </w:r>
    </w:p>
    <w:p w14:paraId="42FE68B7" w14:textId="77777777" w:rsidR="00AC0C9F" w:rsidRDefault="00AC0C9F" w:rsidP="00AC0C9F">
      <w:pPr>
        <w:tabs>
          <w:tab w:val="right" w:pos="9639"/>
        </w:tabs>
        <w:spacing w:after="0" w:line="240" w:lineRule="auto"/>
        <w:rPr>
          <w:rFonts w:ascii="Book Antiqua" w:eastAsia="Times New Roman" w:hAnsi="Book Antiqua" w:cs="Arial"/>
          <w:caps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lang w:eastAsia="en-GB"/>
        </w:rPr>
        <w:t>(Immigration and Asylum Chamber)</w:t>
      </w:r>
      <w:r w:rsidRPr="00AC0C9F">
        <w:rPr>
          <w:rFonts w:ascii="Book Antiqua" w:eastAsia="Times New Roman" w:hAnsi="Book Antiqua" w:cs="Arial"/>
          <w:b/>
          <w:sz w:val="24"/>
          <w:szCs w:val="24"/>
          <w:lang w:eastAsia="en-GB"/>
        </w:rPr>
        <w:tab/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Appeal Number: </w:t>
      </w:r>
      <w:bookmarkStart w:id="0" w:name="_GoBack"/>
      <w:r>
        <w:rPr>
          <w:rFonts w:ascii="Book Antiqua" w:eastAsia="Times New Roman" w:hAnsi="Book Antiqua" w:cs="Arial"/>
          <w:caps/>
          <w:sz w:val="24"/>
          <w:szCs w:val="24"/>
          <w:lang w:eastAsia="en-GB"/>
        </w:rPr>
        <w:t>EA/04069/2016</w:t>
      </w:r>
      <w:bookmarkEnd w:id="0"/>
    </w:p>
    <w:p w14:paraId="35040D46" w14:textId="77777777" w:rsidR="00AC0C9F" w:rsidRDefault="00AC0C9F" w:rsidP="00AC0C9F">
      <w:pPr>
        <w:tabs>
          <w:tab w:val="right" w:pos="9639"/>
        </w:tabs>
        <w:spacing w:after="0" w:line="240" w:lineRule="auto"/>
        <w:rPr>
          <w:rFonts w:ascii="Book Antiqua" w:eastAsia="Times New Roman" w:hAnsi="Book Antiqua" w:cs="Arial"/>
          <w:caps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caps/>
          <w:sz w:val="24"/>
          <w:szCs w:val="24"/>
          <w:lang w:eastAsia="en-GB"/>
        </w:rPr>
        <w:tab/>
        <w:t>EA/04071/2016</w:t>
      </w:r>
    </w:p>
    <w:p w14:paraId="777E0A45" w14:textId="77777777" w:rsidR="00AC0C9F" w:rsidRPr="00AC0C9F" w:rsidRDefault="00AC0C9F" w:rsidP="00AC0C9F">
      <w:pPr>
        <w:tabs>
          <w:tab w:val="right" w:pos="9639"/>
        </w:tabs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caps/>
          <w:sz w:val="24"/>
          <w:szCs w:val="24"/>
          <w:lang w:eastAsia="en-GB"/>
        </w:rPr>
        <w:tab/>
        <w:t>EA/04074/2016</w:t>
      </w:r>
    </w:p>
    <w:p w14:paraId="395D0316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404C2CF2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>THE IMMIGRATION ACTS</w:t>
      </w:r>
    </w:p>
    <w:p w14:paraId="45652478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AC0C9F" w:rsidRPr="00AC0C9F" w14:paraId="4AF9515D" w14:textId="77777777" w:rsidTr="00D56F20">
        <w:tc>
          <w:tcPr>
            <w:tcW w:w="6048" w:type="dxa"/>
            <w:shd w:val="clear" w:color="auto" w:fill="auto"/>
          </w:tcPr>
          <w:p w14:paraId="5434E04A" w14:textId="77777777" w:rsidR="00AC0C9F" w:rsidRPr="00AC0C9F" w:rsidRDefault="00AC0C9F" w:rsidP="00AC0C9F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</w:pPr>
          </w:p>
        </w:tc>
        <w:tc>
          <w:tcPr>
            <w:tcW w:w="3960" w:type="dxa"/>
            <w:shd w:val="clear" w:color="auto" w:fill="auto"/>
          </w:tcPr>
          <w:p w14:paraId="0B8D68C7" w14:textId="77777777" w:rsidR="00AC0C9F" w:rsidRPr="00AC0C9F" w:rsidRDefault="00AC0C9F" w:rsidP="00AC0C9F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</w:pPr>
            <w:r w:rsidRPr="00AC0C9F"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  <w:t>Decision &amp; Reasons Promulgated</w:t>
            </w:r>
          </w:p>
        </w:tc>
      </w:tr>
      <w:tr w:rsidR="00AC0C9F" w:rsidRPr="00AC0C9F" w14:paraId="057BB22F" w14:textId="77777777" w:rsidTr="00D56F20">
        <w:tc>
          <w:tcPr>
            <w:tcW w:w="6048" w:type="dxa"/>
            <w:shd w:val="clear" w:color="auto" w:fill="auto"/>
          </w:tcPr>
          <w:p w14:paraId="59B34A08" w14:textId="77777777" w:rsidR="00AC0C9F" w:rsidRPr="00AC0C9F" w:rsidRDefault="00AC0C9F" w:rsidP="00AC0C9F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</w:pPr>
          </w:p>
        </w:tc>
        <w:tc>
          <w:tcPr>
            <w:tcW w:w="3960" w:type="dxa"/>
            <w:shd w:val="clear" w:color="auto" w:fill="auto"/>
          </w:tcPr>
          <w:p w14:paraId="4E2BE84D" w14:textId="17C824D2" w:rsidR="00AC0C9F" w:rsidRPr="00AC0C9F" w:rsidRDefault="00407DD8" w:rsidP="00AC0C9F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</w:pPr>
            <w:r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  <w:t>On 15</w:t>
            </w:r>
            <w:r w:rsidRPr="00407DD8">
              <w:rPr>
                <w:rFonts w:ascii="Book Antiqua" w:eastAsia="Times New Roman" w:hAnsi="Book Antiqua" w:cs="Arial"/>
                <w:b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  <w:t xml:space="preserve"> June 2018</w:t>
            </w:r>
          </w:p>
        </w:tc>
      </w:tr>
      <w:tr w:rsidR="00AC0C9F" w:rsidRPr="00AC0C9F" w14:paraId="0498B80D" w14:textId="77777777" w:rsidTr="00D56F20">
        <w:tc>
          <w:tcPr>
            <w:tcW w:w="6048" w:type="dxa"/>
            <w:shd w:val="clear" w:color="auto" w:fill="auto"/>
          </w:tcPr>
          <w:p w14:paraId="756F713D" w14:textId="77777777" w:rsidR="00AC0C9F" w:rsidRPr="00AC0C9F" w:rsidRDefault="00AC0C9F" w:rsidP="00AC0C9F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</w:pPr>
          </w:p>
        </w:tc>
        <w:tc>
          <w:tcPr>
            <w:tcW w:w="3960" w:type="dxa"/>
            <w:shd w:val="clear" w:color="auto" w:fill="auto"/>
          </w:tcPr>
          <w:p w14:paraId="4F582BE4" w14:textId="0CB8A714" w:rsidR="00AC0C9F" w:rsidRPr="00AC0C9F" w:rsidRDefault="00AC0C9F" w:rsidP="00AC0C9F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sz w:val="24"/>
                <w:szCs w:val="24"/>
                <w:lang w:eastAsia="en-GB"/>
              </w:rPr>
            </w:pPr>
          </w:p>
        </w:tc>
      </w:tr>
    </w:tbl>
    <w:p w14:paraId="71D9859D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40E7CF65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Before</w:t>
      </w:r>
    </w:p>
    <w:p w14:paraId="180C3D2C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28936E8B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lang w:eastAsia="en-GB"/>
        </w:rPr>
        <w:t>UPPER TRIBUNAL JUDGE O’CONNOR</w:t>
      </w:r>
    </w:p>
    <w:p w14:paraId="3B048EC2" w14:textId="2A151F5C" w:rsid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0760E2F8" w14:textId="77777777" w:rsidR="00CC18E6" w:rsidRPr="00AC0C9F" w:rsidRDefault="00CC18E6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38E56E29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Between</w:t>
      </w:r>
    </w:p>
    <w:p w14:paraId="54BFF1E3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14:paraId="62AF66E2" w14:textId="2B625DBB" w:rsid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 xml:space="preserve">SATINDER </w:t>
      </w:r>
      <w:r w:rsidR="00CC18E6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[</w:t>
      </w: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S</w:t>
      </w:r>
      <w:r w:rsidR="00CC18E6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]</w:t>
      </w:r>
    </w:p>
    <w:p w14:paraId="7E0AC8A2" w14:textId="6FC084AA" w:rsid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 xml:space="preserve">JATINDER </w:t>
      </w:r>
      <w:r w:rsidR="00CC18E6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[</w:t>
      </w: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K</w:t>
      </w:r>
      <w:r w:rsidR="00CC18E6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]</w:t>
      </w:r>
    </w:p>
    <w:p w14:paraId="7EBFFB90" w14:textId="36A35EDE" w:rsidR="00AC0C9F" w:rsidRDefault="00CC18E6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</w:pP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[</w:t>
      </w:r>
      <w:r w:rsid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J</w:t>
      </w: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 xml:space="preserve"> </w:t>
      </w:r>
      <w:r w:rsid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P</w:t>
      </w:r>
      <w:r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t>]</w:t>
      </w:r>
    </w:p>
    <w:p w14:paraId="1F6B686D" w14:textId="77777777" w:rsidR="00AC0C9F" w:rsidRPr="00CC18E6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caps/>
          <w:szCs w:val="24"/>
          <w:lang w:eastAsia="en-GB"/>
        </w:rPr>
      </w:pPr>
      <w:r w:rsidRPr="00CC18E6">
        <w:rPr>
          <w:rFonts w:ascii="Book Antiqua" w:eastAsia="Times New Roman" w:hAnsi="Book Antiqua" w:cs="Arial"/>
          <w:b/>
          <w:caps/>
          <w:szCs w:val="24"/>
          <w:lang w:eastAsia="en-GB"/>
        </w:rPr>
        <w:t>(ANONYMITY DIRECTION NOT MADE)</w:t>
      </w:r>
    </w:p>
    <w:p w14:paraId="7691DC62" w14:textId="77777777" w:rsidR="00AC0C9F" w:rsidRPr="00AC0C9F" w:rsidRDefault="00AC0C9F" w:rsidP="00AC0C9F">
      <w:pPr>
        <w:spacing w:after="0" w:line="240" w:lineRule="auto"/>
        <w:jc w:val="right"/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</w:pPr>
      <w:r w:rsidRPr="00AC0C9F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Appellant</w:t>
      </w:r>
      <w:r w:rsidR="00BA4D30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s</w:t>
      </w:r>
    </w:p>
    <w:p w14:paraId="54C0A40C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lang w:eastAsia="en-GB"/>
        </w:rPr>
        <w:t>and</w:t>
      </w:r>
    </w:p>
    <w:p w14:paraId="7D62315A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lang w:eastAsia="en-GB"/>
        </w:rPr>
      </w:pPr>
    </w:p>
    <w:p w14:paraId="3B0C5776" w14:textId="77777777" w:rsidR="00AC0C9F" w:rsidRPr="00AC0C9F" w:rsidRDefault="00AC0C9F" w:rsidP="00AC0C9F">
      <w:pPr>
        <w:spacing w:after="0" w:line="240" w:lineRule="auto"/>
        <w:jc w:val="center"/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instrText xml:space="preserve"> FORMTEXT </w:instrText>
      </w:r>
      <w:r w:rsidRP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</w:r>
      <w:r w:rsidRP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fldChar w:fldCharType="separate"/>
      </w:r>
      <w:r w:rsidRPr="00AC0C9F">
        <w:rPr>
          <w:rFonts w:ascii="Book Antiqua" w:eastAsia="Times New Roman" w:hAnsi="Book Antiqua" w:cs="Arial"/>
          <w:b/>
          <w:caps/>
          <w:noProof/>
          <w:sz w:val="24"/>
          <w:szCs w:val="24"/>
          <w:lang w:eastAsia="en-GB"/>
        </w:rPr>
        <w:t>THE SECRETARY OF STATE FOR THE HOME DEPARTMENT</w:t>
      </w:r>
      <w:r w:rsidRPr="00AC0C9F">
        <w:rPr>
          <w:rFonts w:ascii="Book Antiqua" w:eastAsia="Times New Roman" w:hAnsi="Book Antiqua" w:cs="Arial"/>
          <w:b/>
          <w:caps/>
          <w:sz w:val="24"/>
          <w:szCs w:val="24"/>
          <w:lang w:eastAsia="en-GB"/>
        </w:rPr>
        <w:fldChar w:fldCharType="end"/>
      </w:r>
      <w:bookmarkEnd w:id="1"/>
    </w:p>
    <w:p w14:paraId="638416D1" w14:textId="77777777" w:rsidR="00AC0C9F" w:rsidRPr="00AC0C9F" w:rsidRDefault="00AC0C9F" w:rsidP="00AC0C9F">
      <w:pPr>
        <w:spacing w:after="0" w:line="240" w:lineRule="auto"/>
        <w:jc w:val="right"/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</w:pPr>
      <w:r w:rsidRPr="00AC0C9F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Respondent</w:t>
      </w:r>
    </w:p>
    <w:p w14:paraId="5D6C3EAB" w14:textId="77777777" w:rsidR="00AC0C9F" w:rsidRPr="00AC0C9F" w:rsidRDefault="00AC0C9F" w:rsidP="00AC0C9F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</w:pPr>
    </w:p>
    <w:p w14:paraId="1CAD11CC" w14:textId="77777777" w:rsidR="00AC0C9F" w:rsidRPr="00AC0C9F" w:rsidRDefault="00AC0C9F" w:rsidP="00AC0C9F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</w:pPr>
    </w:p>
    <w:p w14:paraId="36907343" w14:textId="77777777" w:rsidR="00AC0C9F" w:rsidRPr="00AC0C9F" w:rsidRDefault="00AC0C9F" w:rsidP="00AC0C9F">
      <w:pPr>
        <w:tabs>
          <w:tab w:val="left" w:pos="2520"/>
        </w:tabs>
        <w:spacing w:after="0" w:line="240" w:lineRule="auto"/>
        <w:jc w:val="center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>DECISION AND REASONS</w:t>
      </w:r>
    </w:p>
    <w:p w14:paraId="1E3AFBAA" w14:textId="77777777" w:rsidR="00AC0C9F" w:rsidRPr="00AC0C9F" w:rsidRDefault="00AC0C9F" w:rsidP="00AC0C9F">
      <w:pPr>
        <w:spacing w:before="240"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>Introduction</w:t>
      </w:r>
    </w:p>
    <w:p w14:paraId="57D57A5B" w14:textId="24E31345" w:rsidR="00AC0C9F" w:rsidRPr="00AC0C9F" w:rsidRDefault="00AC0C9F" w:rsidP="00AC0C9F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The appellant</w:t>
      </w:r>
      <w:r w:rsidR="00BA4D30"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are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citizen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s 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of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India who were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born on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(i) 12.11.1984, (ii) 08.08.1983, and (iii) 05.12.2012</w:t>
      </w:r>
      <w:r w:rsidR="00BA4D30">
        <w:rPr>
          <w:rFonts w:ascii="Book Antiqua" w:eastAsia="Times New Roman" w:hAnsi="Book Antiqua" w:cs="Arial"/>
          <w:sz w:val="24"/>
          <w:szCs w:val="24"/>
          <w:lang w:eastAsia="en-GB"/>
        </w:rPr>
        <w:t>, respectively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.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They 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made application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to the Secretary of State for EEA residence card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s.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The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ir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application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w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ere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refused in decision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dated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 </w:t>
      </w:r>
      <w:r w:rsidR="00317505">
        <w:rPr>
          <w:rFonts w:ascii="Book Antiqua" w:eastAsia="Times New Roman" w:hAnsi="Book Antiqua" w:cs="Arial"/>
          <w:sz w:val="24"/>
          <w:szCs w:val="24"/>
          <w:lang w:eastAsia="en-GB"/>
        </w:rPr>
        <w:t>03.03.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2016,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for reasons that I need not set out herein.  </w:t>
      </w:r>
    </w:p>
    <w:p w14:paraId="33C3C77B" w14:textId="275FCEBA" w:rsidR="00AC0C9F" w:rsidRPr="00AC0C9F" w:rsidRDefault="00AC0C9F" w:rsidP="00AC0C9F">
      <w:pPr>
        <w:spacing w:before="240"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  <w:r w:rsidRPr="00AC0C9F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>Decision of the First-tier Tribunal</w:t>
      </w:r>
    </w:p>
    <w:p w14:paraId="78C88C07" w14:textId="6E436B71" w:rsidR="00AC0C9F" w:rsidRPr="00AC0C9F" w:rsidRDefault="00AC0C9F" w:rsidP="00AC0C9F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The appellant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lodged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their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appeal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</w:t>
      </w:r>
      <w:r w:rsidR="004A0824">
        <w:rPr>
          <w:rFonts w:ascii="Book Antiqua" w:eastAsia="Times New Roman" w:hAnsi="Book Antiqua" w:cs="Arial"/>
          <w:sz w:val="24"/>
          <w:szCs w:val="24"/>
          <w:lang w:eastAsia="en-GB"/>
        </w:rPr>
        <w:t>to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the First-tier Tribunal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. Those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appeal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came before F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irst-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t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 xml:space="preserve">ier 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T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ribunal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Judge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Kelly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, who concluded in a decision sent on 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27.07.2017,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lastRenderedPageBreak/>
        <w:t>that the First-tier Tribunal did not have jurisdiction to determine the appeal</w:t>
      </w:r>
      <w:r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>. No findings were made in relation to the substance of the appeal</w:t>
      </w:r>
      <w:r w:rsidR="004A0824"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. The Judge’s conclusion was informed by the guidance given by this Tribunal in </w:t>
      </w:r>
      <w:r w:rsidRPr="00AC0C9F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Sala</w:t>
      </w:r>
      <w:r w:rsidRPr="00AC0C9F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[2016] UKUT 00411.  </w:t>
      </w:r>
    </w:p>
    <w:p w14:paraId="40B0DA49" w14:textId="77777777" w:rsidR="00B55814" w:rsidRPr="00C80691" w:rsidRDefault="00AC0C9F" w:rsidP="00AC0C9F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>The appellant</w:t>
      </w:r>
      <w:r w:rsidR="00BA4D30" w:rsidRPr="00C80691"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appealed such decision to the Upper Tribunal and First-tier Tribunal Judge Mailer granted permission in a decision sent on 25.05.2018. </w:t>
      </w:r>
    </w:p>
    <w:p w14:paraId="5BB2F22B" w14:textId="34E3626D" w:rsidR="00B55814" w:rsidRPr="00C80691" w:rsidRDefault="00B55814" w:rsidP="00B55814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hAnsi="Book Antiqua" w:cs="Arial"/>
          <w:sz w:val="24"/>
          <w:szCs w:val="24"/>
        </w:rPr>
      </w:pPr>
      <w:r w:rsidRPr="00C80691">
        <w:rPr>
          <w:rFonts w:ascii="Book Antiqua" w:hAnsi="Book Antiqua"/>
          <w:sz w:val="24"/>
          <w:szCs w:val="24"/>
        </w:rPr>
        <w:t>In the same decision, First-tier Tribunal Judge Mailer indicated that the Upper Tribunal is likely to find an error of law, set aside the decision of the First-tier Tribunal and remit the case</w:t>
      </w:r>
      <w:r w:rsidR="00C80691">
        <w:rPr>
          <w:rFonts w:ascii="Book Antiqua" w:hAnsi="Book Antiqua"/>
          <w:sz w:val="24"/>
          <w:szCs w:val="24"/>
        </w:rPr>
        <w:t>s</w:t>
      </w:r>
      <w:r w:rsidRPr="00C80691">
        <w:rPr>
          <w:rFonts w:ascii="Book Antiqua" w:hAnsi="Book Antiqua"/>
          <w:sz w:val="24"/>
          <w:szCs w:val="24"/>
        </w:rPr>
        <w:t xml:space="preserve"> to the First-tier Tribunal. A party opposed to this course was directed to inform the </w:t>
      </w:r>
      <w:r w:rsidR="00C80691">
        <w:rPr>
          <w:rFonts w:ascii="Book Antiqua" w:hAnsi="Book Antiqua"/>
          <w:sz w:val="24"/>
          <w:szCs w:val="24"/>
        </w:rPr>
        <w:t xml:space="preserve">Upper </w:t>
      </w:r>
      <w:r w:rsidRPr="00C80691">
        <w:rPr>
          <w:rFonts w:ascii="Book Antiqua" w:hAnsi="Book Antiqua"/>
          <w:sz w:val="24"/>
          <w:szCs w:val="24"/>
        </w:rPr>
        <w:t xml:space="preserve">Tribunal in writing (giving reasons), within 7 days from the date the decision. In the absence, that document </w:t>
      </w:r>
      <w:r w:rsidR="00C80691">
        <w:rPr>
          <w:rFonts w:ascii="Book Antiqua" w:hAnsi="Book Antiqua"/>
          <w:sz w:val="24"/>
          <w:szCs w:val="24"/>
        </w:rPr>
        <w:t xml:space="preserve">was to </w:t>
      </w:r>
      <w:r w:rsidRPr="00C80691">
        <w:rPr>
          <w:rFonts w:ascii="Book Antiqua" w:hAnsi="Book Antiqua"/>
          <w:sz w:val="24"/>
          <w:szCs w:val="24"/>
        </w:rPr>
        <w:t xml:space="preserve">stand as a decision made in the terms set out </w:t>
      </w:r>
      <w:r w:rsidR="00C80691">
        <w:rPr>
          <w:rFonts w:ascii="Book Antiqua" w:hAnsi="Book Antiqua"/>
          <w:sz w:val="24"/>
          <w:szCs w:val="24"/>
        </w:rPr>
        <w:t>t</w:t>
      </w:r>
      <w:r w:rsidRPr="00C80691">
        <w:rPr>
          <w:rFonts w:ascii="Book Antiqua" w:hAnsi="Book Antiqua"/>
          <w:sz w:val="24"/>
          <w:szCs w:val="24"/>
        </w:rPr>
        <w:t xml:space="preserve">herein. </w:t>
      </w:r>
    </w:p>
    <w:p w14:paraId="7B0138AE" w14:textId="77777777" w:rsidR="00BA4D30" w:rsidRPr="00C80691" w:rsidRDefault="00B55814" w:rsidP="00AC0C9F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80691">
        <w:rPr>
          <w:rFonts w:ascii="Book Antiqua" w:hAnsi="Book Antiqua"/>
          <w:sz w:val="24"/>
          <w:szCs w:val="24"/>
        </w:rPr>
        <w:t xml:space="preserve">The matter has come before me. </w:t>
      </w:r>
    </w:p>
    <w:p w14:paraId="78E85BFA" w14:textId="77777777" w:rsidR="00BA4D30" w:rsidRPr="00C80691" w:rsidRDefault="00BA4D30" w:rsidP="00BA4D30">
      <w:pPr>
        <w:spacing w:before="240"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  <w:r w:rsidRPr="00C80691">
        <w:rPr>
          <w:rFonts w:ascii="Book Antiqua" w:hAnsi="Book Antiqua"/>
          <w:b/>
          <w:sz w:val="24"/>
          <w:szCs w:val="24"/>
          <w:u w:val="single"/>
        </w:rPr>
        <w:t>Discussion</w:t>
      </w:r>
    </w:p>
    <w:p w14:paraId="051D6DE6" w14:textId="77777777" w:rsidR="00BA4D30" w:rsidRPr="00C80691" w:rsidRDefault="00B55814" w:rsidP="00AC0C9F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80691">
        <w:rPr>
          <w:rFonts w:ascii="Book Antiqua" w:hAnsi="Book Antiqua"/>
          <w:sz w:val="24"/>
          <w:szCs w:val="24"/>
        </w:rPr>
        <w:t xml:space="preserve">As set out in the decision of First-tier </w:t>
      </w:r>
      <w:r w:rsidR="00BA4D30" w:rsidRPr="00C80691">
        <w:rPr>
          <w:rFonts w:ascii="Book Antiqua" w:hAnsi="Book Antiqua"/>
          <w:sz w:val="24"/>
          <w:szCs w:val="24"/>
        </w:rPr>
        <w:t xml:space="preserve">Tribunal </w:t>
      </w:r>
      <w:r w:rsidRPr="00C80691">
        <w:rPr>
          <w:rFonts w:ascii="Book Antiqua" w:hAnsi="Book Antiqua"/>
          <w:sz w:val="24"/>
          <w:szCs w:val="24"/>
        </w:rPr>
        <w:t xml:space="preserve">Judge Mailer, the issue of jurisdiction has been resolved, following </w:t>
      </w:r>
      <w:r w:rsidR="00BA4D30" w:rsidRPr="00C80691">
        <w:rPr>
          <w:rFonts w:ascii="Book Antiqua" w:hAnsi="Book Antiqua"/>
          <w:sz w:val="24"/>
          <w:szCs w:val="24"/>
        </w:rPr>
        <w:t xml:space="preserve">the Court of Appeal decision in </w:t>
      </w:r>
      <w:r w:rsidR="00AC0C9F" w:rsidRPr="00C80691">
        <w:rPr>
          <w:rFonts w:ascii="Book Antiqua" w:eastAsia="Times New Roman" w:hAnsi="Book Antiqua" w:cs="Arial"/>
          <w:sz w:val="24"/>
          <w:szCs w:val="24"/>
          <w:u w:val="single"/>
          <w:lang w:eastAsia="en-GB"/>
        </w:rPr>
        <w:t>Khan v Secretary of State for the Home Department</w:t>
      </w:r>
      <w:r w:rsidR="00AC0C9F"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[2017] EWCA Civ 1755. </w:t>
      </w:r>
    </w:p>
    <w:p w14:paraId="550DCF92" w14:textId="5B53C93A" w:rsidR="00AC0C9F" w:rsidRPr="00C80691" w:rsidRDefault="00BA4D30" w:rsidP="00AC0C9F">
      <w:pPr>
        <w:numPr>
          <w:ilvl w:val="0"/>
          <w:numId w:val="1"/>
        </w:numPr>
        <w:spacing w:before="240"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80691">
        <w:rPr>
          <w:rFonts w:ascii="Book Antiqua" w:hAnsi="Book Antiqua"/>
          <w:sz w:val="24"/>
          <w:szCs w:val="24"/>
        </w:rPr>
        <w:t xml:space="preserve">The Upper Tribunal has not received any relevant correspondence from either party within the stipulated timeframe. Accordingly, </w:t>
      </w:r>
      <w:r w:rsidR="007058B1">
        <w:rPr>
          <w:rFonts w:ascii="Book Antiqua" w:eastAsia="Times New Roman" w:hAnsi="Book Antiqua" w:cs="Arial"/>
          <w:sz w:val="24"/>
          <w:szCs w:val="24"/>
          <w:lang w:eastAsia="en-GB"/>
        </w:rPr>
        <w:t>the decision of</w:t>
      </w:r>
      <w:r w:rsidR="00AC0C9F"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First-tier Tribunal </w:t>
      </w:r>
      <w:r w:rsidR="007058B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Kelly </w:t>
      </w: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is set aside </w:t>
      </w:r>
      <w:r w:rsidR="00AC0C9F"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and </w:t>
      </w: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the appeals are </w:t>
      </w:r>
      <w:r w:rsidR="00AC0C9F" w:rsidRPr="00C80691">
        <w:rPr>
          <w:rFonts w:ascii="Book Antiqua" w:eastAsia="Times New Roman" w:hAnsi="Book Antiqua" w:cs="Arial"/>
          <w:sz w:val="24"/>
          <w:szCs w:val="24"/>
          <w:lang w:eastAsia="en-GB"/>
        </w:rPr>
        <w:t>remit</w:t>
      </w: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>ted</w:t>
      </w:r>
      <w:r w:rsidR="00AC0C9F"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back to the First-tier Tribunal to be heard afresh. </w:t>
      </w:r>
    </w:p>
    <w:p w14:paraId="0DE0E4AA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07B11252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</w:pPr>
      <w:r w:rsidRPr="00C80691">
        <w:rPr>
          <w:rFonts w:ascii="Book Antiqua" w:eastAsia="Times New Roman" w:hAnsi="Book Antiqua" w:cs="Arial"/>
          <w:b/>
          <w:sz w:val="24"/>
          <w:szCs w:val="24"/>
          <w:u w:val="single"/>
          <w:lang w:eastAsia="en-GB"/>
        </w:rPr>
        <w:t xml:space="preserve">Decision </w:t>
      </w:r>
    </w:p>
    <w:p w14:paraId="2F188EFC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5C32200E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The decision of the First-tier Tribunal is set aside.  </w:t>
      </w:r>
    </w:p>
    <w:p w14:paraId="0A049002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6C1544D0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>The appeal</w:t>
      </w:r>
      <w:r w:rsidR="00BA4D30" w:rsidRPr="00C80691">
        <w:rPr>
          <w:rFonts w:ascii="Book Antiqua" w:eastAsia="Times New Roman" w:hAnsi="Book Antiqua" w:cs="Arial"/>
          <w:sz w:val="24"/>
          <w:szCs w:val="24"/>
          <w:lang w:eastAsia="en-GB"/>
        </w:rPr>
        <w:t>s</w:t>
      </w: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</w:t>
      </w:r>
      <w:r w:rsidR="00BA4D30" w:rsidRPr="00C80691">
        <w:rPr>
          <w:rFonts w:ascii="Book Antiqua" w:eastAsia="Times New Roman" w:hAnsi="Book Antiqua" w:cs="Arial"/>
          <w:sz w:val="24"/>
          <w:szCs w:val="24"/>
          <w:lang w:eastAsia="en-GB"/>
        </w:rPr>
        <w:t>are</w:t>
      </w:r>
      <w:r w:rsidRPr="00C80691">
        <w:rPr>
          <w:rFonts w:ascii="Book Antiqua" w:eastAsia="Times New Roman" w:hAnsi="Book Antiqua" w:cs="Arial"/>
          <w:sz w:val="24"/>
          <w:szCs w:val="24"/>
          <w:lang w:eastAsia="en-GB"/>
        </w:rPr>
        <w:t xml:space="preserve"> remitted to the First-tier Tribunal.</w:t>
      </w:r>
    </w:p>
    <w:p w14:paraId="06FDC039" w14:textId="77777777" w:rsidR="00AC0C9F" w:rsidRPr="00C80691" w:rsidRDefault="00AC0C9F" w:rsidP="00AC0C9F">
      <w:pPr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4FC40A78" w14:textId="77777777" w:rsidR="00AC0C9F" w:rsidRPr="00AC0C9F" w:rsidRDefault="00AC0C9F" w:rsidP="00AC0C9F">
      <w:pPr>
        <w:tabs>
          <w:tab w:val="left" w:pos="2520"/>
        </w:tabs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2ED28D8A" w14:textId="77777777" w:rsidR="00AC0C9F" w:rsidRPr="00AC0C9F" w:rsidRDefault="00AC0C9F" w:rsidP="00AC0C9F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Times New Roman"/>
          <w:sz w:val="24"/>
          <w:szCs w:val="24"/>
          <w:lang w:eastAsia="en-GB"/>
        </w:rPr>
        <w:t xml:space="preserve">Signed: </w:t>
      </w:r>
      <w:r w:rsidRPr="00AC0C9F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</w:r>
      <w:r w:rsidR="00BA4D30">
        <w:rPr>
          <w:rFonts w:ascii="Book Antiqua" w:eastAsia="Times New Roman" w:hAnsi="Book Antiqua" w:cs="Times New Roman"/>
          <w:sz w:val="24"/>
          <w:szCs w:val="24"/>
          <w:lang w:eastAsia="en-GB"/>
        </w:rPr>
        <w:tab/>
        <w:t>Dated: 13.06.2018</w:t>
      </w:r>
    </w:p>
    <w:p w14:paraId="5E8CA8D8" w14:textId="77777777" w:rsidR="00AC0C9F" w:rsidRPr="00AC0C9F" w:rsidRDefault="00AC0C9F" w:rsidP="00AC0C9F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Times New Roman"/>
          <w:noProof/>
          <w:sz w:val="24"/>
          <w:szCs w:val="24"/>
          <w:lang w:eastAsia="en-GB"/>
        </w:rPr>
        <w:drawing>
          <wp:inline distT="0" distB="0" distL="0" distR="0" wp14:anchorId="52CD4412" wp14:editId="27B93584">
            <wp:extent cx="18002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4BC5" w14:textId="77777777" w:rsidR="00AC0C9F" w:rsidRPr="00AC0C9F" w:rsidRDefault="00AC0C9F" w:rsidP="00AC0C9F">
      <w:pPr>
        <w:tabs>
          <w:tab w:val="left" w:pos="2520"/>
        </w:tabs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  <w:r w:rsidRPr="00AC0C9F">
        <w:rPr>
          <w:rFonts w:ascii="Book Antiqua" w:eastAsia="Times New Roman" w:hAnsi="Book Antiqua" w:cs="Times New Roman"/>
          <w:sz w:val="24"/>
          <w:szCs w:val="24"/>
          <w:lang w:eastAsia="en-GB"/>
        </w:rPr>
        <w:t>Upper Tribunal Judge O’Connor</w:t>
      </w:r>
    </w:p>
    <w:p w14:paraId="1F05B496" w14:textId="77777777" w:rsidR="00AC0C9F" w:rsidRPr="00AC0C9F" w:rsidRDefault="00AC0C9F" w:rsidP="00AC0C9F">
      <w:pPr>
        <w:tabs>
          <w:tab w:val="left" w:pos="2520"/>
        </w:tabs>
        <w:spacing w:after="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GB"/>
        </w:rPr>
      </w:pPr>
    </w:p>
    <w:sectPr w:rsidR="00AC0C9F" w:rsidRPr="00AC0C9F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74543" w14:textId="77777777" w:rsidR="00354BC6" w:rsidRDefault="00354BC6">
      <w:pPr>
        <w:spacing w:after="0" w:line="240" w:lineRule="auto"/>
      </w:pPr>
      <w:r>
        <w:separator/>
      </w:r>
    </w:p>
  </w:endnote>
  <w:endnote w:type="continuationSeparator" w:id="0">
    <w:p w14:paraId="0869296B" w14:textId="77777777" w:rsidR="00354BC6" w:rsidRDefault="0035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1864" w14:textId="7E78B418" w:rsidR="00CA2EDD" w:rsidRPr="00F5664C" w:rsidRDefault="00BA4D30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086D0F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A738" w14:textId="77777777" w:rsidR="00CA2EDD" w:rsidRPr="00F5664C" w:rsidRDefault="00BA4D30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92787" w14:textId="77777777" w:rsidR="00354BC6" w:rsidRDefault="00354BC6">
      <w:pPr>
        <w:spacing w:after="0" w:line="240" w:lineRule="auto"/>
      </w:pPr>
      <w:r>
        <w:separator/>
      </w:r>
    </w:p>
  </w:footnote>
  <w:footnote w:type="continuationSeparator" w:id="0">
    <w:p w14:paraId="2098BF44" w14:textId="77777777" w:rsidR="00354BC6" w:rsidRDefault="00354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B99E2" w14:textId="52C5F711" w:rsidR="00407DD8" w:rsidRPr="00407DD8" w:rsidRDefault="00407DD8" w:rsidP="00407DD8">
    <w:pPr>
      <w:tabs>
        <w:tab w:val="right" w:pos="9639"/>
      </w:tabs>
      <w:spacing w:after="0" w:line="240" w:lineRule="auto"/>
      <w:rPr>
        <w:rFonts w:ascii="Book Antiqua" w:eastAsia="Times New Roman" w:hAnsi="Book Antiqua" w:cs="Arial"/>
        <w:caps/>
        <w:sz w:val="16"/>
        <w:szCs w:val="16"/>
        <w:lang w:eastAsia="en-GB"/>
      </w:rPr>
    </w:pPr>
    <w:r>
      <w:rPr>
        <w:rFonts w:ascii="Book Antiqua" w:eastAsia="Times New Roman" w:hAnsi="Book Antiqua" w:cs="Arial"/>
        <w:sz w:val="16"/>
        <w:szCs w:val="16"/>
        <w:lang w:eastAsia="en-GB"/>
      </w:rPr>
      <w:tab/>
    </w:r>
    <w:r w:rsidRPr="00407DD8">
      <w:rPr>
        <w:rFonts w:ascii="Book Antiqua" w:eastAsia="Times New Roman" w:hAnsi="Book Antiqua" w:cs="Arial"/>
        <w:sz w:val="16"/>
        <w:szCs w:val="16"/>
        <w:lang w:eastAsia="en-GB"/>
      </w:rPr>
      <w:t xml:space="preserve">Appeal Number: </w:t>
    </w:r>
    <w:r w:rsidRPr="00407DD8">
      <w:rPr>
        <w:rFonts w:ascii="Book Antiqua" w:eastAsia="Times New Roman" w:hAnsi="Book Antiqua" w:cs="Arial"/>
        <w:caps/>
        <w:sz w:val="16"/>
        <w:szCs w:val="16"/>
        <w:lang w:eastAsia="en-GB"/>
      </w:rPr>
      <w:t>EA/04069/2016</w:t>
    </w:r>
  </w:p>
  <w:p w14:paraId="41DB7BEC" w14:textId="77777777" w:rsidR="00407DD8" w:rsidRPr="00407DD8" w:rsidRDefault="00407DD8" w:rsidP="00407DD8">
    <w:pPr>
      <w:tabs>
        <w:tab w:val="right" w:pos="9639"/>
      </w:tabs>
      <w:spacing w:after="0" w:line="240" w:lineRule="auto"/>
      <w:rPr>
        <w:rFonts w:ascii="Book Antiqua" w:eastAsia="Times New Roman" w:hAnsi="Book Antiqua" w:cs="Arial"/>
        <w:caps/>
        <w:sz w:val="16"/>
        <w:szCs w:val="16"/>
        <w:lang w:eastAsia="en-GB"/>
      </w:rPr>
    </w:pPr>
    <w:r w:rsidRPr="00407DD8">
      <w:rPr>
        <w:rFonts w:ascii="Book Antiqua" w:eastAsia="Times New Roman" w:hAnsi="Book Antiqua" w:cs="Arial"/>
        <w:caps/>
        <w:sz w:val="16"/>
        <w:szCs w:val="16"/>
        <w:lang w:eastAsia="en-GB"/>
      </w:rPr>
      <w:tab/>
      <w:t>EA/04071/2016</w:t>
    </w:r>
  </w:p>
  <w:p w14:paraId="1C2DF137" w14:textId="77777777" w:rsidR="00407DD8" w:rsidRPr="00407DD8" w:rsidRDefault="00407DD8" w:rsidP="00407DD8">
    <w:pPr>
      <w:tabs>
        <w:tab w:val="right" w:pos="9639"/>
      </w:tabs>
      <w:spacing w:after="0" w:line="240" w:lineRule="auto"/>
      <w:rPr>
        <w:rFonts w:ascii="Book Antiqua" w:eastAsia="Times New Roman" w:hAnsi="Book Antiqua" w:cs="Arial"/>
        <w:sz w:val="16"/>
        <w:szCs w:val="16"/>
        <w:lang w:eastAsia="en-GB"/>
      </w:rPr>
    </w:pPr>
    <w:r w:rsidRPr="00407DD8">
      <w:rPr>
        <w:rFonts w:ascii="Book Antiqua" w:eastAsia="Times New Roman" w:hAnsi="Book Antiqua" w:cs="Arial"/>
        <w:caps/>
        <w:sz w:val="16"/>
        <w:szCs w:val="16"/>
        <w:lang w:eastAsia="en-GB"/>
      </w:rPr>
      <w:tab/>
      <w:t>EA/04074/2016</w:t>
    </w:r>
  </w:p>
  <w:p w14:paraId="6B7A30BD" w14:textId="0296F898" w:rsidR="00CA2EDD" w:rsidRPr="00407DD8" w:rsidRDefault="00086D0F" w:rsidP="00407DD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F21A9" w14:textId="77777777" w:rsidR="00CA2EDD" w:rsidRPr="00F5664C" w:rsidRDefault="00BA4D30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9F"/>
    <w:rsid w:val="00016A42"/>
    <w:rsid w:val="00086D0F"/>
    <w:rsid w:val="00317505"/>
    <w:rsid w:val="00354BC6"/>
    <w:rsid w:val="00407DD8"/>
    <w:rsid w:val="004A0824"/>
    <w:rsid w:val="004D42BE"/>
    <w:rsid w:val="007058B1"/>
    <w:rsid w:val="0084704B"/>
    <w:rsid w:val="008A17E1"/>
    <w:rsid w:val="00914569"/>
    <w:rsid w:val="00AC0C9F"/>
    <w:rsid w:val="00B55814"/>
    <w:rsid w:val="00BA4D30"/>
    <w:rsid w:val="00C80691"/>
    <w:rsid w:val="00CC18E6"/>
    <w:rsid w:val="00D0592F"/>
    <w:rsid w:val="00D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9EA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9F"/>
  </w:style>
  <w:style w:type="paragraph" w:styleId="Footer">
    <w:name w:val="footer"/>
    <w:basedOn w:val="Normal"/>
    <w:link w:val="FooterChar"/>
    <w:uiPriority w:val="99"/>
    <w:unhideWhenUsed/>
    <w:rsid w:val="00AC0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9F"/>
  </w:style>
  <w:style w:type="character" w:styleId="PageNumber">
    <w:name w:val="page number"/>
    <w:basedOn w:val="DefaultParagraphFont"/>
    <w:rsid w:val="00AC0C9F"/>
  </w:style>
  <w:style w:type="paragraph" w:styleId="BalloonText">
    <w:name w:val="Balloon Text"/>
    <w:basedOn w:val="Normal"/>
    <w:link w:val="BalloonTextChar"/>
    <w:uiPriority w:val="99"/>
    <w:semiHidden/>
    <w:unhideWhenUsed/>
    <w:rsid w:val="00BA4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2018-07-10T13:56:00Z</dcterms:created>
  <dcterms:modified xsi:type="dcterms:W3CDTF">2018-07-10T13:56:00Z</dcterms:modified>
</cp:coreProperties>
</file>