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F97703" w:rsidRDefault="00933B65" w:rsidP="00933B65">
      <w:pPr>
        <w:rPr>
          <w:rFonts w:ascii="Book Antiqua" w:hAnsi="Book Antiqua" w:cs="Arial"/>
          <w:color w:val="000000"/>
          <w:sz w:val="16"/>
          <w:szCs w:val="16"/>
        </w:rPr>
      </w:pPr>
    </w:p>
    <w:p w:rsidR="00933B65" w:rsidRDefault="00ED079F"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339BB" w:rsidRPr="00F97703" w:rsidRDefault="00933B65" w:rsidP="0063189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0F03A5">
        <w:rPr>
          <w:rFonts w:ascii="Book Antiqua" w:hAnsi="Book Antiqua" w:cs="Arial"/>
          <w:color w:val="000000"/>
        </w:rPr>
        <w:t>EA/0</w:t>
      </w:r>
      <w:r w:rsidR="003B1CC1">
        <w:rPr>
          <w:rFonts w:ascii="Book Antiqua" w:hAnsi="Book Antiqua" w:cs="Arial"/>
          <w:color w:val="000000"/>
        </w:rPr>
        <w:t>4297</w:t>
      </w:r>
      <w:r w:rsidR="000F03A5">
        <w:rPr>
          <w:rFonts w:ascii="Book Antiqua" w:hAnsi="Book Antiqua" w:cs="Arial"/>
          <w:color w:val="000000"/>
        </w:rPr>
        <w:t>/2017</w:t>
      </w:r>
      <w:bookmarkEnd w:id="0"/>
    </w:p>
    <w:p w:rsidR="00933B65" w:rsidRPr="00F97703" w:rsidRDefault="00933B65" w:rsidP="00933B65">
      <w:pPr>
        <w:jc w:val="center"/>
        <w:rPr>
          <w:rFonts w:ascii="Book Antiqua" w:hAnsi="Book Antiqua" w:cs="Arial"/>
          <w:color w:val="000000"/>
        </w:rPr>
      </w:pPr>
    </w:p>
    <w:p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1"/>
        <w:gridCol w:w="3727"/>
      </w:tblGrid>
      <w:tr w:rsidR="00933B65" w:rsidRPr="00E073AD" w:rsidTr="00E073AD">
        <w:tc>
          <w:tcPr>
            <w:tcW w:w="6048" w:type="dxa"/>
            <w:shd w:val="clear" w:color="auto" w:fill="auto"/>
          </w:tcPr>
          <w:p w:rsidR="00933B65" w:rsidRPr="00E073AD" w:rsidRDefault="00933B65" w:rsidP="000C0334">
            <w:pPr>
              <w:jc w:val="both"/>
              <w:rPr>
                <w:rFonts w:ascii="Book Antiqua" w:hAnsi="Book Antiqua" w:cs="Arial"/>
                <w:b/>
              </w:rPr>
            </w:pPr>
            <w:r w:rsidRPr="00E073AD">
              <w:rPr>
                <w:rFonts w:ascii="Book Antiqua" w:hAnsi="Book Antiqua" w:cs="Arial"/>
                <w:b/>
              </w:rPr>
              <w:t xml:space="preserve">Heard </w:t>
            </w:r>
            <w:r w:rsidR="001E76AB">
              <w:rPr>
                <w:rFonts w:ascii="Book Antiqua" w:hAnsi="Book Antiqua" w:cs="Arial"/>
                <w:b/>
              </w:rPr>
              <w:t>at Field House</w:t>
            </w:r>
          </w:p>
        </w:tc>
        <w:tc>
          <w:tcPr>
            <w:tcW w:w="3780" w:type="dxa"/>
            <w:shd w:val="clear" w:color="auto" w:fill="auto"/>
          </w:tcPr>
          <w:p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Determination Promulgated</w:t>
            </w:r>
          </w:p>
        </w:tc>
      </w:tr>
      <w:tr w:rsidR="00933B65" w:rsidRPr="00E073AD" w:rsidTr="00E073AD">
        <w:tc>
          <w:tcPr>
            <w:tcW w:w="6048" w:type="dxa"/>
            <w:shd w:val="clear" w:color="auto" w:fill="auto"/>
          </w:tcPr>
          <w:p w:rsidR="00933B65" w:rsidRPr="00E073AD" w:rsidRDefault="00933B65" w:rsidP="006C7C57">
            <w:pPr>
              <w:jc w:val="both"/>
              <w:rPr>
                <w:rFonts w:ascii="Book Antiqua" w:hAnsi="Book Antiqua" w:cs="Arial"/>
                <w:b/>
              </w:rPr>
            </w:pPr>
            <w:r w:rsidRPr="00E073AD">
              <w:rPr>
                <w:rFonts w:ascii="Book Antiqua" w:hAnsi="Book Antiqua" w:cs="Arial"/>
                <w:b/>
              </w:rPr>
              <w:t xml:space="preserve">On </w:t>
            </w:r>
            <w:r w:rsidR="003B1CC1">
              <w:rPr>
                <w:rFonts w:ascii="Book Antiqua" w:hAnsi="Book Antiqua" w:cs="Arial"/>
                <w:b/>
              </w:rPr>
              <w:t>Friday 31</w:t>
            </w:r>
            <w:r w:rsidR="00011DE7">
              <w:rPr>
                <w:rFonts w:ascii="Book Antiqua" w:hAnsi="Book Antiqua" w:cs="Arial"/>
                <w:b/>
              </w:rPr>
              <w:t xml:space="preserve"> August</w:t>
            </w:r>
            <w:r w:rsidR="00930425">
              <w:rPr>
                <w:rFonts w:ascii="Book Antiqua" w:hAnsi="Book Antiqua" w:cs="Arial"/>
                <w:b/>
              </w:rPr>
              <w:t xml:space="preserve"> 2018</w:t>
            </w:r>
          </w:p>
        </w:tc>
        <w:tc>
          <w:tcPr>
            <w:tcW w:w="3780" w:type="dxa"/>
            <w:shd w:val="clear" w:color="auto" w:fill="auto"/>
          </w:tcPr>
          <w:p w:rsidR="00933B65" w:rsidRPr="00E073AD" w:rsidRDefault="00ED079F" w:rsidP="00E073AD">
            <w:pPr>
              <w:jc w:val="both"/>
              <w:rPr>
                <w:rFonts w:ascii="Book Antiqua" w:hAnsi="Book Antiqua" w:cs="Arial"/>
                <w:b/>
              </w:rPr>
            </w:pPr>
            <w:r w:rsidRPr="00E073AD">
              <w:rPr>
                <w:rFonts w:ascii="Book Antiqua" w:hAnsi="Book Antiqua" w:cs="Arial"/>
                <w:b/>
              </w:rPr>
              <w:t xml:space="preserve">On </w:t>
            </w:r>
            <w:r>
              <w:rPr>
                <w:rFonts w:ascii="Book Antiqua" w:hAnsi="Book Antiqua" w:cs="Arial"/>
                <w:b/>
              </w:rPr>
              <w:t>Monday 17 September 2018</w:t>
            </w:r>
          </w:p>
        </w:tc>
      </w:tr>
      <w:tr w:rsidR="00933B65" w:rsidRPr="00E073AD" w:rsidTr="00E073AD">
        <w:tc>
          <w:tcPr>
            <w:tcW w:w="6048" w:type="dxa"/>
            <w:shd w:val="clear" w:color="auto" w:fill="auto"/>
          </w:tcPr>
          <w:p w:rsidR="00933B65" w:rsidRPr="00E073AD" w:rsidRDefault="00933B65" w:rsidP="00E073AD">
            <w:pPr>
              <w:jc w:val="both"/>
              <w:rPr>
                <w:rFonts w:ascii="Book Antiqua" w:hAnsi="Book Antiqua" w:cs="Arial"/>
                <w:b/>
              </w:rPr>
            </w:pPr>
          </w:p>
        </w:tc>
        <w:tc>
          <w:tcPr>
            <w:tcW w:w="3780"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443731" w:rsidRPr="00F97703" w:rsidRDefault="00443731"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E468D9" w:rsidRPr="00F97703" w:rsidRDefault="00E468D9"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4410A2" w:rsidRDefault="003B1CC1" w:rsidP="00933B65">
      <w:pPr>
        <w:jc w:val="center"/>
        <w:rPr>
          <w:rFonts w:ascii="Book Antiqua" w:hAnsi="Book Antiqua" w:cs="Arial"/>
          <w:b/>
        </w:rPr>
      </w:pPr>
      <w:r>
        <w:rPr>
          <w:rFonts w:ascii="Book Antiqua" w:hAnsi="Book Antiqua" w:cs="Arial"/>
          <w:b/>
        </w:rPr>
        <w:t>MR RAHCHANSINGH BILTA</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C339BB" w:rsidRPr="00F97703" w:rsidRDefault="00011DE7" w:rsidP="00C339BB">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0C5D5F">
      <w:pPr>
        <w:tabs>
          <w:tab w:val="left" w:pos="2520"/>
        </w:tabs>
        <w:ind w:left="2160" w:hanging="2160"/>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3B1CC1">
        <w:rPr>
          <w:rFonts w:ascii="Book Antiqua" w:hAnsi="Book Antiqua" w:cs="Arial"/>
        </w:rPr>
        <w:t>Mr P Turner, Counsel instructed by Raj Law solicitors</w:t>
      </w:r>
      <w:r w:rsidR="005920A7">
        <w:rPr>
          <w:rFonts w:ascii="Book Antiqua" w:hAnsi="Book Antiqua" w:cs="Arial"/>
        </w:rPr>
        <w:t xml:space="preserve"> </w:t>
      </w:r>
    </w:p>
    <w:p w:rsidR="00933B65" w:rsidRDefault="00933B65" w:rsidP="00115648">
      <w:pPr>
        <w:tabs>
          <w:tab w:val="left" w:pos="2520"/>
        </w:tabs>
        <w:rPr>
          <w:rFonts w:ascii="Book Antiqua" w:hAnsi="Book Antiqua" w:cs="Arial"/>
        </w:rPr>
      </w:pPr>
      <w:r w:rsidRPr="00F97703">
        <w:rPr>
          <w:rFonts w:ascii="Book Antiqua" w:hAnsi="Book Antiqua" w:cs="Arial"/>
        </w:rPr>
        <w:t>For the Respondent:</w:t>
      </w:r>
      <w:r w:rsidR="006D440F">
        <w:rPr>
          <w:rFonts w:ascii="Book Antiqua" w:hAnsi="Book Antiqua" w:cs="Arial"/>
        </w:rPr>
        <w:t xml:space="preserve"> </w:t>
      </w:r>
      <w:r w:rsidR="003610A9">
        <w:rPr>
          <w:rFonts w:ascii="Book Antiqua" w:hAnsi="Book Antiqua" w:cs="Arial"/>
        </w:rPr>
        <w:t>Mr</w:t>
      </w:r>
      <w:r w:rsidR="003B1CC1">
        <w:rPr>
          <w:rFonts w:ascii="Book Antiqua" w:hAnsi="Book Antiqua" w:cs="Arial"/>
        </w:rPr>
        <w:t xml:space="preserve"> S Walker</w:t>
      </w:r>
      <w:r w:rsidR="00D80E8E">
        <w:rPr>
          <w:rFonts w:ascii="Book Antiqua" w:hAnsi="Book Antiqua" w:cs="Arial"/>
        </w:rPr>
        <w:t>, Senior Home Office Presenting Officer</w:t>
      </w:r>
    </w:p>
    <w:p w:rsidR="00002486" w:rsidRDefault="00002486"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02486" w:rsidRPr="008A3B24" w:rsidRDefault="00E43B9A" w:rsidP="00002486">
      <w:pPr>
        <w:tabs>
          <w:tab w:val="left" w:pos="567"/>
        </w:tabs>
        <w:jc w:val="both"/>
        <w:outlineLvl w:val="0"/>
        <w:rPr>
          <w:rFonts w:ascii="Book Antiqua" w:hAnsi="Book Antiqua" w:cs="Arial"/>
          <w:b/>
          <w:u w:val="single"/>
        </w:rPr>
      </w:pPr>
      <w:r>
        <w:rPr>
          <w:rFonts w:ascii="Book Antiqua" w:hAnsi="Book Antiqua" w:cs="Arial"/>
          <w:b/>
        </w:rPr>
        <w:tab/>
      </w:r>
      <w:r w:rsidR="00C36806" w:rsidRPr="008A3B24">
        <w:rPr>
          <w:rFonts w:ascii="Book Antiqua" w:hAnsi="Book Antiqua" w:cs="Arial"/>
          <w:b/>
          <w:u w:val="single"/>
        </w:rPr>
        <w:t>BACKGROUND</w:t>
      </w:r>
    </w:p>
    <w:p w:rsidR="00002486" w:rsidRDefault="00002486" w:rsidP="00002486">
      <w:pPr>
        <w:tabs>
          <w:tab w:val="left" w:pos="567"/>
        </w:tabs>
        <w:jc w:val="both"/>
        <w:rPr>
          <w:rFonts w:ascii="Book Antiqua" w:hAnsi="Book Antiqua" w:cs="Arial"/>
        </w:rPr>
      </w:pPr>
    </w:p>
    <w:p w:rsidR="00E7182D" w:rsidRDefault="00002486" w:rsidP="006B121B">
      <w:pPr>
        <w:numPr>
          <w:ilvl w:val="0"/>
          <w:numId w:val="5"/>
        </w:numPr>
        <w:tabs>
          <w:tab w:val="left" w:pos="567"/>
        </w:tabs>
        <w:jc w:val="both"/>
        <w:rPr>
          <w:rFonts w:ascii="Book Antiqua" w:hAnsi="Book Antiqua" w:cs="Arial"/>
        </w:rPr>
      </w:pPr>
      <w:r w:rsidRPr="00E7182D">
        <w:rPr>
          <w:rFonts w:ascii="Book Antiqua" w:hAnsi="Book Antiqua" w:cs="Arial"/>
        </w:rPr>
        <w:t xml:space="preserve">The </w:t>
      </w:r>
      <w:r w:rsidR="00D80E8E" w:rsidRPr="00E7182D">
        <w:rPr>
          <w:rFonts w:ascii="Book Antiqua" w:hAnsi="Book Antiqua" w:cs="Arial"/>
        </w:rPr>
        <w:t>Appellant</w:t>
      </w:r>
      <w:r w:rsidRPr="00E7182D">
        <w:rPr>
          <w:rFonts w:ascii="Book Antiqua" w:hAnsi="Book Antiqua" w:cs="Arial"/>
        </w:rPr>
        <w:t xml:space="preserve"> appeal</w:t>
      </w:r>
      <w:r w:rsidR="00283B9A" w:rsidRPr="00E7182D">
        <w:rPr>
          <w:rFonts w:ascii="Book Antiqua" w:hAnsi="Book Antiqua" w:cs="Arial"/>
        </w:rPr>
        <w:t>s</w:t>
      </w:r>
      <w:r w:rsidRPr="00E7182D">
        <w:rPr>
          <w:rFonts w:ascii="Book Antiqua" w:hAnsi="Book Antiqua" w:cs="Arial"/>
        </w:rPr>
        <w:t xml:space="preserve"> against a decision of First-Tier Tribunal Judge</w:t>
      </w:r>
      <w:r w:rsidR="00834C92" w:rsidRPr="00E7182D">
        <w:rPr>
          <w:rFonts w:ascii="Book Antiqua" w:hAnsi="Book Antiqua" w:cs="Arial"/>
        </w:rPr>
        <w:t xml:space="preserve"> </w:t>
      </w:r>
      <w:r w:rsidR="00137C62">
        <w:rPr>
          <w:rFonts w:ascii="Book Antiqua" w:hAnsi="Book Antiqua" w:cs="Arial"/>
        </w:rPr>
        <w:t>Young-Harry</w:t>
      </w:r>
      <w:r w:rsidR="00283B9A" w:rsidRPr="00E7182D">
        <w:rPr>
          <w:rFonts w:ascii="Book Antiqua" w:hAnsi="Book Antiqua" w:cs="Arial"/>
        </w:rPr>
        <w:t xml:space="preserve"> </w:t>
      </w:r>
      <w:r w:rsidRPr="00E7182D">
        <w:rPr>
          <w:rFonts w:ascii="Book Antiqua" w:hAnsi="Book Antiqua" w:cs="Arial"/>
        </w:rPr>
        <w:t xml:space="preserve">promulgated on </w:t>
      </w:r>
      <w:r w:rsidR="00137C62">
        <w:rPr>
          <w:rFonts w:ascii="Book Antiqua" w:hAnsi="Book Antiqua" w:cs="Arial"/>
        </w:rPr>
        <w:t>12 March 2018</w:t>
      </w:r>
      <w:r w:rsidRPr="00E7182D">
        <w:rPr>
          <w:rFonts w:ascii="Book Antiqua" w:hAnsi="Book Antiqua" w:cs="Arial"/>
        </w:rPr>
        <w:t xml:space="preserve"> (“the Decision”) </w:t>
      </w:r>
      <w:r w:rsidR="00D80E8E" w:rsidRPr="00E7182D">
        <w:rPr>
          <w:rFonts w:ascii="Book Antiqua" w:hAnsi="Book Antiqua" w:cs="Arial"/>
        </w:rPr>
        <w:t>dismissing h</w:t>
      </w:r>
      <w:r w:rsidR="00930425" w:rsidRPr="00E7182D">
        <w:rPr>
          <w:rFonts w:ascii="Book Antiqua" w:hAnsi="Book Antiqua" w:cs="Arial"/>
        </w:rPr>
        <w:t>is</w:t>
      </w:r>
      <w:r w:rsidRPr="00E7182D">
        <w:rPr>
          <w:rFonts w:ascii="Book Antiqua" w:hAnsi="Book Antiqua" w:cs="Arial"/>
        </w:rPr>
        <w:t xml:space="preserve"> appeal against </w:t>
      </w:r>
      <w:r w:rsidR="00D80E8E" w:rsidRPr="00E7182D">
        <w:rPr>
          <w:rFonts w:ascii="Book Antiqua" w:hAnsi="Book Antiqua" w:cs="Arial"/>
        </w:rPr>
        <w:t xml:space="preserve">the </w:t>
      </w:r>
      <w:r w:rsidR="00223294" w:rsidRPr="00E7182D">
        <w:rPr>
          <w:rFonts w:ascii="Book Antiqua" w:hAnsi="Book Antiqua" w:cs="Arial"/>
        </w:rPr>
        <w:t xml:space="preserve">Respondent’s </w:t>
      </w:r>
      <w:r w:rsidRPr="00E7182D">
        <w:rPr>
          <w:rFonts w:ascii="Book Antiqua" w:hAnsi="Book Antiqua" w:cs="Arial"/>
        </w:rPr>
        <w:t xml:space="preserve">decision </w:t>
      </w:r>
      <w:r w:rsidR="00223294" w:rsidRPr="00E7182D">
        <w:rPr>
          <w:rFonts w:ascii="Book Antiqua" w:hAnsi="Book Antiqua" w:cs="Arial"/>
        </w:rPr>
        <w:t xml:space="preserve">dated </w:t>
      </w:r>
      <w:r w:rsidR="00137C62">
        <w:rPr>
          <w:rFonts w:ascii="Book Antiqua" w:hAnsi="Book Antiqua" w:cs="Arial"/>
        </w:rPr>
        <w:t>5 February</w:t>
      </w:r>
      <w:r w:rsidR="00E7182D" w:rsidRPr="00E7182D">
        <w:rPr>
          <w:rFonts w:ascii="Book Antiqua" w:hAnsi="Book Antiqua" w:cs="Arial"/>
        </w:rPr>
        <w:t xml:space="preserve"> 2017</w:t>
      </w:r>
      <w:r w:rsidR="00834C92" w:rsidRPr="00E7182D">
        <w:rPr>
          <w:rFonts w:ascii="Book Antiqua" w:hAnsi="Book Antiqua" w:cs="Arial"/>
        </w:rPr>
        <w:t xml:space="preserve"> </w:t>
      </w:r>
      <w:r w:rsidR="00137C62">
        <w:rPr>
          <w:rFonts w:ascii="Book Antiqua" w:hAnsi="Book Antiqua" w:cs="Arial"/>
        </w:rPr>
        <w:t>refusing him a residence card on either a permanent or retained basis as the former family member of an EEA national exercising Treaty rights in the UK</w:t>
      </w:r>
      <w:r w:rsidR="00640548">
        <w:rPr>
          <w:rFonts w:ascii="Book Antiqua" w:hAnsi="Book Antiqua" w:cs="Arial"/>
        </w:rPr>
        <w:t xml:space="preserve">, Miss </w:t>
      </w:r>
      <w:r w:rsidR="004606D5">
        <w:rPr>
          <w:rFonts w:ascii="Book Antiqua" w:hAnsi="Book Antiqua" w:cs="Arial"/>
        </w:rPr>
        <w:t>[</w:t>
      </w:r>
      <w:r w:rsidR="00640548">
        <w:rPr>
          <w:rFonts w:ascii="Book Antiqua" w:hAnsi="Book Antiqua" w:cs="Arial"/>
        </w:rPr>
        <w:t>M</w:t>
      </w:r>
      <w:r w:rsidR="004606D5">
        <w:rPr>
          <w:rFonts w:ascii="Book Antiqua" w:hAnsi="Book Antiqua" w:cs="Arial"/>
        </w:rPr>
        <w:t xml:space="preserve"> </w:t>
      </w:r>
      <w:r w:rsidR="00640548">
        <w:rPr>
          <w:rFonts w:ascii="Book Antiqua" w:hAnsi="Book Antiqua" w:cs="Arial"/>
        </w:rPr>
        <w:t>C</w:t>
      </w:r>
      <w:r w:rsidR="004606D5">
        <w:rPr>
          <w:rFonts w:ascii="Book Antiqua" w:hAnsi="Book Antiqua" w:cs="Arial"/>
        </w:rPr>
        <w:t>]</w:t>
      </w:r>
      <w:r w:rsidR="00640548">
        <w:rPr>
          <w:rFonts w:ascii="Book Antiqua" w:hAnsi="Book Antiqua" w:cs="Arial"/>
        </w:rPr>
        <w:t xml:space="preserve">, who is a </w:t>
      </w:r>
      <w:r w:rsidR="00282376">
        <w:rPr>
          <w:rFonts w:ascii="Book Antiqua" w:hAnsi="Book Antiqua" w:cs="Arial"/>
        </w:rPr>
        <w:t>Czech national</w:t>
      </w:r>
      <w:r w:rsidR="00137C62">
        <w:rPr>
          <w:rFonts w:ascii="Book Antiqua" w:hAnsi="Book Antiqua" w:cs="Arial"/>
        </w:rPr>
        <w:t>.  Both parties are agreed that, due to the timing of the Appellant’s application to the Respondent and the relevant transitional arrangements, the governing regulations are t</w:t>
      </w:r>
      <w:r w:rsidR="006001A3">
        <w:rPr>
          <w:rFonts w:ascii="Book Antiqua" w:hAnsi="Book Antiqua" w:cs="Arial"/>
        </w:rPr>
        <w:t>he Immigration (European Economic Area) Regulations 2006</w:t>
      </w:r>
      <w:r w:rsidR="00137C62">
        <w:rPr>
          <w:rFonts w:ascii="Book Antiqua" w:hAnsi="Book Antiqua" w:cs="Arial"/>
        </w:rPr>
        <w:t xml:space="preserve"> (“the Regulations”).  </w:t>
      </w:r>
      <w:r w:rsidR="006001A3">
        <w:rPr>
          <w:rFonts w:ascii="Book Antiqua" w:hAnsi="Book Antiqua" w:cs="Arial"/>
        </w:rPr>
        <w:t xml:space="preserve">The Judge </w:t>
      </w:r>
      <w:r w:rsidR="00137C62">
        <w:rPr>
          <w:rFonts w:ascii="Book Antiqua" w:hAnsi="Book Antiqua" w:cs="Arial"/>
        </w:rPr>
        <w:t xml:space="preserve">concluded that the Appellant could not satisfy the Regulations either in relation to permanent residence or a retained right of residence and therefore dismissed the appeal. </w:t>
      </w:r>
    </w:p>
    <w:p w:rsidR="00443B94" w:rsidRDefault="00443B94" w:rsidP="00443B94">
      <w:pPr>
        <w:tabs>
          <w:tab w:val="left" w:pos="567"/>
        </w:tabs>
        <w:ind w:left="927"/>
        <w:jc w:val="both"/>
        <w:rPr>
          <w:rFonts w:ascii="Book Antiqua" w:hAnsi="Book Antiqua" w:cs="Arial"/>
        </w:rPr>
      </w:pPr>
    </w:p>
    <w:p w:rsidR="00137C62" w:rsidRDefault="00137C62" w:rsidP="006B121B">
      <w:pPr>
        <w:numPr>
          <w:ilvl w:val="0"/>
          <w:numId w:val="5"/>
        </w:numPr>
        <w:tabs>
          <w:tab w:val="left" w:pos="567"/>
        </w:tabs>
        <w:jc w:val="both"/>
        <w:rPr>
          <w:rFonts w:ascii="Book Antiqua" w:hAnsi="Book Antiqua" w:cs="Arial"/>
        </w:rPr>
      </w:pPr>
      <w:r>
        <w:rPr>
          <w:rFonts w:ascii="Book Antiqua" w:hAnsi="Book Antiqua" w:cs="Arial"/>
        </w:rPr>
        <w:t xml:space="preserve">The Appellant challenges the Decision on three grounds.  First, he says that the Judge has erred by failing to consider a document from HMRC relating to </w:t>
      </w:r>
      <w:r w:rsidR="00282376">
        <w:rPr>
          <w:rFonts w:ascii="Book Antiqua" w:hAnsi="Book Antiqua" w:cs="Arial"/>
        </w:rPr>
        <w:t xml:space="preserve">Ms </w:t>
      </w:r>
      <w:r w:rsidR="004606D5">
        <w:rPr>
          <w:rFonts w:ascii="Book Antiqua" w:hAnsi="Book Antiqua" w:cs="Arial"/>
        </w:rPr>
        <w:t>[</w:t>
      </w:r>
      <w:r w:rsidR="00282376">
        <w:rPr>
          <w:rFonts w:ascii="Book Antiqua" w:hAnsi="Book Antiqua" w:cs="Arial"/>
        </w:rPr>
        <w:t>C</w:t>
      </w:r>
      <w:r w:rsidR="004606D5">
        <w:rPr>
          <w:rFonts w:ascii="Book Antiqua" w:hAnsi="Book Antiqua" w:cs="Arial"/>
        </w:rPr>
        <w:t>]</w:t>
      </w:r>
      <w:r>
        <w:rPr>
          <w:rFonts w:ascii="Book Antiqua" w:hAnsi="Book Antiqua" w:cs="Arial"/>
        </w:rPr>
        <w:t xml:space="preserve">’s employment.  Second, he says that the Judge applied the wrong date when assessing whether the </w:t>
      </w:r>
      <w:r w:rsidR="006E7F8E">
        <w:rPr>
          <w:rFonts w:ascii="Book Antiqua" w:hAnsi="Book Antiqua" w:cs="Arial"/>
        </w:rPr>
        <w:t>Appellant could satisfy the requirements for a retained right of residence</w:t>
      </w:r>
      <w:r w:rsidR="00C36806">
        <w:rPr>
          <w:rFonts w:ascii="Book Antiqua" w:hAnsi="Book Antiqua" w:cs="Arial"/>
        </w:rPr>
        <w:t>.  T</w:t>
      </w:r>
      <w:r w:rsidR="006E7F8E">
        <w:rPr>
          <w:rFonts w:ascii="Book Antiqua" w:hAnsi="Book Antiqua" w:cs="Arial"/>
        </w:rPr>
        <w:t xml:space="preserve">he Judge applied the date of termination of the marriage; the Appellant says it should have been the date when divorce proceedings were initiated (which he says was on 4 November 2015).  Third, he says that, due to the Judge’s failure to take into account the HMRC evidence, the Judge has wrongly concluded that </w:t>
      </w:r>
      <w:r w:rsidR="00282376">
        <w:rPr>
          <w:rFonts w:ascii="Book Antiqua" w:hAnsi="Book Antiqua" w:cs="Arial"/>
        </w:rPr>
        <w:t xml:space="preserve">Ms </w:t>
      </w:r>
      <w:r w:rsidR="004606D5">
        <w:rPr>
          <w:rFonts w:ascii="Book Antiqua" w:hAnsi="Book Antiqua" w:cs="Arial"/>
        </w:rPr>
        <w:t>[C]</w:t>
      </w:r>
      <w:r w:rsidR="006E7F8E">
        <w:rPr>
          <w:rFonts w:ascii="Book Antiqua" w:hAnsi="Book Antiqua" w:cs="Arial"/>
        </w:rPr>
        <w:t xml:space="preserve"> had not been exercising Treaty rights for a period of five years (which might then impact on the Appellant’s entitlement to permanent residence). </w:t>
      </w:r>
    </w:p>
    <w:p w:rsidR="00137C62" w:rsidRDefault="00137C62" w:rsidP="00137C62">
      <w:pPr>
        <w:pStyle w:val="ListParagraph"/>
        <w:rPr>
          <w:rFonts w:ascii="Book Antiqua" w:hAnsi="Book Antiqua" w:cs="Arial"/>
        </w:rPr>
      </w:pPr>
    </w:p>
    <w:p w:rsidR="006001A3" w:rsidRDefault="006001A3" w:rsidP="006B121B">
      <w:pPr>
        <w:numPr>
          <w:ilvl w:val="0"/>
          <w:numId w:val="5"/>
        </w:numPr>
        <w:tabs>
          <w:tab w:val="left" w:pos="567"/>
        </w:tabs>
        <w:jc w:val="both"/>
        <w:rPr>
          <w:rFonts w:ascii="Book Antiqua" w:hAnsi="Book Antiqua" w:cs="Arial"/>
        </w:rPr>
      </w:pPr>
      <w:r>
        <w:rPr>
          <w:rFonts w:ascii="Book Antiqua" w:hAnsi="Book Antiqua" w:cs="Arial"/>
        </w:rPr>
        <w:t xml:space="preserve">Permission to appeal was refused by First-tier Tribunal Judge </w:t>
      </w:r>
      <w:r w:rsidR="00137C62">
        <w:rPr>
          <w:rFonts w:ascii="Book Antiqua" w:hAnsi="Book Antiqua" w:cs="Arial"/>
        </w:rPr>
        <w:t>Simpson</w:t>
      </w:r>
      <w:r>
        <w:rPr>
          <w:rFonts w:ascii="Book Antiqua" w:hAnsi="Book Antiqua" w:cs="Arial"/>
        </w:rPr>
        <w:t xml:space="preserve"> on </w:t>
      </w:r>
      <w:r w:rsidR="00137C62">
        <w:rPr>
          <w:rFonts w:ascii="Book Antiqua" w:hAnsi="Book Antiqua" w:cs="Arial"/>
        </w:rPr>
        <w:t>15 May</w:t>
      </w:r>
      <w:r>
        <w:rPr>
          <w:rFonts w:ascii="Book Antiqua" w:hAnsi="Book Antiqua" w:cs="Arial"/>
        </w:rPr>
        <w:t xml:space="preserve"> 2018 but granted by Upper Tribunal Judge P</w:t>
      </w:r>
      <w:r w:rsidR="00137C62">
        <w:rPr>
          <w:rFonts w:ascii="Book Antiqua" w:hAnsi="Book Antiqua" w:cs="Arial"/>
        </w:rPr>
        <w:t>itt</w:t>
      </w:r>
      <w:r>
        <w:rPr>
          <w:rFonts w:ascii="Book Antiqua" w:hAnsi="Book Antiqua" w:cs="Arial"/>
        </w:rPr>
        <w:t xml:space="preserve"> on 1</w:t>
      </w:r>
      <w:r w:rsidR="00137C62">
        <w:rPr>
          <w:rFonts w:ascii="Book Antiqua" w:hAnsi="Book Antiqua" w:cs="Arial"/>
        </w:rPr>
        <w:t>1 July</w:t>
      </w:r>
      <w:r>
        <w:rPr>
          <w:rFonts w:ascii="Book Antiqua" w:hAnsi="Book Antiqua" w:cs="Arial"/>
        </w:rPr>
        <w:t xml:space="preserve"> 2018 in the following terms</w:t>
      </w:r>
      <w:r w:rsidR="00137C62">
        <w:rPr>
          <w:rFonts w:ascii="Book Antiqua" w:hAnsi="Book Antiqua" w:cs="Arial"/>
        </w:rPr>
        <w:t xml:space="preserve"> (so far as relevant)</w:t>
      </w:r>
      <w:r>
        <w:rPr>
          <w:rFonts w:ascii="Book Antiqua" w:hAnsi="Book Antiqua" w:cs="Arial"/>
        </w:rPr>
        <w:t>:</w:t>
      </w:r>
    </w:p>
    <w:p w:rsidR="004606D5" w:rsidRDefault="004606D5" w:rsidP="006001A3">
      <w:pPr>
        <w:tabs>
          <w:tab w:val="left" w:pos="567"/>
        </w:tabs>
        <w:ind w:left="1440" w:hanging="513"/>
        <w:jc w:val="both"/>
        <w:rPr>
          <w:rFonts w:ascii="Book Antiqua" w:hAnsi="Book Antiqua" w:cs="Arial"/>
        </w:rPr>
      </w:pPr>
    </w:p>
    <w:p w:rsidR="006001A3" w:rsidRPr="006001A3" w:rsidRDefault="006001A3" w:rsidP="006001A3">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w:t>
      </w:r>
      <w:r w:rsidR="00137C62">
        <w:rPr>
          <w:rFonts w:ascii="Book Antiqua" w:hAnsi="Book Antiqua" w:cs="Arial"/>
          <w:sz w:val="22"/>
          <w:szCs w:val="22"/>
        </w:rPr>
        <w:t>…</w:t>
      </w:r>
      <w:r>
        <w:rPr>
          <w:rFonts w:ascii="Book Antiqua" w:hAnsi="Book Antiqua" w:cs="Arial"/>
          <w:sz w:val="22"/>
          <w:szCs w:val="22"/>
        </w:rPr>
        <w:t>2.</w:t>
      </w:r>
      <w:r>
        <w:rPr>
          <w:rFonts w:ascii="Book Antiqua" w:hAnsi="Book Antiqua" w:cs="Arial"/>
          <w:sz w:val="22"/>
          <w:szCs w:val="22"/>
        </w:rPr>
        <w:tab/>
      </w:r>
      <w:r w:rsidR="00137C62">
        <w:rPr>
          <w:rFonts w:ascii="Book Antiqua" w:hAnsi="Book Antiqua" w:cs="Arial"/>
          <w:sz w:val="22"/>
          <w:szCs w:val="22"/>
        </w:rPr>
        <w:t xml:space="preserve">The grounds are arguable where the file shows HMRC evidence from 23 January 2018 was before the First-Tier Tribunal and the case of </w:t>
      </w:r>
      <w:proofErr w:type="spellStart"/>
      <w:r w:rsidR="00137C62">
        <w:rPr>
          <w:rFonts w:ascii="Book Antiqua" w:hAnsi="Book Antiqua" w:cs="Arial"/>
          <w:sz w:val="22"/>
          <w:szCs w:val="22"/>
          <w:u w:val="single"/>
        </w:rPr>
        <w:t>Baigazieva</w:t>
      </w:r>
      <w:proofErr w:type="spellEnd"/>
      <w:r w:rsidR="00137C62">
        <w:rPr>
          <w:rFonts w:ascii="Book Antiqua" w:hAnsi="Book Antiqua" w:cs="Arial"/>
          <w:sz w:val="22"/>
          <w:szCs w:val="22"/>
          <w:u w:val="single"/>
        </w:rPr>
        <w:t xml:space="preserve"> v SSHD [2018] EWCA </w:t>
      </w:r>
      <w:proofErr w:type="spellStart"/>
      <w:r w:rsidR="00137C62" w:rsidRPr="006E7F8E">
        <w:rPr>
          <w:rFonts w:ascii="Book Antiqua" w:hAnsi="Book Antiqua" w:cs="Arial"/>
          <w:sz w:val="22"/>
          <w:szCs w:val="22"/>
          <w:u w:val="single"/>
        </w:rPr>
        <w:t>Civ</w:t>
      </w:r>
      <w:proofErr w:type="spellEnd"/>
      <w:r w:rsidR="00137C62" w:rsidRPr="006E7F8E">
        <w:rPr>
          <w:rFonts w:ascii="Book Antiqua" w:hAnsi="Book Antiqua" w:cs="Arial"/>
          <w:sz w:val="22"/>
          <w:szCs w:val="22"/>
          <w:u w:val="single"/>
        </w:rPr>
        <w:t xml:space="preserve"> 1088</w:t>
      </w:r>
      <w:r w:rsidR="00137C62">
        <w:rPr>
          <w:rFonts w:ascii="Book Antiqua" w:hAnsi="Book Antiqua" w:cs="Arial"/>
          <w:sz w:val="22"/>
          <w:szCs w:val="22"/>
        </w:rPr>
        <w:t xml:space="preserve"> indicates that the wrong date for assessing the employment of the ex-spouse may have been applied.” </w:t>
      </w:r>
    </w:p>
    <w:p w:rsidR="00360A06" w:rsidRPr="00360A06" w:rsidRDefault="00360A06" w:rsidP="00360A06">
      <w:pPr>
        <w:tabs>
          <w:tab w:val="left" w:pos="567"/>
        </w:tabs>
        <w:ind w:left="927"/>
        <w:jc w:val="both"/>
        <w:rPr>
          <w:rFonts w:ascii="Book Antiqua" w:hAnsi="Book Antiqua" w:cs="Arial"/>
        </w:rPr>
      </w:pPr>
    </w:p>
    <w:p w:rsidR="00F7625C" w:rsidRDefault="00E32687" w:rsidP="00E0620F">
      <w:pPr>
        <w:numPr>
          <w:ilvl w:val="0"/>
          <w:numId w:val="5"/>
        </w:numPr>
        <w:tabs>
          <w:tab w:val="left" w:pos="567"/>
        </w:tabs>
        <w:jc w:val="both"/>
        <w:rPr>
          <w:rFonts w:ascii="Book Antiqua" w:hAnsi="Book Antiqua" w:cs="Arial"/>
        </w:rPr>
      </w:pPr>
      <w:r w:rsidRPr="00100177">
        <w:rPr>
          <w:rFonts w:ascii="Book Antiqua" w:hAnsi="Book Antiqua" w:cs="Arial"/>
        </w:rPr>
        <w:t>The matter c</w:t>
      </w:r>
      <w:r w:rsidR="00C84274">
        <w:rPr>
          <w:rFonts w:ascii="Book Antiqua" w:hAnsi="Book Antiqua" w:cs="Arial"/>
        </w:rPr>
        <w:t xml:space="preserve">omes </w:t>
      </w:r>
      <w:r w:rsidRPr="00100177">
        <w:rPr>
          <w:rFonts w:ascii="Book Antiqua" w:hAnsi="Book Antiqua" w:cs="Arial"/>
        </w:rPr>
        <w:t xml:space="preserve">before me to decide whether the Decision contains a material error of law and, if so, to re-make the decision or remit the appeal for rehearing to the First-Tier Tribunal.  </w:t>
      </w:r>
    </w:p>
    <w:p w:rsidR="001225AD" w:rsidRDefault="001225AD" w:rsidP="00FA409F">
      <w:pPr>
        <w:tabs>
          <w:tab w:val="left" w:pos="567"/>
        </w:tabs>
        <w:ind w:left="567"/>
        <w:jc w:val="both"/>
        <w:rPr>
          <w:rFonts w:ascii="Book Antiqua" w:hAnsi="Book Antiqua" w:cs="Arial"/>
          <w:b/>
          <w:u w:val="single"/>
        </w:rPr>
      </w:pPr>
    </w:p>
    <w:p w:rsidR="00FA409F" w:rsidRPr="00FA409F" w:rsidRDefault="00FA409F" w:rsidP="00FA409F">
      <w:pPr>
        <w:tabs>
          <w:tab w:val="left" w:pos="567"/>
        </w:tabs>
        <w:ind w:left="567"/>
        <w:jc w:val="both"/>
        <w:rPr>
          <w:rFonts w:ascii="Book Antiqua" w:hAnsi="Book Antiqua" w:cs="Arial"/>
          <w:b/>
          <w:u w:val="single"/>
        </w:rPr>
      </w:pPr>
      <w:r>
        <w:rPr>
          <w:rFonts w:ascii="Book Antiqua" w:hAnsi="Book Antiqua" w:cs="Arial"/>
          <w:b/>
          <w:u w:val="single"/>
        </w:rPr>
        <w:t>ERROR OF LAW DECISION</w:t>
      </w:r>
    </w:p>
    <w:p w:rsidR="00E13247" w:rsidRDefault="00E13247" w:rsidP="00E13247">
      <w:pPr>
        <w:pStyle w:val="ListParagraph"/>
        <w:rPr>
          <w:rFonts w:ascii="Book Antiqua" w:hAnsi="Book Antiqua" w:cs="Arial"/>
        </w:rPr>
      </w:pPr>
    </w:p>
    <w:p w:rsidR="006E7F8E" w:rsidRPr="006E7F8E" w:rsidRDefault="006E7F8E" w:rsidP="005C6058">
      <w:pPr>
        <w:numPr>
          <w:ilvl w:val="0"/>
          <w:numId w:val="5"/>
        </w:numPr>
        <w:tabs>
          <w:tab w:val="left" w:pos="567"/>
        </w:tabs>
        <w:jc w:val="both"/>
        <w:rPr>
          <w:rFonts w:ascii="Book Antiqua" w:hAnsi="Book Antiqua" w:cs="Arial"/>
        </w:rPr>
      </w:pPr>
      <w:r w:rsidRPr="006E7F8E">
        <w:rPr>
          <w:rFonts w:ascii="Book Antiqua" w:hAnsi="Book Antiqua" w:cs="Arial"/>
        </w:rPr>
        <w:t xml:space="preserve">Mr Walker for the Respondent conceded that the Decision contained an error of law on all grounds.  Following discussion, I accepted that the errors were material. The reasons for the concession and my </w:t>
      </w:r>
      <w:r>
        <w:rPr>
          <w:rFonts w:ascii="Book Antiqua" w:hAnsi="Book Antiqua" w:cs="Arial"/>
        </w:rPr>
        <w:t>acceptance of it</w:t>
      </w:r>
      <w:r w:rsidRPr="006E7F8E">
        <w:rPr>
          <w:rFonts w:ascii="Book Antiqua" w:hAnsi="Book Antiqua" w:cs="Arial"/>
        </w:rPr>
        <w:t xml:space="preserve"> are as follows.</w:t>
      </w:r>
    </w:p>
    <w:p w:rsidR="006E7F8E" w:rsidRDefault="006E7F8E" w:rsidP="006E7F8E">
      <w:pPr>
        <w:pStyle w:val="ListParagraph"/>
        <w:rPr>
          <w:rFonts w:ascii="Book Antiqua" w:hAnsi="Book Antiqua" w:cs="Arial"/>
        </w:rPr>
      </w:pPr>
    </w:p>
    <w:p w:rsidR="006E7F8E" w:rsidRDefault="006E7F8E" w:rsidP="00E0620F">
      <w:pPr>
        <w:numPr>
          <w:ilvl w:val="0"/>
          <w:numId w:val="5"/>
        </w:numPr>
        <w:tabs>
          <w:tab w:val="left" w:pos="567"/>
        </w:tabs>
        <w:jc w:val="both"/>
        <w:rPr>
          <w:rFonts w:ascii="Book Antiqua" w:hAnsi="Book Antiqua" w:cs="Arial"/>
        </w:rPr>
      </w:pPr>
      <w:r>
        <w:rPr>
          <w:rFonts w:ascii="Book Antiqua" w:hAnsi="Book Antiqua" w:cs="Arial"/>
        </w:rPr>
        <w:t xml:space="preserve">First, there is a document dated 23 January 2018 which is a witness statement of Robert Evans of HMRC who provides information about </w:t>
      </w:r>
      <w:r w:rsidR="00282376">
        <w:rPr>
          <w:rFonts w:ascii="Book Antiqua" w:hAnsi="Book Antiqua" w:cs="Arial"/>
        </w:rPr>
        <w:t xml:space="preserve">Ms </w:t>
      </w:r>
      <w:r w:rsidR="004606D5">
        <w:rPr>
          <w:rFonts w:ascii="Book Antiqua" w:hAnsi="Book Antiqua" w:cs="Arial"/>
        </w:rPr>
        <w:t>[C]</w:t>
      </w:r>
      <w:r>
        <w:rPr>
          <w:rFonts w:ascii="Book Antiqua" w:hAnsi="Book Antiqua" w:cs="Arial"/>
        </w:rPr>
        <w:t xml:space="preserve">’s employment in the period 2011 to 2017 (“the HMRC Statement”).  That is not mentioned and not considered by the Judge.  Ground one is made out.  I will turn to the impact on </w:t>
      </w:r>
      <w:r w:rsidR="00282376">
        <w:rPr>
          <w:rFonts w:ascii="Book Antiqua" w:hAnsi="Book Antiqua" w:cs="Arial"/>
        </w:rPr>
        <w:t xml:space="preserve">Ms </w:t>
      </w:r>
      <w:r w:rsidR="004606D5">
        <w:rPr>
          <w:rFonts w:ascii="Book Antiqua" w:hAnsi="Book Antiqua" w:cs="Arial"/>
        </w:rPr>
        <w:t>[C]</w:t>
      </w:r>
      <w:r>
        <w:rPr>
          <w:rFonts w:ascii="Book Antiqua" w:hAnsi="Book Antiqua" w:cs="Arial"/>
        </w:rPr>
        <w:t>’s entitlement to permanent residence and the Appellant’s own rights in that regard when I come to re-making.  I do not therefore need to deal with ground three.</w:t>
      </w:r>
    </w:p>
    <w:p w:rsidR="006E7F8E" w:rsidRDefault="006E7F8E" w:rsidP="006E7F8E">
      <w:pPr>
        <w:pStyle w:val="ListParagraph"/>
        <w:rPr>
          <w:rFonts w:ascii="Book Antiqua" w:hAnsi="Book Antiqua" w:cs="Arial"/>
        </w:rPr>
      </w:pPr>
    </w:p>
    <w:p w:rsidR="006E7F8E" w:rsidRDefault="006E7F8E" w:rsidP="00E0620F">
      <w:pPr>
        <w:numPr>
          <w:ilvl w:val="0"/>
          <w:numId w:val="5"/>
        </w:numPr>
        <w:tabs>
          <w:tab w:val="left" w:pos="567"/>
        </w:tabs>
        <w:jc w:val="both"/>
        <w:rPr>
          <w:rFonts w:ascii="Book Antiqua" w:hAnsi="Book Antiqua" w:cs="Arial"/>
        </w:rPr>
      </w:pPr>
      <w:r>
        <w:rPr>
          <w:rFonts w:ascii="Book Antiqua" w:hAnsi="Book Antiqua" w:cs="Arial"/>
        </w:rPr>
        <w:t xml:space="preserve">Second, as the Court of Appeal set out in </w:t>
      </w:r>
      <w:proofErr w:type="spellStart"/>
      <w:r>
        <w:rPr>
          <w:rFonts w:ascii="Book Antiqua" w:hAnsi="Book Antiqua" w:cs="Arial"/>
          <w:u w:val="single"/>
        </w:rPr>
        <w:t>Baigazieva</w:t>
      </w:r>
      <w:proofErr w:type="spellEnd"/>
      <w:r>
        <w:rPr>
          <w:rFonts w:ascii="Book Antiqua" w:hAnsi="Book Antiqua" w:cs="Arial"/>
          <w:u w:val="single"/>
        </w:rPr>
        <w:t xml:space="preserve"> v Secretary of State for the Home Department </w:t>
      </w:r>
      <w:r>
        <w:rPr>
          <w:rFonts w:ascii="Book Antiqua" w:hAnsi="Book Antiqua" w:cs="Arial"/>
        </w:rPr>
        <w:t xml:space="preserve">[2018] EWCA </w:t>
      </w:r>
      <w:proofErr w:type="spellStart"/>
      <w:r>
        <w:rPr>
          <w:rFonts w:ascii="Book Antiqua" w:hAnsi="Book Antiqua" w:cs="Arial"/>
        </w:rPr>
        <w:t>Civ</w:t>
      </w:r>
      <w:proofErr w:type="spellEnd"/>
      <w:r>
        <w:rPr>
          <w:rFonts w:ascii="Book Antiqua" w:hAnsi="Book Antiqua" w:cs="Arial"/>
        </w:rPr>
        <w:t xml:space="preserve"> 1088, it is now conceded by the Respondent (which concession was accepted by the Court of Appeal) that the relevant date for assessing whether a former spouse has been exercising Treaty rights under Regulation 10(5) of the Regulations is the date of initiation of divorce proceedings and not the date of termination of the marriage.  There is therefore an error at [15] of the Decision where the Judge relies on the evidence as at date of termination of </w:t>
      </w:r>
      <w:r>
        <w:rPr>
          <w:rFonts w:ascii="Book Antiqua" w:hAnsi="Book Antiqua" w:cs="Arial"/>
        </w:rPr>
        <w:lastRenderedPageBreak/>
        <w:t>the marriage.  I will explain when re-making the decision, the impact on the Appellant’s case.</w:t>
      </w:r>
    </w:p>
    <w:p w:rsidR="006E7F8E" w:rsidRDefault="006E7F8E" w:rsidP="006E7F8E">
      <w:pPr>
        <w:pStyle w:val="ListParagraph"/>
        <w:rPr>
          <w:rFonts w:ascii="Book Antiqua" w:hAnsi="Book Antiqua" w:cs="Arial"/>
        </w:rPr>
      </w:pPr>
    </w:p>
    <w:p w:rsidR="006E7F8E" w:rsidRDefault="006E7F8E" w:rsidP="00E0620F">
      <w:pPr>
        <w:numPr>
          <w:ilvl w:val="0"/>
          <w:numId w:val="5"/>
        </w:numPr>
        <w:tabs>
          <w:tab w:val="left" w:pos="567"/>
        </w:tabs>
        <w:jc w:val="both"/>
        <w:rPr>
          <w:rFonts w:ascii="Book Antiqua" w:hAnsi="Book Antiqua" w:cs="Arial"/>
        </w:rPr>
      </w:pPr>
      <w:r>
        <w:rPr>
          <w:rFonts w:ascii="Book Antiqua" w:hAnsi="Book Antiqua" w:cs="Arial"/>
        </w:rPr>
        <w:t xml:space="preserve">For those reasons, I set aside the Decision.  Both representatives agreed that, having so concluded, I could re-make the decision based on the evidence before me which of course includes the HMRC Statement. </w:t>
      </w:r>
    </w:p>
    <w:p w:rsidR="006E7F8E" w:rsidRDefault="006E7F8E" w:rsidP="006E7F8E">
      <w:pPr>
        <w:pStyle w:val="ListParagraph"/>
        <w:rPr>
          <w:rFonts w:ascii="Book Antiqua" w:hAnsi="Book Antiqua" w:cs="Arial"/>
        </w:rPr>
      </w:pPr>
    </w:p>
    <w:p w:rsidR="006E7F8E" w:rsidRPr="006E7F8E" w:rsidRDefault="006E7F8E" w:rsidP="006E7F8E">
      <w:pPr>
        <w:tabs>
          <w:tab w:val="left" w:pos="567"/>
        </w:tabs>
        <w:jc w:val="both"/>
        <w:rPr>
          <w:rFonts w:ascii="Book Antiqua" w:hAnsi="Book Antiqua" w:cs="Arial"/>
          <w:b/>
          <w:u w:val="single"/>
        </w:rPr>
      </w:pPr>
      <w:r>
        <w:rPr>
          <w:rFonts w:ascii="Book Antiqua" w:hAnsi="Book Antiqua" w:cs="Arial"/>
        </w:rPr>
        <w:tab/>
      </w:r>
      <w:r>
        <w:rPr>
          <w:rFonts w:ascii="Book Antiqua" w:hAnsi="Book Antiqua" w:cs="Arial"/>
          <w:b/>
          <w:u w:val="single"/>
        </w:rPr>
        <w:t>RE-MAKING OF DECISION</w:t>
      </w:r>
    </w:p>
    <w:p w:rsidR="006E7F8E" w:rsidRDefault="006E7F8E" w:rsidP="006E7F8E">
      <w:pPr>
        <w:pStyle w:val="ListParagraph"/>
        <w:rPr>
          <w:rFonts w:ascii="Book Antiqua" w:hAnsi="Book Antiqua" w:cs="Arial"/>
        </w:rPr>
      </w:pPr>
    </w:p>
    <w:p w:rsidR="006E7F8E" w:rsidRPr="006E7F8E" w:rsidRDefault="006E7F8E" w:rsidP="006E7F8E">
      <w:pPr>
        <w:tabs>
          <w:tab w:val="left" w:pos="567"/>
        </w:tabs>
        <w:jc w:val="both"/>
        <w:rPr>
          <w:rFonts w:ascii="Book Antiqua" w:hAnsi="Book Antiqua" w:cs="Arial"/>
          <w:b/>
          <w:u w:val="single"/>
        </w:rPr>
      </w:pPr>
      <w:r>
        <w:rPr>
          <w:rFonts w:ascii="Book Antiqua" w:hAnsi="Book Antiqua" w:cs="Arial"/>
        </w:rPr>
        <w:tab/>
      </w:r>
      <w:r>
        <w:rPr>
          <w:rFonts w:ascii="Book Antiqua" w:hAnsi="Book Antiqua" w:cs="Arial"/>
          <w:b/>
          <w:u w:val="single"/>
        </w:rPr>
        <w:t>Legal Framework</w:t>
      </w:r>
    </w:p>
    <w:p w:rsidR="006E7F8E" w:rsidRDefault="006E7F8E" w:rsidP="006E7F8E">
      <w:pPr>
        <w:tabs>
          <w:tab w:val="left" w:pos="567"/>
        </w:tabs>
        <w:ind w:left="927"/>
        <w:jc w:val="both"/>
        <w:rPr>
          <w:rFonts w:ascii="Book Antiqua" w:hAnsi="Book Antiqua" w:cs="Arial"/>
        </w:rPr>
      </w:pPr>
    </w:p>
    <w:p w:rsidR="006E7F8E" w:rsidRDefault="006E7F8E" w:rsidP="00E0620F">
      <w:pPr>
        <w:numPr>
          <w:ilvl w:val="0"/>
          <w:numId w:val="5"/>
        </w:numPr>
        <w:tabs>
          <w:tab w:val="left" w:pos="567"/>
        </w:tabs>
        <w:jc w:val="both"/>
        <w:rPr>
          <w:rFonts w:ascii="Book Antiqua" w:hAnsi="Book Antiqua" w:cs="Arial"/>
        </w:rPr>
      </w:pPr>
      <w:r>
        <w:rPr>
          <w:rFonts w:ascii="Book Antiqua" w:hAnsi="Book Antiqua" w:cs="Arial"/>
        </w:rPr>
        <w:t>The relevant provisions of the Regulations read as follows:</w:t>
      </w:r>
    </w:p>
    <w:p w:rsidR="004606D5" w:rsidRDefault="004606D5" w:rsidP="00312D7E">
      <w:pPr>
        <w:shd w:val="clear" w:color="auto" w:fill="FFFFFF"/>
        <w:spacing w:after="120"/>
        <w:ind w:left="1440"/>
        <w:jc w:val="both"/>
        <w:outlineLvl w:val="3"/>
        <w:rPr>
          <w:rFonts w:ascii="Book Antiqua" w:hAnsi="Book Antiqua" w:cs="Arial"/>
          <w:sz w:val="22"/>
          <w:szCs w:val="22"/>
        </w:rPr>
      </w:pPr>
    </w:p>
    <w:p w:rsidR="00312D7E" w:rsidRPr="00EA5985" w:rsidRDefault="00312D7E" w:rsidP="00312D7E">
      <w:pPr>
        <w:shd w:val="clear" w:color="auto" w:fill="FFFFFF"/>
        <w:spacing w:after="120"/>
        <w:ind w:left="1440"/>
        <w:jc w:val="both"/>
        <w:outlineLvl w:val="3"/>
        <w:rPr>
          <w:rFonts w:ascii="Book Antiqua" w:hAnsi="Book Antiqua" w:cs="Arial"/>
          <w:b/>
          <w:bCs/>
          <w:color w:val="000000"/>
          <w:sz w:val="22"/>
          <w:szCs w:val="22"/>
          <w:lang w:val="en"/>
        </w:rPr>
      </w:pPr>
      <w:r>
        <w:rPr>
          <w:rFonts w:ascii="Book Antiqua" w:hAnsi="Book Antiqua" w:cs="Arial"/>
          <w:sz w:val="22"/>
          <w:szCs w:val="22"/>
        </w:rPr>
        <w:t>“</w:t>
      </w:r>
      <w:r w:rsidRPr="00EA5985">
        <w:rPr>
          <w:rFonts w:ascii="Book Antiqua" w:hAnsi="Book Antiqua" w:cs="Arial"/>
          <w:b/>
          <w:bCs/>
          <w:color w:val="000000"/>
          <w:sz w:val="22"/>
          <w:szCs w:val="22"/>
          <w:lang w:val="en"/>
        </w:rPr>
        <w:t>Family member who has retained the right of residence”</w:t>
      </w:r>
    </w:p>
    <w:p w:rsidR="00312D7E" w:rsidRPr="00EA5985" w:rsidRDefault="00312D7E" w:rsidP="00312D7E">
      <w:pPr>
        <w:pStyle w:val="legp1paratext1"/>
        <w:spacing w:line="240" w:lineRule="auto"/>
        <w:ind w:left="1440" w:firstLine="0"/>
        <w:rPr>
          <w:rFonts w:ascii="Book Antiqua" w:hAnsi="Book Antiqua" w:cs="Arial"/>
          <w:sz w:val="22"/>
          <w:szCs w:val="22"/>
          <w:lang w:val="en"/>
        </w:rPr>
      </w:pPr>
      <w:r w:rsidRPr="00EA5985">
        <w:rPr>
          <w:rFonts w:ascii="Book Antiqua" w:hAnsi="Book Antiqua" w:cs="Arial"/>
          <w:sz w:val="22"/>
          <w:szCs w:val="22"/>
          <w:lang w:val="en"/>
        </w:rPr>
        <w:t>10.- (1) In these Regulations, “</w:t>
      </w:r>
      <w:r w:rsidRPr="00EA5985">
        <w:rPr>
          <w:rStyle w:val="legterm"/>
          <w:rFonts w:ascii="Book Antiqua" w:hAnsi="Book Antiqua" w:cs="Arial"/>
          <w:sz w:val="22"/>
          <w:szCs w:val="22"/>
          <w:lang w:val="en"/>
        </w:rPr>
        <w:t>family member who has retained the right of residence</w:t>
      </w:r>
      <w:r w:rsidRPr="00EA5985">
        <w:rPr>
          <w:rFonts w:ascii="Book Antiqua" w:hAnsi="Book Antiqua" w:cs="Arial"/>
          <w:sz w:val="22"/>
          <w:szCs w:val="22"/>
          <w:lang w:val="en"/>
        </w:rPr>
        <w:t xml:space="preserve">” means, subject to paragraph (8), a person who satisfies the conditions in paragraph (2), (3), (4) or (5). </w:t>
      </w:r>
    </w:p>
    <w:p w:rsidR="00312D7E" w:rsidRPr="00EA5985" w:rsidRDefault="00312D7E" w:rsidP="00312D7E">
      <w:pPr>
        <w:pStyle w:val="legp2paratext1"/>
        <w:spacing w:line="240" w:lineRule="auto"/>
        <w:ind w:left="927" w:firstLine="513"/>
        <w:rPr>
          <w:rFonts w:ascii="Book Antiqua" w:hAnsi="Book Antiqua" w:cs="Arial"/>
          <w:sz w:val="22"/>
          <w:szCs w:val="22"/>
          <w:lang w:val="en"/>
        </w:rPr>
      </w:pPr>
      <w:r w:rsidRPr="00EA5985">
        <w:rPr>
          <w:rFonts w:ascii="Book Antiqua" w:hAnsi="Book Antiqua" w:cs="Arial"/>
          <w:sz w:val="22"/>
          <w:szCs w:val="22"/>
          <w:lang w:val="en"/>
        </w:rPr>
        <w:t>…</w:t>
      </w:r>
    </w:p>
    <w:p w:rsidR="00312D7E" w:rsidRPr="00EA5985" w:rsidRDefault="00312D7E" w:rsidP="00312D7E">
      <w:pPr>
        <w:pStyle w:val="legp2paratext1"/>
        <w:spacing w:line="240" w:lineRule="auto"/>
        <w:ind w:left="927" w:firstLine="513"/>
        <w:rPr>
          <w:rFonts w:ascii="Book Antiqua" w:hAnsi="Book Antiqua" w:cs="Arial"/>
          <w:sz w:val="22"/>
          <w:szCs w:val="22"/>
          <w:lang w:val="en"/>
        </w:rPr>
      </w:pPr>
      <w:r w:rsidRPr="00EA5985">
        <w:rPr>
          <w:rFonts w:ascii="Book Antiqua" w:hAnsi="Book Antiqua" w:cs="Arial"/>
          <w:sz w:val="22"/>
          <w:szCs w:val="22"/>
          <w:lang w:val="en"/>
        </w:rPr>
        <w:t xml:space="preserve">(5) A person satisfies the conditions in this paragraph if— </w:t>
      </w:r>
    </w:p>
    <w:p w:rsidR="00312D7E" w:rsidRPr="00EA5985" w:rsidRDefault="00312D7E" w:rsidP="00312D7E">
      <w:pPr>
        <w:pStyle w:val="legclearfix2"/>
        <w:spacing w:line="240" w:lineRule="auto"/>
        <w:ind w:left="1440"/>
        <w:rPr>
          <w:rFonts w:ascii="Book Antiqua" w:hAnsi="Book Antiqua" w:cs="Arial"/>
          <w:sz w:val="22"/>
          <w:szCs w:val="22"/>
          <w:lang w:val="en"/>
        </w:rPr>
      </w:pPr>
      <w:r w:rsidRPr="00EA5985">
        <w:rPr>
          <w:rStyle w:val="legsubstitution5"/>
          <w:rFonts w:ascii="Book Antiqua" w:hAnsi="Book Antiqua" w:cs="Arial"/>
          <w:sz w:val="22"/>
          <w:szCs w:val="22"/>
          <w:lang w:val="en"/>
        </w:rPr>
        <w:t xml:space="preserve">(a) he ceased to be a family member of a qualified person or of an EEA national with a permanent right of residence on the termination of the marriage or civil partnership of that person; </w:t>
      </w:r>
      <w:r w:rsidRPr="00EA5985">
        <w:rPr>
          <w:rStyle w:val="legds2"/>
          <w:rFonts w:ascii="Book Antiqua" w:hAnsi="Book Antiqua" w:cs="Arial"/>
          <w:sz w:val="22"/>
          <w:szCs w:val="22"/>
          <w:lang w:val="en"/>
          <w:specVanish w:val="0"/>
        </w:rPr>
        <w:t xml:space="preserve"> </w:t>
      </w:r>
    </w:p>
    <w:p w:rsidR="00312D7E" w:rsidRPr="00EA5985" w:rsidRDefault="00312D7E" w:rsidP="00312D7E">
      <w:pPr>
        <w:pStyle w:val="legclearfix2"/>
        <w:spacing w:line="240" w:lineRule="auto"/>
        <w:ind w:left="1440"/>
        <w:rPr>
          <w:rFonts w:ascii="Book Antiqua" w:hAnsi="Book Antiqua" w:cs="Arial"/>
          <w:sz w:val="22"/>
          <w:szCs w:val="22"/>
          <w:lang w:val="en"/>
        </w:rPr>
      </w:pPr>
      <w:r w:rsidRPr="00EA5985">
        <w:rPr>
          <w:rStyle w:val="legds2"/>
          <w:rFonts w:ascii="Book Antiqua" w:hAnsi="Book Antiqua" w:cs="Arial"/>
          <w:sz w:val="22"/>
          <w:szCs w:val="22"/>
          <w:lang w:val="en"/>
          <w:specVanish w:val="0"/>
        </w:rPr>
        <w:t>(b)he was residing in the United Kingdom in accordance with these Regulations at the date of the termination;</w:t>
      </w:r>
    </w:p>
    <w:p w:rsidR="00312D7E" w:rsidRPr="00EA5985" w:rsidRDefault="00312D7E" w:rsidP="00312D7E">
      <w:pPr>
        <w:pStyle w:val="legclearfix2"/>
        <w:spacing w:line="240" w:lineRule="auto"/>
        <w:ind w:left="927" w:firstLine="513"/>
        <w:rPr>
          <w:rFonts w:ascii="Book Antiqua" w:hAnsi="Book Antiqua" w:cs="Arial"/>
          <w:sz w:val="22"/>
          <w:szCs w:val="22"/>
          <w:lang w:val="en"/>
        </w:rPr>
      </w:pPr>
      <w:r w:rsidRPr="00EA5985">
        <w:rPr>
          <w:rStyle w:val="legds2"/>
          <w:rFonts w:ascii="Book Antiqua" w:hAnsi="Book Antiqua" w:cs="Arial"/>
          <w:sz w:val="22"/>
          <w:szCs w:val="22"/>
          <w:lang w:val="en"/>
          <w:specVanish w:val="0"/>
        </w:rPr>
        <w:t>(c)he satisfies the condition in paragraph (6); and</w:t>
      </w:r>
    </w:p>
    <w:p w:rsidR="00312D7E" w:rsidRPr="00EA5985" w:rsidRDefault="00312D7E" w:rsidP="00312D7E">
      <w:pPr>
        <w:pStyle w:val="legclearfix2"/>
        <w:spacing w:line="240" w:lineRule="auto"/>
        <w:ind w:left="927" w:firstLine="513"/>
        <w:rPr>
          <w:rFonts w:ascii="Book Antiqua" w:hAnsi="Book Antiqua" w:cs="Arial"/>
          <w:sz w:val="22"/>
          <w:szCs w:val="22"/>
          <w:lang w:val="en"/>
        </w:rPr>
      </w:pPr>
      <w:r w:rsidRPr="00EA5985">
        <w:rPr>
          <w:rStyle w:val="legds2"/>
          <w:rFonts w:ascii="Book Antiqua" w:hAnsi="Book Antiqua" w:cs="Arial"/>
          <w:sz w:val="22"/>
          <w:szCs w:val="22"/>
          <w:lang w:val="en"/>
          <w:specVanish w:val="0"/>
        </w:rPr>
        <w:t>(d)either—</w:t>
      </w:r>
    </w:p>
    <w:p w:rsidR="00312D7E" w:rsidRPr="00EA5985" w:rsidRDefault="00312D7E" w:rsidP="00312D7E">
      <w:pPr>
        <w:pStyle w:val="legclearfix2"/>
        <w:spacing w:line="240" w:lineRule="auto"/>
        <w:ind w:left="1440"/>
        <w:rPr>
          <w:rFonts w:ascii="Book Antiqua" w:hAnsi="Book Antiqua" w:cs="Arial"/>
          <w:sz w:val="22"/>
          <w:szCs w:val="22"/>
          <w:lang w:val="en"/>
        </w:rPr>
      </w:pPr>
      <w:r w:rsidRPr="00EA5985">
        <w:rPr>
          <w:rFonts w:ascii="Book Antiqua" w:hAnsi="Book Antiqua" w:cs="Arial"/>
          <w:sz w:val="22"/>
          <w:szCs w:val="22"/>
          <w:lang w:val="en"/>
        </w:rPr>
        <w:t>(</w:t>
      </w:r>
      <w:proofErr w:type="spellStart"/>
      <w:r w:rsidRPr="00EA5985">
        <w:rPr>
          <w:rFonts w:ascii="Book Antiqua" w:hAnsi="Book Antiqua" w:cs="Arial"/>
          <w:sz w:val="22"/>
          <w:szCs w:val="22"/>
          <w:lang w:val="en"/>
        </w:rPr>
        <w:t>i</w:t>
      </w:r>
      <w:proofErr w:type="spellEnd"/>
      <w:r w:rsidRPr="00EA5985">
        <w:rPr>
          <w:rFonts w:ascii="Book Antiqua" w:hAnsi="Book Antiqua" w:cs="Arial"/>
          <w:sz w:val="22"/>
          <w:szCs w:val="22"/>
          <w:lang w:val="en"/>
        </w:rPr>
        <w:t>)prior to the initiation of the proceedings for the termination of the marriage or the civil partnership the marriage or civil partnership had lasted for at least three years and the parties to the marriage or civil partnership had resided in the United Kingdom for at least one year during its duration;</w:t>
      </w:r>
    </w:p>
    <w:p w:rsidR="00312D7E" w:rsidRPr="00EA5985" w:rsidRDefault="00312D7E" w:rsidP="00312D7E">
      <w:pPr>
        <w:pStyle w:val="legclearfix2"/>
        <w:spacing w:line="240" w:lineRule="auto"/>
        <w:ind w:left="927" w:firstLine="513"/>
        <w:rPr>
          <w:rStyle w:val="legsubstitution5"/>
          <w:rFonts w:ascii="Book Antiqua" w:hAnsi="Book Antiqua" w:cs="Arial"/>
          <w:sz w:val="22"/>
          <w:szCs w:val="22"/>
          <w:lang w:val="en"/>
        </w:rPr>
      </w:pPr>
      <w:r w:rsidRPr="00EA5985">
        <w:rPr>
          <w:rFonts w:ascii="Book Antiqua" w:hAnsi="Book Antiqua" w:cs="Arial"/>
          <w:sz w:val="22"/>
          <w:szCs w:val="22"/>
          <w:lang w:val="en"/>
        </w:rPr>
        <w:t>(ii) ….</w:t>
      </w:r>
    </w:p>
    <w:p w:rsidR="00312D7E" w:rsidRPr="00EA5985" w:rsidRDefault="00312D7E" w:rsidP="00312D7E">
      <w:pPr>
        <w:pStyle w:val="legp2paratext1"/>
        <w:spacing w:line="240" w:lineRule="auto"/>
        <w:ind w:left="927" w:firstLine="513"/>
        <w:rPr>
          <w:rFonts w:ascii="Book Antiqua" w:hAnsi="Book Antiqua" w:cs="Arial"/>
          <w:sz w:val="22"/>
          <w:szCs w:val="22"/>
          <w:lang w:val="en"/>
        </w:rPr>
      </w:pPr>
      <w:r w:rsidRPr="00EA5985">
        <w:rPr>
          <w:rFonts w:ascii="Book Antiqua" w:hAnsi="Book Antiqua" w:cs="Arial"/>
          <w:sz w:val="22"/>
          <w:szCs w:val="22"/>
          <w:lang w:val="en"/>
        </w:rPr>
        <w:t xml:space="preserve">(6) The condition in this paragraph is that the person— </w:t>
      </w:r>
    </w:p>
    <w:p w:rsidR="00312D7E" w:rsidRPr="00EA5985" w:rsidRDefault="00312D7E" w:rsidP="00312D7E">
      <w:pPr>
        <w:pStyle w:val="legclearfix2"/>
        <w:spacing w:line="240" w:lineRule="auto"/>
        <w:ind w:left="1440"/>
        <w:rPr>
          <w:rFonts w:ascii="Book Antiqua" w:hAnsi="Book Antiqua" w:cs="Arial"/>
          <w:sz w:val="22"/>
          <w:szCs w:val="22"/>
          <w:lang w:val="en"/>
        </w:rPr>
      </w:pPr>
      <w:r w:rsidRPr="00EA5985">
        <w:rPr>
          <w:rStyle w:val="legds2"/>
          <w:rFonts w:ascii="Book Antiqua" w:hAnsi="Book Antiqua" w:cs="Arial"/>
          <w:sz w:val="22"/>
          <w:szCs w:val="22"/>
          <w:lang w:val="en"/>
          <w:specVanish w:val="0"/>
        </w:rPr>
        <w:t xml:space="preserve">(a) is not an </w:t>
      </w:r>
      <w:r w:rsidRPr="00EA5985">
        <w:rPr>
          <w:rStyle w:val="HTMLAcronym"/>
          <w:rFonts w:ascii="Book Antiqua" w:hAnsi="Book Antiqua" w:cs="Arial"/>
          <w:sz w:val="22"/>
          <w:szCs w:val="22"/>
          <w:lang w:val="en"/>
        </w:rPr>
        <w:t>EEA</w:t>
      </w:r>
      <w:r w:rsidRPr="00EA5985">
        <w:rPr>
          <w:rStyle w:val="legds2"/>
          <w:rFonts w:ascii="Book Antiqua" w:hAnsi="Book Antiqua" w:cs="Arial"/>
          <w:sz w:val="22"/>
          <w:szCs w:val="22"/>
          <w:lang w:val="en"/>
          <w:specVanish w:val="0"/>
        </w:rPr>
        <w:t xml:space="preserve"> national but would, if he were an EEA national, be a worker, a self-employed person or a self-sufficient person under regulation 6; or </w:t>
      </w:r>
    </w:p>
    <w:p w:rsidR="00312D7E" w:rsidRPr="00EA5985" w:rsidRDefault="00312D7E" w:rsidP="00312D7E">
      <w:pPr>
        <w:pStyle w:val="legclearfix2"/>
        <w:spacing w:line="240" w:lineRule="auto"/>
        <w:ind w:left="927" w:firstLine="513"/>
        <w:rPr>
          <w:rFonts w:ascii="Book Antiqua" w:hAnsi="Book Antiqua" w:cs="Arial"/>
          <w:sz w:val="22"/>
          <w:szCs w:val="22"/>
          <w:lang w:val="en"/>
        </w:rPr>
      </w:pPr>
      <w:r w:rsidRPr="00EA5985">
        <w:rPr>
          <w:rStyle w:val="legds2"/>
          <w:rFonts w:ascii="Book Antiqua" w:hAnsi="Book Antiqua" w:cs="Arial"/>
          <w:sz w:val="22"/>
          <w:szCs w:val="22"/>
          <w:lang w:val="en"/>
          <w:specVanish w:val="0"/>
        </w:rPr>
        <w:t>(b)is the family member of a person who falls within paragraph (a).</w:t>
      </w:r>
    </w:p>
    <w:p w:rsidR="00312D7E" w:rsidRPr="00EA5985" w:rsidRDefault="00312D7E" w:rsidP="00312D7E">
      <w:pPr>
        <w:pStyle w:val="legp2paratext1"/>
        <w:spacing w:line="240" w:lineRule="auto"/>
        <w:ind w:left="927" w:firstLine="513"/>
        <w:rPr>
          <w:rFonts w:ascii="Book Antiqua" w:hAnsi="Book Antiqua" w:cs="Arial"/>
          <w:sz w:val="22"/>
          <w:szCs w:val="22"/>
          <w:lang w:val="en"/>
        </w:rPr>
      </w:pPr>
      <w:r w:rsidRPr="00EA5985">
        <w:rPr>
          <w:rFonts w:ascii="Book Antiqua" w:hAnsi="Book Antiqua" w:cs="Arial"/>
          <w:sz w:val="22"/>
          <w:szCs w:val="22"/>
          <w:lang w:val="en"/>
        </w:rPr>
        <w:t xml:space="preserve">…. </w:t>
      </w:r>
    </w:p>
    <w:p w:rsidR="00312D7E" w:rsidRPr="00EA5985" w:rsidRDefault="00312D7E" w:rsidP="00B831DE">
      <w:pPr>
        <w:pStyle w:val="legp2paratext1"/>
        <w:spacing w:line="240" w:lineRule="auto"/>
        <w:ind w:left="1440" w:firstLine="0"/>
        <w:rPr>
          <w:rFonts w:ascii="Book Antiqua" w:hAnsi="Book Antiqua" w:cs="Arial"/>
          <w:sz w:val="22"/>
          <w:szCs w:val="22"/>
          <w:lang w:val="en"/>
        </w:rPr>
      </w:pPr>
      <w:r w:rsidRPr="00EA5985">
        <w:rPr>
          <w:rFonts w:ascii="Book Antiqua" w:hAnsi="Book Antiqua" w:cs="Arial"/>
          <w:sz w:val="22"/>
          <w:szCs w:val="22"/>
          <w:lang w:val="en"/>
        </w:rPr>
        <w:t xml:space="preserve">(8)  A person with a permanent right of residence under regulation 15 shall not become a family member who has retained the right of residence on the death or departure from the United Kingdom of </w:t>
      </w:r>
      <w:r w:rsidRPr="00EA5985">
        <w:rPr>
          <w:rStyle w:val="legsubstitution5"/>
          <w:rFonts w:ascii="Book Antiqua" w:hAnsi="Book Antiqua" w:cs="Arial"/>
          <w:sz w:val="22"/>
          <w:szCs w:val="22"/>
          <w:lang w:val="en"/>
        </w:rPr>
        <w:t xml:space="preserve">the qualified person or the EEA national with a permanent right of residence </w:t>
      </w:r>
      <w:r w:rsidRPr="00EA5985">
        <w:rPr>
          <w:rFonts w:ascii="Book Antiqua" w:hAnsi="Book Antiqua" w:cs="Arial"/>
          <w:sz w:val="22"/>
          <w:szCs w:val="22"/>
          <w:lang w:val="en"/>
        </w:rPr>
        <w:t xml:space="preserve">or the termination of the marriage or civil partnership, as the case may be, and a family member who has retained the right of residence shall cease to have that status on acquiring a permanent right of residence under regulation 15.” </w:t>
      </w:r>
    </w:p>
    <w:p w:rsidR="006E7F8E" w:rsidRDefault="006E7F8E" w:rsidP="006E7F8E">
      <w:pPr>
        <w:tabs>
          <w:tab w:val="left" w:pos="567"/>
        </w:tabs>
        <w:ind w:left="927"/>
        <w:jc w:val="both"/>
        <w:rPr>
          <w:rFonts w:ascii="Book Antiqua" w:hAnsi="Book Antiqua" w:cs="Arial"/>
        </w:rPr>
      </w:pPr>
    </w:p>
    <w:p w:rsidR="00B831DE" w:rsidRPr="00124E55" w:rsidRDefault="00B831DE" w:rsidP="00B831DE">
      <w:pPr>
        <w:shd w:val="clear" w:color="auto" w:fill="FFFFFF"/>
        <w:ind w:left="873" w:firstLine="567"/>
        <w:jc w:val="both"/>
        <w:outlineLvl w:val="3"/>
        <w:rPr>
          <w:rFonts w:ascii="Book Antiqua" w:hAnsi="Book Antiqua" w:cs="Arial"/>
          <w:b/>
          <w:bCs/>
          <w:color w:val="000000"/>
          <w:sz w:val="22"/>
          <w:szCs w:val="22"/>
          <w:lang w:val="en"/>
        </w:rPr>
      </w:pPr>
      <w:r>
        <w:rPr>
          <w:rFonts w:ascii="Book Antiqua" w:hAnsi="Book Antiqua" w:cs="Arial"/>
          <w:b/>
          <w:bCs/>
          <w:color w:val="000000"/>
          <w:sz w:val="22"/>
          <w:szCs w:val="22"/>
          <w:lang w:val="en"/>
        </w:rPr>
        <w:t>“</w:t>
      </w:r>
      <w:r w:rsidRPr="00124E55">
        <w:rPr>
          <w:rFonts w:ascii="Book Antiqua" w:hAnsi="Book Antiqua" w:cs="Arial"/>
          <w:b/>
          <w:bCs/>
          <w:color w:val="000000"/>
          <w:sz w:val="22"/>
          <w:szCs w:val="22"/>
          <w:lang w:val="en"/>
        </w:rPr>
        <w:t>Permanent right of residence</w:t>
      </w:r>
    </w:p>
    <w:p w:rsidR="00B831DE" w:rsidRPr="00124E55" w:rsidRDefault="00B831DE" w:rsidP="00B831DE">
      <w:pPr>
        <w:pStyle w:val="legp1paratext1"/>
        <w:spacing w:after="0" w:line="240" w:lineRule="auto"/>
        <w:ind w:left="1440" w:firstLine="0"/>
        <w:rPr>
          <w:rFonts w:ascii="Book Antiqua" w:hAnsi="Book Antiqua" w:cs="Arial"/>
          <w:sz w:val="22"/>
          <w:szCs w:val="22"/>
          <w:lang w:val="en"/>
        </w:rPr>
      </w:pPr>
      <w:r w:rsidRPr="00124E55">
        <w:rPr>
          <w:rStyle w:val="legp1no3"/>
          <w:rFonts w:ascii="Book Antiqua" w:hAnsi="Book Antiqua" w:cs="Arial"/>
          <w:sz w:val="22"/>
          <w:szCs w:val="22"/>
          <w:lang w:val="en"/>
        </w:rPr>
        <w:t>15.</w:t>
      </w:r>
      <w:proofErr w:type="gramStart"/>
      <w:r w:rsidRPr="00124E55">
        <w:rPr>
          <w:rFonts w:ascii="Book Antiqua" w:hAnsi="Book Antiqua" w:cs="Arial"/>
          <w:sz w:val="22"/>
          <w:szCs w:val="22"/>
          <w:lang w:val="en"/>
        </w:rPr>
        <w:t>—(</w:t>
      </w:r>
      <w:proofErr w:type="gramEnd"/>
      <w:r w:rsidRPr="00124E55">
        <w:rPr>
          <w:rFonts w:ascii="Book Antiqua" w:hAnsi="Book Antiqua" w:cs="Arial"/>
          <w:sz w:val="22"/>
          <w:szCs w:val="22"/>
          <w:lang w:val="en"/>
        </w:rPr>
        <w:t xml:space="preserve">1) The following persons shall acquire the right to reside in the United Kingdom permanently— </w:t>
      </w:r>
    </w:p>
    <w:p w:rsidR="00B831DE" w:rsidRPr="00124E55" w:rsidRDefault="00B831DE" w:rsidP="00B831DE">
      <w:pPr>
        <w:pStyle w:val="legclearfix2"/>
        <w:spacing w:after="0" w:line="240" w:lineRule="auto"/>
        <w:ind w:left="873" w:firstLine="567"/>
        <w:rPr>
          <w:rFonts w:ascii="Book Antiqua" w:hAnsi="Book Antiqua" w:cs="Arial"/>
          <w:sz w:val="22"/>
          <w:szCs w:val="22"/>
          <w:lang w:val="en"/>
        </w:rPr>
      </w:pPr>
      <w:r w:rsidRPr="00124E55">
        <w:rPr>
          <w:rStyle w:val="legds2"/>
          <w:rFonts w:ascii="Book Antiqua" w:hAnsi="Book Antiqua" w:cs="Arial"/>
          <w:sz w:val="22"/>
          <w:szCs w:val="22"/>
          <w:lang w:val="en"/>
          <w:specVanish w:val="0"/>
        </w:rPr>
        <w:t xml:space="preserve">(a) ….; </w:t>
      </w:r>
    </w:p>
    <w:p w:rsidR="00B831DE" w:rsidRPr="00124E55" w:rsidRDefault="00B831DE" w:rsidP="00B831DE">
      <w:pPr>
        <w:pStyle w:val="legclearfix2"/>
        <w:spacing w:after="0" w:line="240" w:lineRule="auto"/>
        <w:ind w:left="1440"/>
        <w:rPr>
          <w:rFonts w:ascii="Book Antiqua" w:hAnsi="Book Antiqua" w:cs="Arial"/>
          <w:sz w:val="22"/>
          <w:szCs w:val="22"/>
          <w:lang w:val="en"/>
        </w:rPr>
      </w:pPr>
      <w:r w:rsidRPr="00124E55">
        <w:rPr>
          <w:rStyle w:val="legds2"/>
          <w:rFonts w:ascii="Book Antiqua" w:hAnsi="Book Antiqua" w:cs="Arial"/>
          <w:sz w:val="22"/>
          <w:szCs w:val="22"/>
          <w:lang w:val="en"/>
          <w:specVanish w:val="0"/>
        </w:rPr>
        <w:t xml:space="preserve">(b) a family member of an EEA national who is not himself an EEA national but who has resided in the United Kingdom with the EEA national in accordance with these Regulations for a continuous period of five years; </w:t>
      </w:r>
    </w:p>
    <w:p w:rsidR="00B831DE" w:rsidRPr="00124E55" w:rsidRDefault="00B831DE" w:rsidP="00B831DE">
      <w:pPr>
        <w:pStyle w:val="legclearfix2"/>
        <w:spacing w:after="0" w:line="240" w:lineRule="auto"/>
        <w:ind w:left="873" w:firstLine="567"/>
        <w:rPr>
          <w:rFonts w:ascii="Book Antiqua" w:hAnsi="Book Antiqua" w:cs="Arial"/>
          <w:sz w:val="22"/>
          <w:szCs w:val="22"/>
          <w:lang w:val="en"/>
        </w:rPr>
      </w:pPr>
      <w:r w:rsidRPr="00124E55">
        <w:rPr>
          <w:rStyle w:val="legds2"/>
          <w:rFonts w:ascii="Book Antiqua" w:hAnsi="Book Antiqua" w:cs="Arial"/>
          <w:sz w:val="22"/>
          <w:szCs w:val="22"/>
          <w:lang w:val="en"/>
          <w:specVanish w:val="0"/>
        </w:rPr>
        <w:t>…</w:t>
      </w:r>
    </w:p>
    <w:p w:rsidR="00B831DE" w:rsidRPr="00124E55" w:rsidRDefault="00B831DE" w:rsidP="00B831DE">
      <w:pPr>
        <w:pStyle w:val="legclearfix2"/>
        <w:spacing w:after="0" w:line="240" w:lineRule="auto"/>
        <w:ind w:left="873" w:firstLine="567"/>
        <w:rPr>
          <w:rFonts w:ascii="Book Antiqua" w:hAnsi="Book Antiqua" w:cs="Arial"/>
          <w:sz w:val="22"/>
          <w:szCs w:val="22"/>
          <w:lang w:val="en"/>
        </w:rPr>
      </w:pPr>
      <w:r>
        <w:rPr>
          <w:rStyle w:val="legds2"/>
          <w:rFonts w:ascii="Book Antiqua" w:hAnsi="Book Antiqua" w:cs="Arial"/>
          <w:sz w:val="22"/>
          <w:szCs w:val="22"/>
          <w:lang w:val="en"/>
          <w:specVanish w:val="0"/>
        </w:rPr>
        <w:t>(</w:t>
      </w:r>
      <w:r w:rsidRPr="00124E55">
        <w:rPr>
          <w:rStyle w:val="legds2"/>
          <w:rFonts w:ascii="Book Antiqua" w:hAnsi="Book Antiqua" w:cs="Arial"/>
          <w:sz w:val="22"/>
          <w:szCs w:val="22"/>
          <w:lang w:val="en"/>
          <w:specVanish w:val="0"/>
        </w:rPr>
        <w:t>f)a person who—</w:t>
      </w:r>
    </w:p>
    <w:p w:rsidR="00B831DE" w:rsidRPr="00124E55" w:rsidRDefault="00B831DE" w:rsidP="00B831DE">
      <w:pPr>
        <w:pStyle w:val="legclearfix2"/>
        <w:spacing w:after="0" w:line="240" w:lineRule="auto"/>
        <w:ind w:left="1440"/>
        <w:rPr>
          <w:rFonts w:ascii="Book Antiqua" w:hAnsi="Book Antiqua" w:cs="Arial"/>
          <w:sz w:val="22"/>
          <w:szCs w:val="22"/>
          <w:lang w:val="en"/>
        </w:rPr>
      </w:pPr>
      <w:r w:rsidRPr="00124E55">
        <w:rPr>
          <w:rFonts w:ascii="Book Antiqua" w:hAnsi="Book Antiqua" w:cs="Arial"/>
          <w:sz w:val="22"/>
          <w:szCs w:val="22"/>
          <w:lang w:val="en"/>
        </w:rPr>
        <w:t>(</w:t>
      </w:r>
      <w:proofErr w:type="spellStart"/>
      <w:r w:rsidRPr="00124E55">
        <w:rPr>
          <w:rFonts w:ascii="Book Antiqua" w:hAnsi="Book Antiqua" w:cs="Arial"/>
          <w:sz w:val="22"/>
          <w:szCs w:val="22"/>
          <w:lang w:val="en"/>
        </w:rPr>
        <w:t>i</w:t>
      </w:r>
      <w:proofErr w:type="spellEnd"/>
      <w:r w:rsidRPr="00124E55">
        <w:rPr>
          <w:rFonts w:ascii="Book Antiqua" w:hAnsi="Book Antiqua" w:cs="Arial"/>
          <w:sz w:val="22"/>
          <w:szCs w:val="22"/>
          <w:lang w:val="en"/>
        </w:rPr>
        <w:t>)has resided in the United Kingdom in accordance with these Regulations for a continuous period of five years; and</w:t>
      </w:r>
    </w:p>
    <w:p w:rsidR="00B831DE" w:rsidRPr="00124E55" w:rsidRDefault="00B831DE" w:rsidP="00B831DE">
      <w:pPr>
        <w:pStyle w:val="legclearfix2"/>
        <w:spacing w:after="0" w:line="240" w:lineRule="auto"/>
        <w:ind w:left="1440"/>
        <w:rPr>
          <w:rFonts w:ascii="Book Antiqua" w:hAnsi="Book Antiqua" w:cs="Arial"/>
          <w:sz w:val="22"/>
          <w:szCs w:val="22"/>
          <w:lang w:val="en"/>
        </w:rPr>
      </w:pPr>
      <w:r w:rsidRPr="00124E55">
        <w:rPr>
          <w:rFonts w:ascii="Book Antiqua" w:hAnsi="Book Antiqua" w:cs="Arial"/>
          <w:sz w:val="22"/>
          <w:szCs w:val="22"/>
          <w:lang w:val="en"/>
        </w:rPr>
        <w:t>(ii)was, at the end of that period, a family member who has retained the right of residence.</w:t>
      </w:r>
    </w:p>
    <w:p w:rsidR="00B831DE" w:rsidRPr="00124E55" w:rsidRDefault="00B831DE" w:rsidP="00B831DE">
      <w:pPr>
        <w:pStyle w:val="legclearfix2"/>
        <w:spacing w:after="0" w:line="240" w:lineRule="auto"/>
        <w:ind w:left="1440"/>
        <w:rPr>
          <w:rFonts w:ascii="Book Antiqua" w:hAnsi="Book Antiqua" w:cs="Arial"/>
          <w:sz w:val="22"/>
          <w:szCs w:val="22"/>
          <w:lang w:val="en"/>
        </w:rPr>
      </w:pPr>
      <w:r>
        <w:rPr>
          <w:rStyle w:val="legsubstitution5"/>
          <w:rFonts w:ascii="Book Antiqua" w:hAnsi="Book Antiqua" w:cs="Arial"/>
          <w:sz w:val="22"/>
          <w:szCs w:val="22"/>
          <w:lang w:val="en"/>
        </w:rPr>
        <w:t>…</w:t>
      </w:r>
      <w:r w:rsidRPr="00124E55">
        <w:rPr>
          <w:rStyle w:val="legsubstitution5"/>
          <w:rFonts w:ascii="Book Antiqua" w:hAnsi="Book Antiqua" w:cs="Arial"/>
          <w:sz w:val="22"/>
          <w:szCs w:val="22"/>
          <w:lang w:val="en"/>
        </w:rPr>
        <w:t>.</w:t>
      </w:r>
      <w:r>
        <w:rPr>
          <w:rStyle w:val="legsubstitution5"/>
          <w:rFonts w:ascii="Book Antiqua" w:hAnsi="Book Antiqua" w:cs="Arial"/>
          <w:sz w:val="22"/>
          <w:szCs w:val="22"/>
          <w:lang w:val="en"/>
        </w:rPr>
        <w:t>”</w:t>
      </w:r>
    </w:p>
    <w:p w:rsidR="00B831DE" w:rsidRDefault="00B831DE" w:rsidP="006E7F8E">
      <w:pPr>
        <w:tabs>
          <w:tab w:val="left" w:pos="567"/>
        </w:tabs>
        <w:ind w:left="927"/>
        <w:jc w:val="both"/>
        <w:rPr>
          <w:rFonts w:ascii="Book Antiqua" w:hAnsi="Book Antiqua" w:cs="Arial"/>
        </w:rPr>
      </w:pPr>
    </w:p>
    <w:p w:rsidR="00640548" w:rsidRDefault="00640548" w:rsidP="00CC506D">
      <w:pPr>
        <w:numPr>
          <w:ilvl w:val="0"/>
          <w:numId w:val="29"/>
        </w:numPr>
        <w:tabs>
          <w:tab w:val="left" w:pos="567"/>
        </w:tabs>
        <w:jc w:val="both"/>
        <w:rPr>
          <w:rFonts w:ascii="Book Antiqua" w:hAnsi="Book Antiqua" w:cs="Arial"/>
        </w:rPr>
      </w:pPr>
      <w:r>
        <w:rPr>
          <w:rFonts w:ascii="Book Antiqua" w:hAnsi="Book Antiqua" w:cs="Arial"/>
        </w:rPr>
        <w:t xml:space="preserve">I begin with the evidence of the exercise of Treaty rights by </w:t>
      </w:r>
      <w:r w:rsidR="00282376">
        <w:rPr>
          <w:rFonts w:ascii="Book Antiqua" w:hAnsi="Book Antiqua" w:cs="Arial"/>
        </w:rPr>
        <w:t xml:space="preserve">Ms </w:t>
      </w:r>
      <w:r w:rsidR="004606D5">
        <w:rPr>
          <w:rFonts w:ascii="Book Antiqua" w:hAnsi="Book Antiqua" w:cs="Arial"/>
        </w:rPr>
        <w:t>[C]</w:t>
      </w:r>
      <w:r w:rsidR="00282376">
        <w:rPr>
          <w:rFonts w:ascii="Book Antiqua" w:hAnsi="Book Antiqua" w:cs="Arial"/>
        </w:rPr>
        <w:t xml:space="preserve">. The Appellant married Ms </w:t>
      </w:r>
      <w:r w:rsidR="004606D5">
        <w:rPr>
          <w:rFonts w:ascii="Book Antiqua" w:hAnsi="Book Antiqua" w:cs="Arial"/>
        </w:rPr>
        <w:t>[</w:t>
      </w:r>
      <w:r w:rsidR="00282376">
        <w:rPr>
          <w:rFonts w:ascii="Book Antiqua" w:hAnsi="Book Antiqua" w:cs="Arial"/>
        </w:rPr>
        <w:t>C</w:t>
      </w:r>
      <w:r w:rsidR="004606D5">
        <w:rPr>
          <w:rFonts w:ascii="Book Antiqua" w:hAnsi="Book Antiqua" w:cs="Arial"/>
        </w:rPr>
        <w:t xml:space="preserve">] </w:t>
      </w:r>
      <w:r w:rsidR="00282376">
        <w:rPr>
          <w:rFonts w:ascii="Book Antiqua" w:hAnsi="Book Antiqua" w:cs="Arial"/>
        </w:rPr>
        <w:t xml:space="preserve">on 27 November 2010 and I therefore begin with the tax year 2010-2011.  The </w:t>
      </w:r>
      <w:r>
        <w:rPr>
          <w:rFonts w:ascii="Book Antiqua" w:hAnsi="Book Antiqua" w:cs="Arial"/>
        </w:rPr>
        <w:t>evidence before me is as follows:</w:t>
      </w:r>
    </w:p>
    <w:p w:rsidR="004606D5" w:rsidRDefault="004606D5" w:rsidP="00640548">
      <w:pPr>
        <w:tabs>
          <w:tab w:val="left" w:pos="567"/>
        </w:tabs>
        <w:ind w:left="927"/>
        <w:jc w:val="both"/>
        <w:rPr>
          <w:rFonts w:ascii="Book Antiqua" w:hAnsi="Book Antiqua" w:cs="Arial"/>
        </w:rPr>
      </w:pPr>
    </w:p>
    <w:p w:rsidR="00640548" w:rsidRDefault="00640548" w:rsidP="00640548">
      <w:pPr>
        <w:tabs>
          <w:tab w:val="left" w:pos="567"/>
        </w:tabs>
        <w:ind w:left="927"/>
        <w:jc w:val="both"/>
        <w:rPr>
          <w:rFonts w:ascii="Book Antiqua" w:hAnsi="Book Antiqua" w:cs="Arial"/>
          <w:u w:val="single"/>
        </w:rPr>
      </w:pPr>
      <w:r>
        <w:rPr>
          <w:rFonts w:ascii="Book Antiqua" w:hAnsi="Book Antiqua" w:cs="Arial"/>
        </w:rPr>
        <w:tab/>
      </w:r>
      <w:r w:rsidRPr="00640548">
        <w:rPr>
          <w:rFonts w:ascii="Book Antiqua" w:hAnsi="Book Antiqua" w:cs="Arial"/>
          <w:u w:val="single"/>
        </w:rPr>
        <w:t>2010-201</w:t>
      </w:r>
      <w:r w:rsidR="00282376">
        <w:rPr>
          <w:rFonts w:ascii="Book Antiqua" w:hAnsi="Book Antiqua" w:cs="Arial"/>
          <w:u w:val="single"/>
        </w:rPr>
        <w:t>1 and 2011-2012</w:t>
      </w:r>
    </w:p>
    <w:p w:rsidR="00282376" w:rsidRDefault="00640548" w:rsidP="00282376">
      <w:pPr>
        <w:tabs>
          <w:tab w:val="left" w:pos="567"/>
        </w:tabs>
        <w:ind w:left="1440"/>
        <w:jc w:val="both"/>
        <w:rPr>
          <w:rFonts w:ascii="Book Antiqua" w:hAnsi="Book Antiqua" w:cs="Arial"/>
        </w:rPr>
      </w:pPr>
      <w:r>
        <w:rPr>
          <w:rFonts w:ascii="Book Antiqua" w:hAnsi="Book Antiqua" w:cs="Arial"/>
        </w:rPr>
        <w:t xml:space="preserve">A bill </w:t>
      </w:r>
      <w:r w:rsidR="00282376">
        <w:rPr>
          <w:rFonts w:ascii="Book Antiqua" w:hAnsi="Book Antiqua" w:cs="Arial"/>
        </w:rPr>
        <w:t xml:space="preserve">addressed to Ms </w:t>
      </w:r>
      <w:r w:rsidR="004606D5">
        <w:rPr>
          <w:rFonts w:ascii="Book Antiqua" w:hAnsi="Book Antiqua" w:cs="Arial"/>
        </w:rPr>
        <w:t>[C]</w:t>
      </w:r>
      <w:r w:rsidR="00282376">
        <w:rPr>
          <w:rFonts w:ascii="Book Antiqua" w:hAnsi="Book Antiqua" w:cs="Arial"/>
        </w:rPr>
        <w:t xml:space="preserve"> </w:t>
      </w:r>
      <w:r>
        <w:rPr>
          <w:rFonts w:ascii="Book Antiqua" w:hAnsi="Book Antiqua" w:cs="Arial"/>
        </w:rPr>
        <w:t>for national insurance contributions for the period 9 January 2011 to 9 April 2011 show</w:t>
      </w:r>
      <w:r w:rsidR="00282376">
        <w:rPr>
          <w:rFonts w:ascii="Book Antiqua" w:hAnsi="Book Antiqua" w:cs="Arial"/>
        </w:rPr>
        <w:t>s</w:t>
      </w:r>
      <w:r>
        <w:rPr>
          <w:rFonts w:ascii="Book Antiqua" w:hAnsi="Book Antiqua" w:cs="Arial"/>
        </w:rPr>
        <w:t xml:space="preserve"> contributions owed of £31.20.  A document for a prior period shows arrears of £12 before 9 January 2011.  There is also a letter dated 14 February 2011 from HMRC informing </w:t>
      </w:r>
      <w:r w:rsidR="00282376">
        <w:rPr>
          <w:rFonts w:ascii="Book Antiqua" w:hAnsi="Book Antiqua" w:cs="Arial"/>
        </w:rPr>
        <w:t xml:space="preserve">Ms </w:t>
      </w:r>
      <w:r w:rsidR="004606D5">
        <w:rPr>
          <w:rFonts w:ascii="Book Antiqua" w:hAnsi="Book Antiqua" w:cs="Arial"/>
        </w:rPr>
        <w:t>[C]</w:t>
      </w:r>
      <w:r w:rsidR="00282376">
        <w:rPr>
          <w:rFonts w:ascii="Book Antiqua" w:hAnsi="Book Antiqua" w:cs="Arial"/>
        </w:rPr>
        <w:t xml:space="preserve"> that she should be completing tax returns and a notification dated 6 April 2011 requiring completion of a tax return.  According to the HMRC Statement, there is no self-assessment tax record for Ms </w:t>
      </w:r>
      <w:r w:rsidR="004606D5">
        <w:rPr>
          <w:rFonts w:ascii="Book Antiqua" w:hAnsi="Book Antiqua" w:cs="Arial"/>
        </w:rPr>
        <w:t>[C]</w:t>
      </w:r>
      <w:r w:rsidR="00282376">
        <w:rPr>
          <w:rFonts w:ascii="Book Antiqua" w:hAnsi="Book Antiqua" w:cs="Arial"/>
        </w:rPr>
        <w:t xml:space="preserve"> for these years nor indeed for any other year.  There is no information provided of PAYE payments for these tax years.</w:t>
      </w:r>
    </w:p>
    <w:p w:rsidR="00282376" w:rsidRDefault="00282376" w:rsidP="00282376">
      <w:pPr>
        <w:tabs>
          <w:tab w:val="left" w:pos="567"/>
        </w:tabs>
        <w:ind w:left="1440"/>
        <w:jc w:val="both"/>
        <w:rPr>
          <w:rFonts w:ascii="Book Antiqua" w:hAnsi="Book Antiqua" w:cs="Arial"/>
          <w:u w:val="single"/>
        </w:rPr>
      </w:pPr>
      <w:r>
        <w:rPr>
          <w:rFonts w:ascii="Book Antiqua" w:hAnsi="Book Antiqua" w:cs="Arial"/>
          <w:u w:val="single"/>
        </w:rPr>
        <w:t>2012-2013</w:t>
      </w:r>
    </w:p>
    <w:p w:rsidR="0005373C" w:rsidRDefault="00282376" w:rsidP="00282376">
      <w:pPr>
        <w:tabs>
          <w:tab w:val="left" w:pos="567"/>
        </w:tabs>
        <w:ind w:left="1440"/>
        <w:jc w:val="both"/>
        <w:rPr>
          <w:rFonts w:ascii="Book Antiqua" w:hAnsi="Book Antiqua" w:cs="Arial"/>
        </w:rPr>
      </w:pPr>
      <w:r>
        <w:rPr>
          <w:rFonts w:ascii="Book Antiqua" w:hAnsi="Book Antiqua" w:cs="Arial"/>
        </w:rPr>
        <w:t xml:space="preserve">There are three pay slips showing employment with Thanet Earth.  Those pay slips are dated 29 June 2013, 6 July 2013 and 13 July 2013.  The last of those pay slips shows earnings in the year to date of £716.01 which, when one adds up those pay slips suggests that she may have worked for a period of four weeks, earning between £170 and £200 per week.  There is a further pay slip dated 31 August 2013 showing gross earnings to date of £2031.84 to that date which suggests that Ms </w:t>
      </w:r>
      <w:r w:rsidR="004606D5">
        <w:rPr>
          <w:rFonts w:ascii="Book Antiqua" w:hAnsi="Book Antiqua" w:cs="Arial"/>
        </w:rPr>
        <w:t>[C]</w:t>
      </w:r>
      <w:r>
        <w:rPr>
          <w:rFonts w:ascii="Book Antiqua" w:hAnsi="Book Antiqua" w:cs="Arial"/>
        </w:rPr>
        <w:t xml:space="preserve"> may have worked between those dates earning roughly the same figure per week.  There is though no evidence that she worked beyond that date.</w:t>
      </w:r>
      <w:r w:rsidR="0005373C">
        <w:rPr>
          <w:rFonts w:ascii="Book Antiqua" w:hAnsi="Book Antiqua" w:cs="Arial"/>
        </w:rPr>
        <w:t xml:space="preserve"> There is no information in the HMRC Statement about earnings for that year.  Given the very low figure for PAYE in the latter pay slip, that may be due to earnings falling below the threshold for that year.  On balance, the evidence shows that Ms </w:t>
      </w:r>
      <w:r w:rsidR="004606D5">
        <w:rPr>
          <w:rFonts w:ascii="Book Antiqua" w:hAnsi="Book Antiqua" w:cs="Arial"/>
        </w:rPr>
        <w:t>[C]</w:t>
      </w:r>
      <w:r w:rsidR="0005373C">
        <w:rPr>
          <w:rFonts w:ascii="Book Antiqua" w:hAnsi="Book Antiqua" w:cs="Arial"/>
        </w:rPr>
        <w:t xml:space="preserve"> was working for about two months mid-June to end of August but no more.</w:t>
      </w:r>
    </w:p>
    <w:p w:rsidR="0005373C" w:rsidRDefault="0005373C" w:rsidP="00282376">
      <w:pPr>
        <w:tabs>
          <w:tab w:val="left" w:pos="567"/>
        </w:tabs>
        <w:ind w:left="1440"/>
        <w:jc w:val="both"/>
        <w:rPr>
          <w:rFonts w:ascii="Book Antiqua" w:hAnsi="Book Antiqua" w:cs="Arial"/>
          <w:u w:val="single"/>
        </w:rPr>
      </w:pPr>
      <w:r>
        <w:rPr>
          <w:rFonts w:ascii="Book Antiqua" w:hAnsi="Book Antiqua" w:cs="Arial"/>
          <w:u w:val="single"/>
        </w:rPr>
        <w:t>2013-14</w:t>
      </w:r>
    </w:p>
    <w:p w:rsidR="0005373C" w:rsidRDefault="0005373C" w:rsidP="00282376">
      <w:pPr>
        <w:tabs>
          <w:tab w:val="left" w:pos="567"/>
        </w:tabs>
        <w:ind w:left="1440"/>
        <w:jc w:val="both"/>
        <w:rPr>
          <w:rFonts w:ascii="Book Antiqua" w:hAnsi="Book Antiqua" w:cs="Arial"/>
        </w:rPr>
      </w:pPr>
      <w:r>
        <w:rPr>
          <w:rFonts w:ascii="Book Antiqua" w:hAnsi="Book Antiqua" w:cs="Arial"/>
        </w:rPr>
        <w:t xml:space="preserve">The HMRC Statement shows earnings of nil from employer Mr R Burt and £2701.53 gross earnings from NL Recruitment Ltd.  There are no other </w:t>
      </w:r>
      <w:r>
        <w:rPr>
          <w:rFonts w:ascii="Book Antiqua" w:hAnsi="Book Antiqua" w:cs="Arial"/>
        </w:rPr>
        <w:lastRenderedPageBreak/>
        <w:t xml:space="preserve">corroborating documents showing for how long </w:t>
      </w:r>
      <w:r w:rsidR="00C36806">
        <w:rPr>
          <w:rFonts w:ascii="Book Antiqua" w:hAnsi="Book Antiqua" w:cs="Arial"/>
        </w:rPr>
        <w:t xml:space="preserve">Ms </w:t>
      </w:r>
      <w:r w:rsidR="004606D5">
        <w:rPr>
          <w:rFonts w:ascii="Book Antiqua" w:hAnsi="Book Antiqua" w:cs="Arial"/>
        </w:rPr>
        <w:t>[C]</w:t>
      </w:r>
      <w:r>
        <w:rPr>
          <w:rFonts w:ascii="Book Antiqua" w:hAnsi="Book Antiqua" w:cs="Arial"/>
        </w:rPr>
        <w:t xml:space="preserve"> worked for NL Recruitment or whether she worked for Mr Burt but that her earnings were below the relevant threshold.  On balance, the evidence shows that Ms </w:t>
      </w:r>
      <w:r w:rsidR="004606D5">
        <w:rPr>
          <w:rFonts w:ascii="Book Antiqua" w:hAnsi="Book Antiqua" w:cs="Arial"/>
        </w:rPr>
        <w:t>[C]</w:t>
      </w:r>
      <w:r>
        <w:rPr>
          <w:rFonts w:ascii="Book Antiqua" w:hAnsi="Book Antiqua" w:cs="Arial"/>
        </w:rPr>
        <w:t xml:space="preserve"> worked for part of the year but, given the level of earnings, not the entire year. </w:t>
      </w:r>
    </w:p>
    <w:p w:rsidR="0005373C" w:rsidRDefault="0005373C" w:rsidP="00282376">
      <w:pPr>
        <w:tabs>
          <w:tab w:val="left" w:pos="567"/>
        </w:tabs>
        <w:ind w:left="1440"/>
        <w:jc w:val="both"/>
        <w:rPr>
          <w:rFonts w:ascii="Book Antiqua" w:hAnsi="Book Antiqua" w:cs="Arial"/>
          <w:u w:val="single"/>
        </w:rPr>
      </w:pPr>
      <w:r>
        <w:rPr>
          <w:rFonts w:ascii="Book Antiqua" w:hAnsi="Book Antiqua" w:cs="Arial"/>
          <w:u w:val="single"/>
        </w:rPr>
        <w:t>2014-15</w:t>
      </w:r>
    </w:p>
    <w:p w:rsidR="0005373C" w:rsidRDefault="0005373C" w:rsidP="00282376">
      <w:pPr>
        <w:tabs>
          <w:tab w:val="left" w:pos="567"/>
        </w:tabs>
        <w:ind w:left="1440"/>
        <w:jc w:val="both"/>
        <w:rPr>
          <w:rFonts w:ascii="Book Antiqua" w:hAnsi="Book Antiqua" w:cs="Arial"/>
        </w:rPr>
      </w:pPr>
      <w:r>
        <w:rPr>
          <w:rFonts w:ascii="Book Antiqua" w:hAnsi="Book Antiqua" w:cs="Arial"/>
        </w:rPr>
        <w:t xml:space="preserve">There are pay slips for weeks ending 20 December 2014 through to 14 March 2015 showing that Ms </w:t>
      </w:r>
      <w:r w:rsidR="004606D5">
        <w:rPr>
          <w:rFonts w:ascii="Book Antiqua" w:hAnsi="Book Antiqua" w:cs="Arial"/>
        </w:rPr>
        <w:t>[C]</w:t>
      </w:r>
      <w:r>
        <w:rPr>
          <w:rFonts w:ascii="Book Antiqua" w:hAnsi="Book Antiqua" w:cs="Arial"/>
        </w:rPr>
        <w:t xml:space="preserve"> was working for HR Go plc.  The HMRC Statement shows that her gross earnings for that company were £3210.96.  That is about £400 higher than the earnings shown on the last pay slip in that year which would be consistent with Ms </w:t>
      </w:r>
      <w:r w:rsidR="004606D5">
        <w:rPr>
          <w:rFonts w:ascii="Book Antiqua" w:hAnsi="Book Antiqua" w:cs="Arial"/>
        </w:rPr>
        <w:t>[C]</w:t>
      </w:r>
      <w:r>
        <w:rPr>
          <w:rFonts w:ascii="Book Antiqua" w:hAnsi="Book Antiqua" w:cs="Arial"/>
        </w:rPr>
        <w:t xml:space="preserve"> having continued to work for that company to the end of that tax year.  The figure on the first of the pay slips shows gross earnings to date and the earnings in the week ending 20 December 2014 as the same figure.  There is therefore evidence that Ms </w:t>
      </w:r>
      <w:r w:rsidR="004606D5">
        <w:rPr>
          <w:rFonts w:ascii="Book Antiqua" w:hAnsi="Book Antiqua" w:cs="Arial"/>
        </w:rPr>
        <w:t>[C]</w:t>
      </w:r>
      <w:r>
        <w:rPr>
          <w:rFonts w:ascii="Book Antiqua" w:hAnsi="Book Antiqua" w:cs="Arial"/>
        </w:rPr>
        <w:t xml:space="preserve"> worked from 20 December 2014 to end of that tax year but not before 20 December 2014.</w:t>
      </w:r>
    </w:p>
    <w:p w:rsidR="0005373C" w:rsidRDefault="0005373C" w:rsidP="00282376">
      <w:pPr>
        <w:tabs>
          <w:tab w:val="left" w:pos="567"/>
        </w:tabs>
        <w:ind w:left="1440"/>
        <w:jc w:val="both"/>
        <w:rPr>
          <w:rFonts w:ascii="Book Antiqua" w:hAnsi="Book Antiqua" w:cs="Arial"/>
          <w:u w:val="single"/>
        </w:rPr>
      </w:pPr>
      <w:r>
        <w:rPr>
          <w:rFonts w:ascii="Book Antiqua" w:hAnsi="Book Antiqua" w:cs="Arial"/>
          <w:u w:val="single"/>
        </w:rPr>
        <w:t>2015-16</w:t>
      </w:r>
    </w:p>
    <w:p w:rsidR="004B69CE" w:rsidRDefault="004B69CE" w:rsidP="00282376">
      <w:pPr>
        <w:tabs>
          <w:tab w:val="left" w:pos="567"/>
        </w:tabs>
        <w:ind w:left="1440"/>
        <w:jc w:val="both"/>
        <w:rPr>
          <w:rFonts w:ascii="Book Antiqua" w:hAnsi="Book Antiqua" w:cs="Arial"/>
        </w:rPr>
      </w:pPr>
      <w:r>
        <w:rPr>
          <w:rFonts w:ascii="Book Antiqua" w:hAnsi="Book Antiqua" w:cs="Arial"/>
        </w:rPr>
        <w:t xml:space="preserve">There is one pay slip from HR Go plc dated 1 May 2015 for the week ending 25 April 2015.  That shows gross earnings of £958.75 in the tax year to date and £256.85 for that period.  That is consistent with Ms </w:t>
      </w:r>
      <w:r w:rsidR="004606D5">
        <w:rPr>
          <w:rFonts w:ascii="Book Antiqua" w:hAnsi="Book Antiqua" w:cs="Arial"/>
        </w:rPr>
        <w:t>[C]</w:t>
      </w:r>
      <w:r>
        <w:rPr>
          <w:rFonts w:ascii="Book Antiqua" w:hAnsi="Book Antiqua" w:cs="Arial"/>
        </w:rPr>
        <w:t xml:space="preserve"> having worked from the beginning of that tax year to that date.  A P45 provides evidence that Ms </w:t>
      </w:r>
      <w:r w:rsidR="004606D5">
        <w:rPr>
          <w:rFonts w:ascii="Book Antiqua" w:hAnsi="Book Antiqua" w:cs="Arial"/>
        </w:rPr>
        <w:t>[C]</w:t>
      </w:r>
      <w:r>
        <w:rPr>
          <w:rFonts w:ascii="Book Antiqua" w:hAnsi="Book Antiqua" w:cs="Arial"/>
        </w:rPr>
        <w:t xml:space="preserve"> left HR Go plc on 19 September 2015. Her earnings are shown as £4225.56</w:t>
      </w:r>
      <w:r w:rsidR="003A2C2D">
        <w:rPr>
          <w:rFonts w:ascii="Book Antiqua" w:hAnsi="Book Antiqua" w:cs="Arial"/>
        </w:rPr>
        <w:t>.</w:t>
      </w:r>
      <w:r>
        <w:rPr>
          <w:rFonts w:ascii="Book Antiqua" w:hAnsi="Book Antiqua" w:cs="Arial"/>
        </w:rPr>
        <w:t xml:space="preserve"> However, the HMRC Statement provides evidence that Ms </w:t>
      </w:r>
      <w:r w:rsidR="004606D5">
        <w:rPr>
          <w:rFonts w:ascii="Book Antiqua" w:hAnsi="Book Antiqua" w:cs="Arial"/>
        </w:rPr>
        <w:t>[C]</w:t>
      </w:r>
      <w:r>
        <w:rPr>
          <w:rFonts w:ascii="Book Antiqua" w:hAnsi="Book Antiqua" w:cs="Arial"/>
        </w:rPr>
        <w:t xml:space="preserve"> worked for three periods for HR Go plc in 2015-16 earning respectively £4225.56, £110.40 and £3604.39.  Based on the average earnings shown on the pay slips which I do have, the total of those earnings </w:t>
      </w:r>
      <w:proofErr w:type="gramStart"/>
      <w:r>
        <w:rPr>
          <w:rFonts w:ascii="Book Antiqua" w:hAnsi="Book Antiqua" w:cs="Arial"/>
        </w:rPr>
        <w:t>suggest</w:t>
      </w:r>
      <w:proofErr w:type="gramEnd"/>
      <w:r>
        <w:rPr>
          <w:rFonts w:ascii="Book Antiqua" w:hAnsi="Book Antiqua" w:cs="Arial"/>
        </w:rPr>
        <w:t xml:space="preserve"> that Ms </w:t>
      </w:r>
      <w:r w:rsidR="004606D5">
        <w:rPr>
          <w:rFonts w:ascii="Book Antiqua" w:hAnsi="Book Antiqua" w:cs="Arial"/>
        </w:rPr>
        <w:t>[C]</w:t>
      </w:r>
      <w:r>
        <w:rPr>
          <w:rFonts w:ascii="Book Antiqua" w:hAnsi="Book Antiqua" w:cs="Arial"/>
        </w:rPr>
        <w:t xml:space="preserve"> was working for just over half of that year.  </w:t>
      </w:r>
    </w:p>
    <w:p w:rsidR="004B69CE" w:rsidRDefault="004B69CE" w:rsidP="00282376">
      <w:pPr>
        <w:tabs>
          <w:tab w:val="left" w:pos="567"/>
        </w:tabs>
        <w:ind w:left="1440"/>
        <w:jc w:val="both"/>
        <w:rPr>
          <w:rFonts w:ascii="Book Antiqua" w:hAnsi="Book Antiqua" w:cs="Arial"/>
          <w:u w:val="single"/>
        </w:rPr>
      </w:pPr>
      <w:r>
        <w:rPr>
          <w:rFonts w:ascii="Book Antiqua" w:hAnsi="Book Antiqua" w:cs="Arial"/>
          <w:u w:val="single"/>
        </w:rPr>
        <w:t>2016-17</w:t>
      </w:r>
    </w:p>
    <w:p w:rsidR="00640548" w:rsidRPr="00640548" w:rsidRDefault="004B69CE" w:rsidP="00282376">
      <w:pPr>
        <w:tabs>
          <w:tab w:val="left" w:pos="567"/>
        </w:tabs>
        <w:ind w:left="1440"/>
        <w:jc w:val="both"/>
        <w:rPr>
          <w:rFonts w:ascii="Book Antiqua" w:hAnsi="Book Antiqua" w:cs="Arial"/>
        </w:rPr>
      </w:pPr>
      <w:r>
        <w:rPr>
          <w:rFonts w:ascii="Book Antiqua" w:hAnsi="Book Antiqua" w:cs="Arial"/>
        </w:rPr>
        <w:t xml:space="preserve">There is one pay slip from Steadfast Cleaning Co Ltd in the bundle dated 5 August 2016 which shows earnings of £72 for one week.  There is also a P45 from Manpower UK Ltd which shows that Ms </w:t>
      </w:r>
      <w:r w:rsidR="004606D5">
        <w:rPr>
          <w:rFonts w:ascii="Book Antiqua" w:hAnsi="Book Antiqua" w:cs="Arial"/>
        </w:rPr>
        <w:t>[C]</w:t>
      </w:r>
      <w:r>
        <w:rPr>
          <w:rFonts w:ascii="Book Antiqua" w:hAnsi="Book Antiqua" w:cs="Arial"/>
        </w:rPr>
        <w:t xml:space="preserve"> left their employment on 7 August 2016.  Her earnings at that date are shown as £1119.36.  The HMRC Statement confirms those earnings.  It also shows that she earned £1749.60 from Steadfast Cleaning Co.  Based on the payslip in the bundle, that equates to over twenty weeks’ work.  She also earned £717.20 from HR Go plc.  </w:t>
      </w:r>
      <w:r w:rsidR="003A2C2D">
        <w:rPr>
          <w:rFonts w:ascii="Book Antiqua" w:hAnsi="Book Antiqua" w:cs="Arial"/>
        </w:rPr>
        <w:t xml:space="preserve">Although I accept that there is no evidence as to the average </w:t>
      </w:r>
      <w:proofErr w:type="gramStart"/>
      <w:r w:rsidR="003A2C2D">
        <w:rPr>
          <w:rFonts w:ascii="Book Antiqua" w:hAnsi="Book Antiqua" w:cs="Arial"/>
        </w:rPr>
        <w:t xml:space="preserve">earnings </w:t>
      </w:r>
      <w:r>
        <w:rPr>
          <w:rFonts w:ascii="Book Antiqua" w:hAnsi="Book Antiqua" w:cs="Arial"/>
        </w:rPr>
        <w:t xml:space="preserve"> </w:t>
      </w:r>
      <w:r w:rsidR="003A2C2D">
        <w:rPr>
          <w:rFonts w:ascii="Book Antiqua" w:hAnsi="Book Antiqua" w:cs="Arial"/>
        </w:rPr>
        <w:t>for</w:t>
      </w:r>
      <w:proofErr w:type="gramEnd"/>
      <w:r w:rsidR="003A2C2D">
        <w:rPr>
          <w:rFonts w:ascii="Book Antiqua" w:hAnsi="Book Antiqua" w:cs="Arial"/>
        </w:rPr>
        <w:t xml:space="preserve"> Ms </w:t>
      </w:r>
      <w:r w:rsidR="004606D5">
        <w:rPr>
          <w:rFonts w:ascii="Book Antiqua" w:hAnsi="Book Antiqua" w:cs="Arial"/>
        </w:rPr>
        <w:t>[C]</w:t>
      </w:r>
      <w:r w:rsidR="003A2C2D">
        <w:rPr>
          <w:rFonts w:ascii="Book Antiqua" w:hAnsi="Book Antiqua" w:cs="Arial"/>
        </w:rPr>
        <w:t xml:space="preserve">’s employment with Manpower or when she was working for HR Go plc, given her previous average earnings, and the order in which the employment is shown in the HMRC Statement, the evidence supports Ms </w:t>
      </w:r>
      <w:r w:rsidR="004606D5">
        <w:rPr>
          <w:rFonts w:ascii="Book Antiqua" w:hAnsi="Book Antiqua" w:cs="Arial"/>
        </w:rPr>
        <w:t>[C]</w:t>
      </w:r>
      <w:r w:rsidR="003A2C2D">
        <w:rPr>
          <w:rFonts w:ascii="Book Antiqua" w:hAnsi="Book Antiqua" w:cs="Arial"/>
        </w:rPr>
        <w:t xml:space="preserve"> having worked prior to 7 August 2016 for a combination of HR Go plc and Manpower plc and from August 2016 for at least twenty further weeks which would be most of that tax year.  </w:t>
      </w:r>
      <w:r w:rsidR="00640548">
        <w:rPr>
          <w:rFonts w:ascii="Book Antiqua" w:hAnsi="Book Antiqua" w:cs="Arial"/>
        </w:rPr>
        <w:t xml:space="preserve"> </w:t>
      </w:r>
    </w:p>
    <w:p w:rsidR="003A2C2D" w:rsidRDefault="003A2C2D" w:rsidP="003A2C2D">
      <w:pPr>
        <w:tabs>
          <w:tab w:val="left" w:pos="567"/>
        </w:tabs>
        <w:ind w:left="927"/>
        <w:jc w:val="both"/>
        <w:rPr>
          <w:rFonts w:ascii="Book Antiqua" w:hAnsi="Book Antiqua" w:cs="Arial"/>
        </w:rPr>
      </w:pPr>
    </w:p>
    <w:p w:rsidR="007814DE" w:rsidRDefault="003A2C2D" w:rsidP="00E0620F">
      <w:pPr>
        <w:numPr>
          <w:ilvl w:val="0"/>
          <w:numId w:val="5"/>
        </w:numPr>
        <w:tabs>
          <w:tab w:val="left" w:pos="567"/>
        </w:tabs>
        <w:jc w:val="both"/>
        <w:rPr>
          <w:rFonts w:ascii="Book Antiqua" w:hAnsi="Book Antiqua" w:cs="Arial"/>
        </w:rPr>
      </w:pPr>
      <w:r>
        <w:rPr>
          <w:rFonts w:ascii="Book Antiqua" w:hAnsi="Book Antiqua" w:cs="Arial"/>
        </w:rPr>
        <w:t xml:space="preserve">I begin by considering whether the Appellant can show an entitlement to permanent residence. As noted above, the Appellant’s ground three in his challenge to the Decision is that the Judge had failed to take into account evidence which showed that Ms </w:t>
      </w:r>
      <w:r w:rsidR="004606D5">
        <w:rPr>
          <w:rFonts w:ascii="Book Antiqua" w:hAnsi="Book Antiqua" w:cs="Arial"/>
        </w:rPr>
        <w:t>[C]</w:t>
      </w:r>
      <w:r>
        <w:rPr>
          <w:rFonts w:ascii="Book Antiqua" w:hAnsi="Book Antiqua" w:cs="Arial"/>
        </w:rPr>
        <w:t xml:space="preserve"> had exercised Treaty rights for a continuous period of five years.  </w:t>
      </w:r>
    </w:p>
    <w:p w:rsidR="007814DE" w:rsidRDefault="007814DE" w:rsidP="00E0620F">
      <w:pPr>
        <w:numPr>
          <w:ilvl w:val="0"/>
          <w:numId w:val="5"/>
        </w:numPr>
        <w:tabs>
          <w:tab w:val="left" w:pos="567"/>
        </w:tabs>
        <w:jc w:val="both"/>
        <w:rPr>
          <w:rFonts w:ascii="Book Antiqua" w:hAnsi="Book Antiqua" w:cs="Arial"/>
        </w:rPr>
      </w:pPr>
      <w:r>
        <w:rPr>
          <w:rFonts w:ascii="Book Antiqua" w:hAnsi="Book Antiqua" w:cs="Arial"/>
        </w:rPr>
        <w:lastRenderedPageBreak/>
        <w:t xml:space="preserve">I take into account what is said in the Tribunal’s decision in </w:t>
      </w:r>
      <w:r>
        <w:rPr>
          <w:rFonts w:ascii="Book Antiqua" w:hAnsi="Book Antiqua" w:cs="Arial"/>
          <w:u w:val="single"/>
        </w:rPr>
        <w:t xml:space="preserve">Begum (EEA – worker – jobseeker) Pakistan </w:t>
      </w:r>
      <w:r>
        <w:rPr>
          <w:rFonts w:ascii="Book Antiqua" w:hAnsi="Book Antiqua" w:cs="Arial"/>
        </w:rPr>
        <w:t>[2011] UKUT 00275 (IAC) the relevant part of the headnote to which reads as follows:</w:t>
      </w:r>
    </w:p>
    <w:p w:rsidR="004606D5" w:rsidRDefault="004606D5" w:rsidP="007814DE">
      <w:pPr>
        <w:tabs>
          <w:tab w:val="left" w:pos="567"/>
        </w:tabs>
        <w:ind w:left="1440"/>
        <w:jc w:val="both"/>
        <w:rPr>
          <w:rFonts w:ascii="Book Antiqua" w:hAnsi="Book Antiqua" w:cs="Arial"/>
          <w:sz w:val="22"/>
          <w:szCs w:val="22"/>
        </w:rPr>
      </w:pPr>
    </w:p>
    <w:p w:rsidR="007814DE" w:rsidRPr="007814DE" w:rsidRDefault="007814DE" w:rsidP="007814DE">
      <w:pPr>
        <w:tabs>
          <w:tab w:val="left" w:pos="567"/>
        </w:tabs>
        <w:ind w:left="1440"/>
        <w:jc w:val="both"/>
        <w:rPr>
          <w:rFonts w:ascii="Book Antiqua" w:hAnsi="Book Antiqua" w:cs="Arial"/>
          <w:sz w:val="22"/>
          <w:szCs w:val="22"/>
        </w:rPr>
      </w:pPr>
      <w:r>
        <w:rPr>
          <w:rFonts w:ascii="Book Antiqua" w:hAnsi="Book Antiqua" w:cs="Arial"/>
          <w:sz w:val="22"/>
          <w:szCs w:val="22"/>
        </w:rPr>
        <w:t>“</w:t>
      </w:r>
      <w:r>
        <w:rPr>
          <w:rFonts w:ascii="Book Antiqua" w:hAnsi="Book Antiqua"/>
          <w:i/>
          <w:iCs/>
          <w:color w:val="000000"/>
        </w:rPr>
        <w:t>(1)   When deciding whether an EEA national is a worker for the purposes of the EEA Regulations, regard must be had to the fact that the term has a meaning in EU law, that it must be interpreted broadly and that it is not conditioned by the type of employment or the amount of income derived.  But a person who does not pursue effective and genuine activities, or pursues activities on such a small scale as to be regarded as purely marginal and ancillary or which have no economic value to an employer, is not a worker.  In this context, regard must be given to the nature of the employment relationship and the rights and duties of the person concerned to decide if work activities are effective and genuine.”</w:t>
      </w:r>
    </w:p>
    <w:p w:rsidR="007814DE" w:rsidRDefault="007814DE" w:rsidP="007814DE">
      <w:pPr>
        <w:tabs>
          <w:tab w:val="left" w:pos="567"/>
        </w:tabs>
        <w:ind w:left="927"/>
        <w:jc w:val="both"/>
        <w:rPr>
          <w:rFonts w:ascii="Book Antiqua" w:hAnsi="Book Antiqua" w:cs="Arial"/>
        </w:rPr>
      </w:pPr>
    </w:p>
    <w:p w:rsidR="00E52AE5" w:rsidRDefault="007814DE" w:rsidP="00E0620F">
      <w:pPr>
        <w:numPr>
          <w:ilvl w:val="0"/>
          <w:numId w:val="5"/>
        </w:numPr>
        <w:tabs>
          <w:tab w:val="left" w:pos="567"/>
        </w:tabs>
        <w:jc w:val="both"/>
        <w:rPr>
          <w:rFonts w:ascii="Book Antiqua" w:hAnsi="Book Antiqua" w:cs="Arial"/>
        </w:rPr>
      </w:pPr>
      <w:r>
        <w:rPr>
          <w:rFonts w:ascii="Book Antiqua" w:hAnsi="Book Antiqua" w:cs="Arial"/>
        </w:rPr>
        <w:t xml:space="preserve">I do not base my findings simply on the level of the income which Ms </w:t>
      </w:r>
      <w:r w:rsidR="004606D5">
        <w:rPr>
          <w:rFonts w:ascii="Book Antiqua" w:hAnsi="Book Antiqua" w:cs="Arial"/>
        </w:rPr>
        <w:t>[C]</w:t>
      </w:r>
      <w:r>
        <w:rPr>
          <w:rFonts w:ascii="Book Antiqua" w:hAnsi="Book Antiqua" w:cs="Arial"/>
        </w:rPr>
        <w:t xml:space="preserve"> is said to have earnt.  However, b</w:t>
      </w:r>
      <w:r w:rsidR="003A2C2D">
        <w:rPr>
          <w:rFonts w:ascii="Book Antiqua" w:hAnsi="Book Antiqua" w:cs="Arial"/>
        </w:rPr>
        <w:t>ased on the evidence</w:t>
      </w:r>
      <w:r>
        <w:rPr>
          <w:rFonts w:ascii="Book Antiqua" w:hAnsi="Book Antiqua" w:cs="Arial"/>
        </w:rPr>
        <w:t xml:space="preserve"> and for the reasons which I have given</w:t>
      </w:r>
      <w:r w:rsidR="003A2C2D">
        <w:rPr>
          <w:rFonts w:ascii="Book Antiqua" w:hAnsi="Book Antiqua" w:cs="Arial"/>
        </w:rPr>
        <w:t xml:space="preserve">, there are gaps in that evidence which, </w:t>
      </w:r>
      <w:r w:rsidR="00E52AE5">
        <w:rPr>
          <w:rFonts w:ascii="Book Antiqua" w:hAnsi="Book Antiqua" w:cs="Arial"/>
        </w:rPr>
        <w:t>when it is considered as a</w:t>
      </w:r>
      <w:r w:rsidR="003A2C2D">
        <w:rPr>
          <w:rFonts w:ascii="Book Antiqua" w:hAnsi="Book Antiqua" w:cs="Arial"/>
        </w:rPr>
        <w:t xml:space="preserve"> whole, does not show that she was working for a period of five years between 2010 and the date of divorce on </w:t>
      </w:r>
      <w:r w:rsidR="00E52AE5">
        <w:rPr>
          <w:rFonts w:ascii="Book Antiqua" w:hAnsi="Book Antiqua" w:cs="Arial"/>
        </w:rPr>
        <w:t xml:space="preserve">23 December 2016.  There is no evidence as to benefits claimed which may plug some of those gaps.  However, on the evidence before me, at best, the Appellant can show that Ms </w:t>
      </w:r>
      <w:r w:rsidR="004606D5">
        <w:rPr>
          <w:rFonts w:ascii="Book Antiqua" w:hAnsi="Book Antiqua" w:cs="Arial"/>
        </w:rPr>
        <w:t>[C]</w:t>
      </w:r>
      <w:r w:rsidR="00E52AE5">
        <w:rPr>
          <w:rFonts w:ascii="Book Antiqua" w:hAnsi="Book Antiqua" w:cs="Arial"/>
        </w:rPr>
        <w:t xml:space="preserve"> was working </w:t>
      </w:r>
      <w:r>
        <w:rPr>
          <w:rFonts w:ascii="Book Antiqua" w:hAnsi="Book Antiqua" w:cs="Arial"/>
        </w:rPr>
        <w:t xml:space="preserve">from mid-June to end August 2013 and then </w:t>
      </w:r>
      <w:r w:rsidR="00E52AE5">
        <w:rPr>
          <w:rFonts w:ascii="Book Antiqua" w:hAnsi="Book Antiqua" w:cs="Arial"/>
        </w:rPr>
        <w:t>from 20 December 2014</w:t>
      </w:r>
      <w:r>
        <w:rPr>
          <w:rFonts w:ascii="Book Antiqua" w:hAnsi="Book Antiqua" w:cs="Arial"/>
        </w:rPr>
        <w:t>. Even thereafter,</w:t>
      </w:r>
      <w:r w:rsidR="00E52AE5">
        <w:rPr>
          <w:rFonts w:ascii="Book Antiqua" w:hAnsi="Book Antiqua" w:cs="Arial"/>
        </w:rPr>
        <w:t xml:space="preserve"> th</w:t>
      </w:r>
      <w:r w:rsidR="006240D2">
        <w:rPr>
          <w:rFonts w:ascii="Book Antiqua" w:hAnsi="Book Antiqua" w:cs="Arial"/>
        </w:rPr>
        <w:t>e</w:t>
      </w:r>
      <w:r w:rsidR="00E52AE5">
        <w:rPr>
          <w:rFonts w:ascii="Book Antiqua" w:hAnsi="Book Antiqua" w:cs="Arial"/>
        </w:rPr>
        <w:t xml:space="preserve"> evidence includes gaps which may suggest that Ms </w:t>
      </w:r>
      <w:r w:rsidR="004606D5">
        <w:rPr>
          <w:rFonts w:ascii="Book Antiqua" w:hAnsi="Book Antiqua" w:cs="Arial"/>
        </w:rPr>
        <w:t>[C]</w:t>
      </w:r>
      <w:r w:rsidR="00E52AE5">
        <w:rPr>
          <w:rFonts w:ascii="Book Antiqua" w:hAnsi="Book Antiqua" w:cs="Arial"/>
        </w:rPr>
        <w:t xml:space="preserve"> was not exercising Treaty rights</w:t>
      </w:r>
      <w:r>
        <w:rPr>
          <w:rFonts w:ascii="Book Antiqua" w:hAnsi="Book Antiqua" w:cs="Arial"/>
        </w:rPr>
        <w:t xml:space="preserve"> for a continuous period</w:t>
      </w:r>
      <w:r w:rsidR="00E52AE5">
        <w:rPr>
          <w:rFonts w:ascii="Book Antiqua" w:hAnsi="Book Antiqua" w:cs="Arial"/>
        </w:rPr>
        <w:t xml:space="preserve">.  </w:t>
      </w:r>
    </w:p>
    <w:p w:rsidR="00E52AE5" w:rsidRDefault="00E52AE5" w:rsidP="00E52AE5">
      <w:pPr>
        <w:tabs>
          <w:tab w:val="left" w:pos="567"/>
        </w:tabs>
        <w:ind w:left="927"/>
        <w:jc w:val="both"/>
        <w:rPr>
          <w:rFonts w:ascii="Book Antiqua" w:hAnsi="Book Antiqua" w:cs="Arial"/>
        </w:rPr>
      </w:pPr>
    </w:p>
    <w:p w:rsidR="00E52AE5" w:rsidRDefault="00E52AE5" w:rsidP="00E0620F">
      <w:pPr>
        <w:numPr>
          <w:ilvl w:val="0"/>
          <w:numId w:val="5"/>
        </w:numPr>
        <w:tabs>
          <w:tab w:val="left" w:pos="567"/>
        </w:tabs>
        <w:jc w:val="both"/>
        <w:rPr>
          <w:rFonts w:ascii="Book Antiqua" w:hAnsi="Book Antiqua" w:cs="Arial"/>
        </w:rPr>
      </w:pPr>
      <w:r>
        <w:rPr>
          <w:rFonts w:ascii="Book Antiqua" w:hAnsi="Book Antiqua" w:cs="Arial"/>
        </w:rPr>
        <w:t xml:space="preserve">There is no dispute as to the Appellant having worked as if he were an EEA national exercising Treaty rights at all relevant times.  However, due to the lack of evidence that his former spouse was exercising Treaty rights for a continuous period prior to </w:t>
      </w:r>
      <w:r w:rsidR="007814DE">
        <w:rPr>
          <w:rFonts w:ascii="Book Antiqua" w:hAnsi="Book Antiqua" w:cs="Arial"/>
        </w:rPr>
        <w:t xml:space="preserve">20 </w:t>
      </w:r>
      <w:r>
        <w:rPr>
          <w:rFonts w:ascii="Book Antiqua" w:hAnsi="Book Antiqua" w:cs="Arial"/>
        </w:rPr>
        <w:t>December 2014 at the earliest, the Appellant cannot satisfy paragraph 15(1) (f) of the Regulations.  Indeed, Mr Turner conceded as much.</w:t>
      </w:r>
    </w:p>
    <w:p w:rsidR="00E52AE5" w:rsidRDefault="00E52AE5" w:rsidP="00E52AE5">
      <w:pPr>
        <w:pStyle w:val="ListParagraph"/>
        <w:rPr>
          <w:rFonts w:ascii="Book Antiqua" w:hAnsi="Book Antiqua" w:cs="Arial"/>
        </w:rPr>
      </w:pPr>
    </w:p>
    <w:p w:rsidR="00E52AE5" w:rsidRDefault="00E52AE5" w:rsidP="00E0620F">
      <w:pPr>
        <w:numPr>
          <w:ilvl w:val="0"/>
          <w:numId w:val="5"/>
        </w:numPr>
        <w:tabs>
          <w:tab w:val="left" w:pos="567"/>
        </w:tabs>
        <w:jc w:val="both"/>
        <w:rPr>
          <w:rFonts w:ascii="Book Antiqua" w:hAnsi="Book Antiqua" w:cs="Arial"/>
        </w:rPr>
      </w:pPr>
      <w:r>
        <w:rPr>
          <w:rFonts w:ascii="Book Antiqua" w:hAnsi="Book Antiqua" w:cs="Arial"/>
        </w:rPr>
        <w:t>However, Mr Turner pointed out that, although the covering letter to the application made refers to consideration of the Appellant’s entitlement to a permanent right of residence, the covering letter goes on to indicate that the application is made under Regulation 10(5)</w:t>
      </w:r>
      <w:r w:rsidR="006240D2">
        <w:rPr>
          <w:rFonts w:ascii="Book Antiqua" w:hAnsi="Book Antiqua" w:cs="Arial"/>
        </w:rPr>
        <w:t xml:space="preserve"> for a retained right of residence</w:t>
      </w:r>
      <w:r>
        <w:rPr>
          <w:rFonts w:ascii="Book Antiqua" w:hAnsi="Book Antiqua" w:cs="Arial"/>
        </w:rPr>
        <w:t xml:space="preserve">.  I therefore go on to consider whether the Appellant </w:t>
      </w:r>
      <w:r w:rsidR="006240D2">
        <w:rPr>
          <w:rFonts w:ascii="Book Antiqua" w:hAnsi="Book Antiqua" w:cs="Arial"/>
        </w:rPr>
        <w:t>can</w:t>
      </w:r>
      <w:r>
        <w:rPr>
          <w:rFonts w:ascii="Book Antiqua" w:hAnsi="Book Antiqua" w:cs="Arial"/>
        </w:rPr>
        <w:t xml:space="preserve"> satisfy that criteria. </w:t>
      </w:r>
    </w:p>
    <w:p w:rsidR="00E52AE5" w:rsidRDefault="00E52AE5" w:rsidP="00E52AE5">
      <w:pPr>
        <w:pStyle w:val="ListParagraph"/>
        <w:rPr>
          <w:rFonts w:ascii="Book Antiqua" w:hAnsi="Book Antiqua" w:cs="Arial"/>
        </w:rPr>
      </w:pPr>
    </w:p>
    <w:p w:rsidR="007814DE" w:rsidRDefault="007814DE" w:rsidP="00E0620F">
      <w:pPr>
        <w:numPr>
          <w:ilvl w:val="0"/>
          <w:numId w:val="5"/>
        </w:numPr>
        <w:tabs>
          <w:tab w:val="left" w:pos="567"/>
        </w:tabs>
        <w:jc w:val="both"/>
        <w:rPr>
          <w:rFonts w:ascii="Book Antiqua" w:hAnsi="Book Antiqua" w:cs="Arial"/>
        </w:rPr>
      </w:pPr>
      <w:r>
        <w:rPr>
          <w:rFonts w:ascii="Book Antiqua" w:hAnsi="Book Antiqua" w:cs="Arial"/>
        </w:rPr>
        <w:t xml:space="preserve">There is no dispute that the marriage lasted for three years.  The couple married on 27 November 2010 and the divorce was made final on 23 December 2016.  There is also no dispute that the couple lived together for at least one year.  Nor, as I have already indicated, is there any dispute about the Appellant having worked as if he were an EEA national exercising Treaty rights since the divorce and indeed before it.  </w:t>
      </w:r>
    </w:p>
    <w:p w:rsidR="007814DE" w:rsidRDefault="007814DE" w:rsidP="007814DE">
      <w:pPr>
        <w:pStyle w:val="ListParagraph"/>
        <w:rPr>
          <w:rFonts w:ascii="Book Antiqua" w:hAnsi="Book Antiqua" w:cs="Arial"/>
        </w:rPr>
      </w:pPr>
    </w:p>
    <w:p w:rsidR="00621D1A" w:rsidRDefault="007814DE" w:rsidP="00E0620F">
      <w:pPr>
        <w:numPr>
          <w:ilvl w:val="0"/>
          <w:numId w:val="5"/>
        </w:numPr>
        <w:tabs>
          <w:tab w:val="left" w:pos="567"/>
        </w:tabs>
        <w:jc w:val="both"/>
        <w:rPr>
          <w:rFonts w:ascii="Book Antiqua" w:hAnsi="Book Antiqua" w:cs="Arial"/>
        </w:rPr>
      </w:pPr>
      <w:r>
        <w:rPr>
          <w:rFonts w:ascii="Book Antiqua" w:hAnsi="Book Antiqua" w:cs="Arial"/>
        </w:rPr>
        <w:t xml:space="preserve">The only dispute previously was whether Ms </w:t>
      </w:r>
      <w:r w:rsidR="004606D5">
        <w:rPr>
          <w:rFonts w:ascii="Book Antiqua" w:hAnsi="Book Antiqua" w:cs="Arial"/>
        </w:rPr>
        <w:t>[C]</w:t>
      </w:r>
      <w:r>
        <w:rPr>
          <w:rFonts w:ascii="Book Antiqua" w:hAnsi="Book Antiqua" w:cs="Arial"/>
        </w:rPr>
        <w:t xml:space="preserve"> was exercising Treaty rights at the relevant date in relation to the breakdown of the marriage.  As is now made clear in </w:t>
      </w:r>
      <w:proofErr w:type="spellStart"/>
      <w:r w:rsidRPr="007814DE">
        <w:rPr>
          <w:rFonts w:ascii="Book Antiqua" w:hAnsi="Book Antiqua" w:cs="Arial"/>
          <w:u w:val="single"/>
        </w:rPr>
        <w:t>Bagaizieva</w:t>
      </w:r>
      <w:proofErr w:type="spellEnd"/>
      <w:r>
        <w:rPr>
          <w:rFonts w:ascii="Book Antiqua" w:hAnsi="Book Antiqua" w:cs="Arial"/>
        </w:rPr>
        <w:t xml:space="preserve">, although the marriage is not brought to an end prior to the </w:t>
      </w:r>
      <w:r>
        <w:rPr>
          <w:rFonts w:ascii="Book Antiqua" w:hAnsi="Book Antiqua" w:cs="Arial"/>
        </w:rPr>
        <w:lastRenderedPageBreak/>
        <w:t xml:space="preserve">decree absolute, the point when the Appellant needs to show that he meets the criteria for retained rights is at the date of initiation of the divorce proceedings.  Although the Appellant’s skeleton argument and grounds of appeal suggests that this was on </w:t>
      </w:r>
      <w:r w:rsidR="00621D1A">
        <w:rPr>
          <w:rFonts w:ascii="Book Antiqua" w:hAnsi="Book Antiqua" w:cs="Arial"/>
        </w:rPr>
        <w:t xml:space="preserve">4 November 2015, that assertion is inconsistent with the decree nisi which states that the petition was issued on 25 May 2016.  That inconsistency may be explained by the Appellant having sent the petition for issue (according to his chronology) on the former date but the decree nisi makes clear that it was not issued until the latter date.  That is the date when the proceedings for divorce were instituted and therefore the relevant date for the purpose of assessing whether Ms </w:t>
      </w:r>
      <w:r w:rsidR="004606D5">
        <w:rPr>
          <w:rFonts w:ascii="Book Antiqua" w:hAnsi="Book Antiqua" w:cs="Arial"/>
        </w:rPr>
        <w:t>[C]</w:t>
      </w:r>
      <w:r w:rsidR="00621D1A">
        <w:rPr>
          <w:rFonts w:ascii="Book Antiqua" w:hAnsi="Book Antiqua" w:cs="Arial"/>
        </w:rPr>
        <w:t xml:space="preserve"> was exercising Treaty rights.</w:t>
      </w:r>
    </w:p>
    <w:p w:rsidR="00621D1A" w:rsidRDefault="00621D1A" w:rsidP="00621D1A">
      <w:pPr>
        <w:pStyle w:val="ListParagraph"/>
        <w:rPr>
          <w:rFonts w:ascii="Book Antiqua" w:hAnsi="Book Antiqua" w:cs="Arial"/>
        </w:rPr>
      </w:pPr>
    </w:p>
    <w:p w:rsidR="00621D1A" w:rsidRDefault="00D9464A" w:rsidP="00E0620F">
      <w:pPr>
        <w:numPr>
          <w:ilvl w:val="0"/>
          <w:numId w:val="5"/>
        </w:numPr>
        <w:tabs>
          <w:tab w:val="left" w:pos="567"/>
        </w:tabs>
        <w:jc w:val="both"/>
        <w:rPr>
          <w:rFonts w:ascii="Book Antiqua" w:hAnsi="Book Antiqua" w:cs="Arial"/>
        </w:rPr>
      </w:pPr>
      <w:r>
        <w:rPr>
          <w:rFonts w:ascii="Book Antiqua" w:hAnsi="Book Antiqua" w:cs="Arial"/>
        </w:rPr>
        <w:t>Based on the evidence which I set out</w:t>
      </w:r>
      <w:r w:rsidR="00621D1A">
        <w:rPr>
          <w:rFonts w:ascii="Book Antiqua" w:hAnsi="Book Antiqua" w:cs="Arial"/>
        </w:rPr>
        <w:t xml:space="preserve"> at [</w:t>
      </w:r>
      <w:r w:rsidR="007E0DA2">
        <w:rPr>
          <w:rFonts w:ascii="Book Antiqua" w:hAnsi="Book Antiqua" w:cs="Arial"/>
        </w:rPr>
        <w:t>1</w:t>
      </w:r>
      <w:r w:rsidR="00CC506D">
        <w:rPr>
          <w:rFonts w:ascii="Book Antiqua" w:hAnsi="Book Antiqua" w:cs="Arial"/>
        </w:rPr>
        <w:t>0</w:t>
      </w:r>
      <w:r w:rsidR="00621D1A">
        <w:rPr>
          <w:rFonts w:ascii="Book Antiqua" w:hAnsi="Book Antiqua" w:cs="Arial"/>
        </w:rPr>
        <w:t xml:space="preserve">] above, I accept that the evidence shows that it </w:t>
      </w:r>
      <w:r w:rsidR="00CC506D">
        <w:rPr>
          <w:rFonts w:ascii="Book Antiqua" w:hAnsi="Book Antiqua" w:cs="Arial"/>
        </w:rPr>
        <w:t>i</w:t>
      </w:r>
      <w:r w:rsidR="00621D1A">
        <w:rPr>
          <w:rFonts w:ascii="Book Antiqua" w:hAnsi="Book Antiqua" w:cs="Arial"/>
        </w:rPr>
        <w:t xml:space="preserve">s likely that Ms </w:t>
      </w:r>
      <w:r w:rsidR="004606D5">
        <w:rPr>
          <w:rFonts w:ascii="Book Antiqua" w:hAnsi="Book Antiqua" w:cs="Arial"/>
        </w:rPr>
        <w:t>[C]</w:t>
      </w:r>
      <w:r w:rsidR="00621D1A">
        <w:rPr>
          <w:rFonts w:ascii="Book Antiqua" w:hAnsi="Book Antiqua" w:cs="Arial"/>
        </w:rPr>
        <w:t xml:space="preserve"> was working at that date.  Indeed, Mr Walker accepted as much.  </w:t>
      </w:r>
    </w:p>
    <w:p w:rsidR="00621D1A" w:rsidRDefault="00621D1A" w:rsidP="00621D1A">
      <w:pPr>
        <w:pStyle w:val="ListParagraph"/>
        <w:rPr>
          <w:rFonts w:ascii="Book Antiqua" w:hAnsi="Book Antiqua" w:cs="Arial"/>
        </w:rPr>
      </w:pPr>
    </w:p>
    <w:p w:rsidR="001B0DB6" w:rsidRPr="007E0DA2" w:rsidRDefault="00621D1A" w:rsidP="005C6058">
      <w:pPr>
        <w:numPr>
          <w:ilvl w:val="0"/>
          <w:numId w:val="5"/>
        </w:numPr>
        <w:tabs>
          <w:tab w:val="left" w:pos="567"/>
        </w:tabs>
        <w:jc w:val="both"/>
        <w:rPr>
          <w:rFonts w:ascii="Book Antiqua" w:hAnsi="Book Antiqua" w:cs="Arial"/>
          <w:b/>
          <w:u w:val="single"/>
        </w:rPr>
      </w:pPr>
      <w:r w:rsidRPr="007E0DA2">
        <w:rPr>
          <w:rFonts w:ascii="Book Antiqua" w:hAnsi="Book Antiqua" w:cs="Arial"/>
        </w:rPr>
        <w:t>For those reasons, I conclude that the Appellant satisfies the criteria under regulation 10(5) of the Regulations for a retained right of residence but does not qualify for a permanent right of residence</w:t>
      </w:r>
      <w:r w:rsidR="00D9464A">
        <w:rPr>
          <w:rFonts w:ascii="Book Antiqua" w:hAnsi="Book Antiqua" w:cs="Arial"/>
        </w:rPr>
        <w:t xml:space="preserve">. </w:t>
      </w:r>
      <w:r w:rsidRPr="007E0DA2">
        <w:rPr>
          <w:rFonts w:ascii="Book Antiqua" w:hAnsi="Book Antiqua" w:cs="Arial"/>
        </w:rPr>
        <w:t xml:space="preserve"> The Appellant’s appeal is allowed on th</w:t>
      </w:r>
      <w:r w:rsidR="00D9464A">
        <w:rPr>
          <w:rFonts w:ascii="Book Antiqua" w:hAnsi="Book Antiqua" w:cs="Arial"/>
        </w:rPr>
        <w:t>e</w:t>
      </w:r>
      <w:r w:rsidRPr="007E0DA2">
        <w:rPr>
          <w:rFonts w:ascii="Book Antiqua" w:hAnsi="Book Antiqua" w:cs="Arial"/>
        </w:rPr>
        <w:t xml:space="preserve"> basis</w:t>
      </w:r>
      <w:r w:rsidR="00D9464A">
        <w:rPr>
          <w:rFonts w:ascii="Book Antiqua" w:hAnsi="Book Antiqua" w:cs="Arial"/>
        </w:rPr>
        <w:t xml:space="preserve"> that he is entitled to a retained right of residence</w:t>
      </w:r>
      <w:r w:rsidRPr="007E0DA2">
        <w:rPr>
          <w:rFonts w:ascii="Book Antiqua" w:hAnsi="Book Antiqua" w:cs="Arial"/>
        </w:rPr>
        <w:t xml:space="preserve">.  </w:t>
      </w:r>
    </w:p>
    <w:p w:rsidR="00EC3EB0" w:rsidRDefault="00EC3EB0" w:rsidP="00110DA1">
      <w:pPr>
        <w:tabs>
          <w:tab w:val="left" w:pos="567"/>
        </w:tabs>
        <w:jc w:val="both"/>
        <w:rPr>
          <w:rFonts w:ascii="Book Antiqua" w:hAnsi="Book Antiqua" w:cs="Arial"/>
          <w:b/>
          <w:u w:val="single"/>
        </w:rPr>
      </w:pPr>
    </w:p>
    <w:p w:rsidR="008A3B24" w:rsidRPr="00EC3EB0" w:rsidRDefault="00EC3EB0" w:rsidP="00110DA1">
      <w:pPr>
        <w:tabs>
          <w:tab w:val="left" w:pos="567"/>
        </w:tabs>
        <w:jc w:val="both"/>
        <w:rPr>
          <w:rFonts w:ascii="Book Antiqua" w:hAnsi="Book Antiqua" w:cs="Arial"/>
          <w:b/>
          <w:u w:val="single"/>
        </w:rPr>
      </w:pPr>
      <w:r>
        <w:rPr>
          <w:rFonts w:ascii="Book Antiqua" w:hAnsi="Book Antiqua" w:cs="Arial"/>
          <w:b/>
        </w:rPr>
        <w:tab/>
      </w:r>
      <w:r w:rsidR="008A3B24" w:rsidRPr="00EC3EB0">
        <w:rPr>
          <w:rFonts w:ascii="Book Antiqua" w:hAnsi="Book Antiqua" w:cs="Arial"/>
          <w:b/>
          <w:u w:val="single"/>
        </w:rPr>
        <w:t>DECISION</w:t>
      </w:r>
      <w:r w:rsidR="004410A2" w:rsidRPr="00EC3EB0">
        <w:rPr>
          <w:rFonts w:ascii="Book Antiqua" w:hAnsi="Book Antiqua" w:cs="Arial"/>
          <w:b/>
          <w:u w:val="single"/>
        </w:rPr>
        <w:t xml:space="preserve"> </w:t>
      </w:r>
    </w:p>
    <w:p w:rsidR="00077E83" w:rsidRPr="00EC3EB0" w:rsidRDefault="002E432C" w:rsidP="00123F76">
      <w:pPr>
        <w:tabs>
          <w:tab w:val="left" w:pos="567"/>
        </w:tabs>
        <w:ind w:left="567"/>
        <w:jc w:val="both"/>
        <w:rPr>
          <w:rFonts w:ascii="Book Antiqua" w:hAnsi="Book Antiqua" w:cs="Arial"/>
          <w:b/>
        </w:rPr>
      </w:pPr>
      <w:r w:rsidRPr="00EC3EB0">
        <w:rPr>
          <w:rFonts w:ascii="Book Antiqua" w:hAnsi="Book Antiqua" w:cs="Arial"/>
          <w:b/>
        </w:rPr>
        <w:t xml:space="preserve">I </w:t>
      </w:r>
      <w:r w:rsidR="0038349A" w:rsidRPr="00EC3EB0">
        <w:rPr>
          <w:rFonts w:ascii="Book Antiqua" w:hAnsi="Book Antiqua" w:cs="Arial"/>
          <w:b/>
        </w:rPr>
        <w:t>am satisfied that the Decision contain</w:t>
      </w:r>
      <w:r w:rsidR="00057703" w:rsidRPr="00EC3EB0">
        <w:rPr>
          <w:rFonts w:ascii="Book Antiqua" w:hAnsi="Book Antiqua" w:cs="Arial"/>
          <w:b/>
        </w:rPr>
        <w:t>s</w:t>
      </w:r>
      <w:r w:rsidR="0038349A" w:rsidRPr="00EC3EB0">
        <w:rPr>
          <w:rFonts w:ascii="Book Antiqua" w:hAnsi="Book Antiqua" w:cs="Arial"/>
          <w:b/>
        </w:rPr>
        <w:t xml:space="preserve"> </w:t>
      </w:r>
      <w:r w:rsidR="00101681">
        <w:rPr>
          <w:rFonts w:ascii="Book Antiqua" w:hAnsi="Book Antiqua" w:cs="Arial"/>
          <w:b/>
        </w:rPr>
        <w:t xml:space="preserve">a </w:t>
      </w:r>
      <w:r w:rsidR="005320AB" w:rsidRPr="00EC3EB0">
        <w:rPr>
          <w:rFonts w:ascii="Book Antiqua" w:hAnsi="Book Antiqua" w:cs="Arial"/>
          <w:b/>
        </w:rPr>
        <w:t>material</w:t>
      </w:r>
      <w:r w:rsidR="0038349A" w:rsidRPr="00EC3EB0">
        <w:rPr>
          <w:rFonts w:ascii="Book Antiqua" w:hAnsi="Book Antiqua" w:cs="Arial"/>
          <w:b/>
        </w:rPr>
        <w:t xml:space="preserve"> error of law</w:t>
      </w:r>
      <w:r w:rsidR="005320AB" w:rsidRPr="00EC3EB0">
        <w:rPr>
          <w:rFonts w:ascii="Book Antiqua" w:hAnsi="Book Antiqua" w:cs="Arial"/>
          <w:b/>
        </w:rPr>
        <w:t>.</w:t>
      </w:r>
      <w:r w:rsidR="0038349A" w:rsidRPr="00EC3EB0">
        <w:rPr>
          <w:rFonts w:ascii="Book Antiqua" w:hAnsi="Book Antiqua" w:cs="Arial"/>
          <w:b/>
        </w:rPr>
        <w:t xml:space="preserve"> </w:t>
      </w:r>
      <w:r w:rsidR="008806BD" w:rsidRPr="00EC3EB0">
        <w:rPr>
          <w:rFonts w:ascii="Book Antiqua" w:hAnsi="Book Antiqua" w:cs="Arial"/>
          <w:b/>
        </w:rPr>
        <w:t xml:space="preserve">The decision of First-tier Tribunal Judge </w:t>
      </w:r>
      <w:r w:rsidR="007E0DA2">
        <w:rPr>
          <w:rFonts w:ascii="Book Antiqua" w:hAnsi="Book Antiqua" w:cs="Arial"/>
          <w:b/>
        </w:rPr>
        <w:t>Young-Harry</w:t>
      </w:r>
      <w:r w:rsidR="008806BD" w:rsidRPr="00EC3EB0">
        <w:rPr>
          <w:rFonts w:ascii="Book Antiqua" w:hAnsi="Book Antiqua" w:cs="Arial"/>
          <w:b/>
        </w:rPr>
        <w:t xml:space="preserve"> promulgated on </w:t>
      </w:r>
      <w:r w:rsidR="007E0DA2">
        <w:rPr>
          <w:rFonts w:ascii="Book Antiqua" w:hAnsi="Book Antiqua" w:cs="Arial"/>
          <w:b/>
        </w:rPr>
        <w:t>12 March 2018</w:t>
      </w:r>
      <w:r w:rsidR="008806BD" w:rsidRPr="00EC3EB0">
        <w:rPr>
          <w:rFonts w:ascii="Book Antiqua" w:hAnsi="Book Antiqua" w:cs="Arial"/>
          <w:b/>
        </w:rPr>
        <w:t xml:space="preserve"> is set aside</w:t>
      </w:r>
      <w:r w:rsidR="00FA3FDF" w:rsidRPr="00EC3EB0">
        <w:rPr>
          <w:rFonts w:ascii="Book Antiqua" w:hAnsi="Book Antiqua" w:cs="Arial"/>
          <w:b/>
        </w:rPr>
        <w:t xml:space="preserve">. </w:t>
      </w:r>
      <w:r w:rsidR="0043543A">
        <w:rPr>
          <w:rFonts w:ascii="Book Antiqua" w:hAnsi="Book Antiqua" w:cs="Arial"/>
          <w:b/>
        </w:rPr>
        <w:t xml:space="preserve"> </w:t>
      </w:r>
    </w:p>
    <w:p w:rsidR="00C95D49" w:rsidRDefault="00E643E9" w:rsidP="00E80302">
      <w:pPr>
        <w:tabs>
          <w:tab w:val="left" w:pos="567"/>
        </w:tabs>
        <w:ind w:left="567"/>
        <w:jc w:val="both"/>
        <w:rPr>
          <w:rFonts w:ascii="Book Antiqua" w:hAnsi="Book Antiqua" w:cs="Arial"/>
          <w:b/>
        </w:rPr>
      </w:pPr>
      <w:r w:rsidRPr="00EC3EB0">
        <w:rPr>
          <w:rFonts w:ascii="Book Antiqua" w:hAnsi="Book Antiqua" w:cs="Arial"/>
          <w:b/>
        </w:rPr>
        <w:t xml:space="preserve">I </w:t>
      </w:r>
      <w:r w:rsidR="00123F76" w:rsidRPr="00EC3EB0">
        <w:rPr>
          <w:rFonts w:ascii="Book Antiqua" w:hAnsi="Book Antiqua" w:cs="Arial"/>
          <w:b/>
        </w:rPr>
        <w:t>re-</w:t>
      </w:r>
      <w:r w:rsidRPr="00EC3EB0">
        <w:rPr>
          <w:rFonts w:ascii="Book Antiqua" w:hAnsi="Book Antiqua" w:cs="Arial"/>
          <w:b/>
        </w:rPr>
        <w:t xml:space="preserve">make the </w:t>
      </w:r>
      <w:r w:rsidR="00123F76" w:rsidRPr="00EC3EB0">
        <w:rPr>
          <w:rFonts w:ascii="Book Antiqua" w:hAnsi="Book Antiqua" w:cs="Arial"/>
          <w:b/>
        </w:rPr>
        <w:t>decision</w:t>
      </w:r>
      <w:r w:rsidR="00E13247" w:rsidRPr="00EC3EB0">
        <w:rPr>
          <w:rFonts w:ascii="Book Antiqua" w:hAnsi="Book Antiqua" w:cs="Arial"/>
          <w:b/>
        </w:rPr>
        <w:t xml:space="preserve">.  I </w:t>
      </w:r>
      <w:r w:rsidR="00A24D24">
        <w:rPr>
          <w:rFonts w:ascii="Book Antiqua" w:hAnsi="Book Antiqua" w:cs="Arial"/>
          <w:b/>
        </w:rPr>
        <w:t>allow</w:t>
      </w:r>
      <w:r w:rsidR="00E13247" w:rsidRPr="00EC3EB0">
        <w:rPr>
          <w:rFonts w:ascii="Book Antiqua" w:hAnsi="Book Antiqua" w:cs="Arial"/>
          <w:b/>
        </w:rPr>
        <w:t xml:space="preserve"> the </w:t>
      </w:r>
      <w:r w:rsidR="0043543A">
        <w:rPr>
          <w:rFonts w:ascii="Book Antiqua" w:hAnsi="Book Antiqua" w:cs="Arial"/>
          <w:b/>
        </w:rPr>
        <w:t xml:space="preserve">Appellant’s </w:t>
      </w:r>
      <w:r w:rsidR="00E13247" w:rsidRPr="00EC3EB0">
        <w:rPr>
          <w:rFonts w:ascii="Book Antiqua" w:hAnsi="Book Antiqua" w:cs="Arial"/>
          <w:b/>
        </w:rPr>
        <w:t>appeal</w:t>
      </w:r>
      <w:r w:rsidR="007E0DA2">
        <w:rPr>
          <w:rFonts w:ascii="Book Antiqua" w:hAnsi="Book Antiqua" w:cs="Arial"/>
          <w:b/>
        </w:rPr>
        <w:t xml:space="preserve"> on the basis set out at [</w:t>
      </w:r>
      <w:r w:rsidR="00CC506D">
        <w:rPr>
          <w:rFonts w:ascii="Book Antiqua" w:hAnsi="Book Antiqua" w:cs="Arial"/>
          <w:b/>
        </w:rPr>
        <w:t>19</w:t>
      </w:r>
      <w:r w:rsidR="007E0DA2">
        <w:rPr>
          <w:rFonts w:ascii="Book Antiqua" w:hAnsi="Book Antiqua" w:cs="Arial"/>
          <w:b/>
        </w:rPr>
        <w:t>] above</w:t>
      </w:r>
      <w:r w:rsidR="00E13247" w:rsidRPr="00EC3EB0">
        <w:rPr>
          <w:rFonts w:ascii="Book Antiqua" w:hAnsi="Book Antiqua" w:cs="Arial"/>
          <w:b/>
        </w:rPr>
        <w:t>.</w:t>
      </w:r>
    </w:p>
    <w:p w:rsidR="00A57676" w:rsidRDefault="002A6E80" w:rsidP="00933B65">
      <w:pPr>
        <w:tabs>
          <w:tab w:val="left" w:pos="567"/>
        </w:tabs>
        <w:jc w:val="both"/>
        <w:rPr>
          <w:rFonts w:ascii="Book Antiqua" w:hAnsi="Book Antiqua" w:cs="Arial"/>
        </w:rPr>
      </w:pPr>
      <w:r>
        <w:rPr>
          <w:rFonts w:ascii="Book Antiqua" w:hAnsi="Book Antiqua" w:cs="Arial"/>
        </w:rPr>
        <w:tab/>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ED079F" w:rsidRPr="00013B64">
        <w:rPr>
          <w:rFonts w:ascii="Book Antiqua" w:hAnsi="Book Antiqua" w:cs="Arial"/>
          <w:noProof/>
        </w:rPr>
        <w:drawing>
          <wp:inline distT="0" distB="0" distL="0" distR="0">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6C7C57">
        <w:rPr>
          <w:rFonts w:ascii="Book Antiqua" w:hAnsi="Book Antiqua" w:cs="Arial"/>
        </w:rPr>
        <w:t xml:space="preserve"> </w:t>
      </w:r>
      <w:r w:rsidR="00CC506D">
        <w:rPr>
          <w:rFonts w:ascii="Book Antiqua" w:hAnsi="Book Antiqua" w:cs="Arial"/>
        </w:rPr>
        <w:t>17</w:t>
      </w:r>
      <w:r w:rsidR="007E0DA2">
        <w:rPr>
          <w:rFonts w:ascii="Book Antiqua" w:hAnsi="Book Antiqua" w:cs="Arial"/>
        </w:rPr>
        <w:t xml:space="preserve"> September</w:t>
      </w:r>
      <w:r w:rsidR="00E13247">
        <w:rPr>
          <w:rFonts w:ascii="Book Antiqua" w:hAnsi="Book Antiqua" w:cs="Arial"/>
        </w:rPr>
        <w:t xml:space="preserve"> 2018</w:t>
      </w:r>
    </w:p>
    <w:p w:rsidR="008832E8" w:rsidRDefault="00732041" w:rsidP="00DC331B">
      <w:pPr>
        <w:tabs>
          <w:tab w:val="left" w:pos="567"/>
        </w:tabs>
        <w:jc w:val="both"/>
        <w:rPr>
          <w:rFonts w:ascii="Book Antiqua" w:hAnsi="Book Antiqua" w:cs="Arial"/>
        </w:rPr>
      </w:pPr>
      <w:r>
        <w:rPr>
          <w:rFonts w:ascii="Book Antiqua" w:hAnsi="Book Antiqua" w:cs="Arial"/>
        </w:rPr>
        <w:tab/>
      </w:r>
      <w:smartTag w:uri="urn:schemas-microsoft-com:office:smarttags" w:element="PostalCode">
        <w:r w:rsidR="00546523">
          <w:rPr>
            <w:rFonts w:ascii="Book Antiqua" w:hAnsi="Book Antiqua" w:cs="Arial"/>
          </w:rPr>
          <w:t>Upper Tribunal</w:t>
        </w:r>
      </w:smartTag>
      <w:r w:rsidR="00546523">
        <w:rPr>
          <w:rFonts w:ascii="Book Antiqua" w:hAnsi="Book Antiqua" w:cs="Arial"/>
        </w:rPr>
        <w:t xml:space="preserve">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1A1" w:rsidRDefault="004201A1">
      <w:r>
        <w:separator/>
      </w:r>
    </w:p>
  </w:endnote>
  <w:endnote w:type="continuationSeparator" w:id="0">
    <w:p w:rsidR="004201A1" w:rsidRDefault="00420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593795" w:rsidRDefault="00EE036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F73F7">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090CF9" w:rsidRDefault="00EE0366" w:rsidP="00614E94">
    <w:pPr>
      <w:jc w:val="center"/>
      <w:rPr>
        <w:rFonts w:ascii="Arial" w:hAnsi="Arial" w:cs="Arial"/>
        <w:b/>
      </w:rPr>
    </w:pPr>
    <w:r w:rsidRPr="00090CF9">
      <w:rPr>
        <w:rFonts w:ascii="Arial" w:hAnsi="Arial" w:cs="Arial"/>
        <w:b/>
        <w:spacing w:val="-6"/>
      </w:rPr>
      <w:t>©</w:t>
    </w:r>
    <w:r w:rsidR="00E132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1A1" w:rsidRDefault="004201A1">
      <w:r>
        <w:separator/>
      </w:r>
    </w:p>
  </w:footnote>
  <w:footnote w:type="continuationSeparator" w:id="0">
    <w:p w:rsidR="004201A1" w:rsidRDefault="00420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995012" w:rsidRDefault="00EE0366" w:rsidP="00283B9A">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sidR="00C84274">
      <w:rPr>
        <w:rFonts w:ascii="Book Antiqua" w:hAnsi="Book Antiqua" w:cs="Arial"/>
        <w:sz w:val="16"/>
        <w:szCs w:val="16"/>
      </w:rPr>
      <w:t xml:space="preserve">: </w:t>
    </w:r>
    <w:r w:rsidR="00D155A8">
      <w:rPr>
        <w:rFonts w:ascii="Book Antiqua" w:hAnsi="Book Antiqua" w:cs="Arial"/>
        <w:sz w:val="16"/>
        <w:szCs w:val="16"/>
      </w:rPr>
      <w:t>EA/0</w:t>
    </w:r>
    <w:r w:rsidR="00137C62">
      <w:rPr>
        <w:rFonts w:ascii="Book Antiqua" w:hAnsi="Book Antiqua" w:cs="Arial"/>
        <w:sz w:val="16"/>
        <w:szCs w:val="16"/>
      </w:rPr>
      <w:t>429</w:t>
    </w:r>
    <w:r w:rsidR="00443B94">
      <w:rPr>
        <w:rFonts w:ascii="Book Antiqua" w:hAnsi="Book Antiqua" w:cs="Arial"/>
        <w:sz w:val="16"/>
        <w:szCs w:val="16"/>
      </w:rPr>
      <w:t>7</w:t>
    </w:r>
    <w:r w:rsidR="00D155A8">
      <w:rPr>
        <w:rFonts w:ascii="Book Antiqua" w:hAnsi="Book Antiqua" w:cs="Arial"/>
        <w:sz w:val="16"/>
        <w:szCs w:val="16"/>
      </w:rPr>
      <w:t>/2017</w:t>
    </w:r>
  </w:p>
  <w:p w:rsidR="00EE0366" w:rsidRPr="001C2435" w:rsidRDefault="00EE0366"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0B"/>
    <w:multiLevelType w:val="hybridMultilevel"/>
    <w:tmpl w:val="A63826F4"/>
    <w:lvl w:ilvl="0" w:tplc="BC72DD06">
      <w:start w:val="1"/>
      <w:numFmt w:val="decimal"/>
      <w:lvlText w:val="(%1)"/>
      <w:lvlJc w:val="left"/>
      <w:pPr>
        <w:ind w:left="1800" w:hanging="360"/>
      </w:pPr>
      <w:rPr>
        <w:rFonts w:ascii="Book Antiqua" w:eastAsia="Times New Roman" w:hAnsi="Book Antiqua"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76AA"/>
    <w:multiLevelType w:val="hybridMultilevel"/>
    <w:tmpl w:val="4C109696"/>
    <w:lvl w:ilvl="0" w:tplc="D188056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1707A"/>
    <w:multiLevelType w:val="hybridMultilevel"/>
    <w:tmpl w:val="4E92B8FA"/>
    <w:lvl w:ilvl="0" w:tplc="A45A9608">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6FE380E"/>
    <w:multiLevelType w:val="hybridMultilevel"/>
    <w:tmpl w:val="D83AE666"/>
    <w:lvl w:ilvl="0" w:tplc="D6004692">
      <w:start w:val="1"/>
      <w:numFmt w:val="lowerRoman"/>
      <w:lvlText w:val="(%1)"/>
      <w:lvlJc w:val="left"/>
      <w:pPr>
        <w:ind w:left="3237" w:hanging="72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7" w15:restartNumberingAfterBreak="0">
    <w:nsid w:val="1A125032"/>
    <w:multiLevelType w:val="hybridMultilevel"/>
    <w:tmpl w:val="45A663CE"/>
    <w:lvl w:ilvl="0" w:tplc="E4981EB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2548776B"/>
    <w:multiLevelType w:val="hybridMultilevel"/>
    <w:tmpl w:val="1E306B84"/>
    <w:lvl w:ilvl="0" w:tplc="125EFC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28D36A24"/>
    <w:multiLevelType w:val="multilevel"/>
    <w:tmpl w:val="495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E95375D"/>
    <w:multiLevelType w:val="hybridMultilevel"/>
    <w:tmpl w:val="780272EE"/>
    <w:lvl w:ilvl="0" w:tplc="CE0C3458">
      <w:numFmt w:val="bullet"/>
      <w:lvlText w:val="-"/>
      <w:lvlJc w:val="left"/>
      <w:pPr>
        <w:ind w:left="1800" w:hanging="360"/>
      </w:pPr>
      <w:rPr>
        <w:rFonts w:ascii="Book Antiqua" w:eastAsia="Times New Roman" w:hAnsi="Book Antiqua"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41897431"/>
    <w:multiLevelType w:val="hybridMultilevel"/>
    <w:tmpl w:val="889C54F4"/>
    <w:lvl w:ilvl="0" w:tplc="93EEBB92">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4"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8" w15:restartNumberingAfterBreak="0">
    <w:nsid w:val="523C14C1"/>
    <w:multiLevelType w:val="hybridMultilevel"/>
    <w:tmpl w:val="E710FE74"/>
    <w:lvl w:ilvl="0" w:tplc="8466BD0C">
      <w:start w:val="10"/>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57D130C9"/>
    <w:multiLevelType w:val="hybridMultilevel"/>
    <w:tmpl w:val="8D047F0C"/>
    <w:lvl w:ilvl="0" w:tplc="33D60DBE">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15:restartNumberingAfterBreak="0">
    <w:nsid w:val="5B1D24CA"/>
    <w:multiLevelType w:val="hybridMultilevel"/>
    <w:tmpl w:val="D0B074F4"/>
    <w:lvl w:ilvl="0" w:tplc="203ACF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5F557B33"/>
    <w:multiLevelType w:val="hybridMultilevel"/>
    <w:tmpl w:val="D9CE4F3C"/>
    <w:lvl w:ilvl="0" w:tplc="DA464E1C">
      <w:start w:val="1"/>
      <w:numFmt w:val="lowerLetter"/>
      <w:lvlText w:val="(%1)"/>
      <w:lvlJc w:val="left"/>
      <w:pPr>
        <w:ind w:left="2517" w:hanging="36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2"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5" w15:restartNumberingAfterBreak="0">
    <w:nsid w:val="73945660"/>
    <w:multiLevelType w:val="multilevel"/>
    <w:tmpl w:val="EB20D32C"/>
    <w:lvl w:ilvl="0">
      <w:start w:val="1"/>
      <w:numFmt w:val="decimal"/>
      <w:lvlText w:val="%1."/>
      <w:lvlJc w:val="left"/>
      <w:pPr>
        <w:tabs>
          <w:tab w:val="num" w:pos="1710"/>
        </w:tabs>
        <w:ind w:left="1710" w:hanging="360"/>
      </w:pPr>
    </w:lvl>
    <w:lvl w:ilvl="1">
      <w:start w:val="1"/>
      <w:numFmt w:val="decimal"/>
      <w:lvlText w:val="%2."/>
      <w:lvlJc w:val="left"/>
      <w:pPr>
        <w:tabs>
          <w:tab w:val="num" w:pos="2430"/>
        </w:tabs>
        <w:ind w:left="2430" w:hanging="360"/>
      </w:pPr>
    </w:lvl>
    <w:lvl w:ilvl="2">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6" w15:restartNumberingAfterBreak="0">
    <w:nsid w:val="74EE20CD"/>
    <w:multiLevelType w:val="hybridMultilevel"/>
    <w:tmpl w:val="013CA3BA"/>
    <w:lvl w:ilvl="0" w:tplc="46B86F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7"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7CBD2387"/>
    <w:multiLevelType w:val="hybridMultilevel"/>
    <w:tmpl w:val="849A888A"/>
    <w:lvl w:ilvl="0" w:tplc="D2FE098C">
      <w:start w:val="9"/>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abstractNumId w:val="17"/>
  </w:num>
  <w:num w:numId="2">
    <w:abstractNumId w:val="10"/>
  </w:num>
  <w:num w:numId="3">
    <w:abstractNumId w:val="15"/>
  </w:num>
  <w:num w:numId="4">
    <w:abstractNumId w:val="24"/>
  </w:num>
  <w:num w:numId="5">
    <w:abstractNumId w:val="4"/>
  </w:num>
  <w:num w:numId="6">
    <w:abstractNumId w:val="14"/>
  </w:num>
  <w:num w:numId="7">
    <w:abstractNumId w:val="22"/>
  </w:num>
  <w:num w:numId="8">
    <w:abstractNumId w:val="23"/>
  </w:num>
  <w:num w:numId="9">
    <w:abstractNumId w:val="27"/>
  </w:num>
  <w:num w:numId="10">
    <w:abstractNumId w:val="16"/>
  </w:num>
  <w:num w:numId="11">
    <w:abstractNumId w:val="3"/>
  </w:num>
  <w:num w:numId="12">
    <w:abstractNumId w:val="26"/>
  </w:num>
  <w:num w:numId="13">
    <w:abstractNumId w:val="13"/>
  </w:num>
  <w:num w:numId="14">
    <w:abstractNumId w:val="11"/>
  </w:num>
  <w:num w:numId="15">
    <w:abstractNumId w:val="20"/>
  </w:num>
  <w:num w:numId="16">
    <w:abstractNumId w:val="7"/>
  </w:num>
  <w:num w:numId="17">
    <w:abstractNumId w:val="8"/>
  </w:num>
  <w:num w:numId="18">
    <w:abstractNumId w:val="28"/>
  </w:num>
  <w:num w:numId="19">
    <w:abstractNumId w:val="9"/>
  </w:num>
  <w:num w:numId="20">
    <w:abstractNumId w:val="25"/>
  </w:num>
  <w:num w:numId="21">
    <w:abstractNumId w:val="21"/>
  </w:num>
  <w:num w:numId="22">
    <w:abstractNumId w:val="6"/>
  </w:num>
  <w:num w:numId="23">
    <w:abstractNumId w:val="1"/>
  </w:num>
  <w:num w:numId="24">
    <w:abstractNumId w:val="19"/>
  </w:num>
  <w:num w:numId="25">
    <w:abstractNumId w:val="2"/>
  </w:num>
  <w:num w:numId="26">
    <w:abstractNumId w:val="0"/>
  </w:num>
  <w:num w:numId="27">
    <w:abstractNumId w:val="12"/>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011"/>
    <w:rsid w:val="00002486"/>
    <w:rsid w:val="00002FC2"/>
    <w:rsid w:val="00010415"/>
    <w:rsid w:val="00011DE7"/>
    <w:rsid w:val="00017BD6"/>
    <w:rsid w:val="00021289"/>
    <w:rsid w:val="000222AF"/>
    <w:rsid w:val="000245E0"/>
    <w:rsid w:val="000249C2"/>
    <w:rsid w:val="00026948"/>
    <w:rsid w:val="0002779F"/>
    <w:rsid w:val="0003736A"/>
    <w:rsid w:val="00042619"/>
    <w:rsid w:val="00043FED"/>
    <w:rsid w:val="0004472B"/>
    <w:rsid w:val="00044E0B"/>
    <w:rsid w:val="00046D3B"/>
    <w:rsid w:val="00050956"/>
    <w:rsid w:val="00051B5B"/>
    <w:rsid w:val="0005337D"/>
    <w:rsid w:val="0005373C"/>
    <w:rsid w:val="000561EC"/>
    <w:rsid w:val="00057703"/>
    <w:rsid w:val="0006043E"/>
    <w:rsid w:val="000644CE"/>
    <w:rsid w:val="00065DCD"/>
    <w:rsid w:val="00073F28"/>
    <w:rsid w:val="000777FF"/>
    <w:rsid w:val="00077E83"/>
    <w:rsid w:val="000837F1"/>
    <w:rsid w:val="00083816"/>
    <w:rsid w:val="00087D4B"/>
    <w:rsid w:val="000923A6"/>
    <w:rsid w:val="0009327C"/>
    <w:rsid w:val="000A16AD"/>
    <w:rsid w:val="000A1810"/>
    <w:rsid w:val="000A224F"/>
    <w:rsid w:val="000A46F9"/>
    <w:rsid w:val="000C0334"/>
    <w:rsid w:val="000C5D5F"/>
    <w:rsid w:val="000C6434"/>
    <w:rsid w:val="000C732B"/>
    <w:rsid w:val="000D6CBE"/>
    <w:rsid w:val="000E090E"/>
    <w:rsid w:val="000E0920"/>
    <w:rsid w:val="000E5731"/>
    <w:rsid w:val="000E6247"/>
    <w:rsid w:val="000F03A5"/>
    <w:rsid w:val="000F32DF"/>
    <w:rsid w:val="000F6299"/>
    <w:rsid w:val="000F6CD2"/>
    <w:rsid w:val="00100177"/>
    <w:rsid w:val="00101681"/>
    <w:rsid w:val="0010323A"/>
    <w:rsid w:val="0010580E"/>
    <w:rsid w:val="001058E3"/>
    <w:rsid w:val="00110DA1"/>
    <w:rsid w:val="001124BB"/>
    <w:rsid w:val="00112828"/>
    <w:rsid w:val="00114048"/>
    <w:rsid w:val="00115648"/>
    <w:rsid w:val="00116187"/>
    <w:rsid w:val="00116898"/>
    <w:rsid w:val="001205DD"/>
    <w:rsid w:val="001225AD"/>
    <w:rsid w:val="00123F76"/>
    <w:rsid w:val="00127F8F"/>
    <w:rsid w:val="00133186"/>
    <w:rsid w:val="001353E0"/>
    <w:rsid w:val="00137C62"/>
    <w:rsid w:val="001417A0"/>
    <w:rsid w:val="00142E04"/>
    <w:rsid w:val="0014609C"/>
    <w:rsid w:val="00147E13"/>
    <w:rsid w:val="00150E38"/>
    <w:rsid w:val="00154BAA"/>
    <w:rsid w:val="001628EA"/>
    <w:rsid w:val="00170894"/>
    <w:rsid w:val="001737A3"/>
    <w:rsid w:val="00187CB1"/>
    <w:rsid w:val="00194269"/>
    <w:rsid w:val="001A373D"/>
    <w:rsid w:val="001A598B"/>
    <w:rsid w:val="001B0689"/>
    <w:rsid w:val="001B0DB6"/>
    <w:rsid w:val="001B1043"/>
    <w:rsid w:val="001B2EC2"/>
    <w:rsid w:val="001B5AE7"/>
    <w:rsid w:val="001B7DDF"/>
    <w:rsid w:val="001C02A3"/>
    <w:rsid w:val="001C140B"/>
    <w:rsid w:val="001C2435"/>
    <w:rsid w:val="001C3DAE"/>
    <w:rsid w:val="001C6743"/>
    <w:rsid w:val="001C76DF"/>
    <w:rsid w:val="001D6E9D"/>
    <w:rsid w:val="001E76AB"/>
    <w:rsid w:val="001F73F7"/>
    <w:rsid w:val="00200009"/>
    <w:rsid w:val="00200671"/>
    <w:rsid w:val="0021298B"/>
    <w:rsid w:val="00217205"/>
    <w:rsid w:val="0022326D"/>
    <w:rsid w:val="00223294"/>
    <w:rsid w:val="0022414D"/>
    <w:rsid w:val="002317F8"/>
    <w:rsid w:val="00231E1A"/>
    <w:rsid w:val="00233DBF"/>
    <w:rsid w:val="00234BDC"/>
    <w:rsid w:val="00236E51"/>
    <w:rsid w:val="0023741F"/>
    <w:rsid w:val="002415AB"/>
    <w:rsid w:val="002425B6"/>
    <w:rsid w:val="00242D8C"/>
    <w:rsid w:val="002436DB"/>
    <w:rsid w:val="00255546"/>
    <w:rsid w:val="002645B2"/>
    <w:rsid w:val="00264A55"/>
    <w:rsid w:val="00265927"/>
    <w:rsid w:val="00266FFE"/>
    <w:rsid w:val="00270D89"/>
    <w:rsid w:val="00273B9D"/>
    <w:rsid w:val="002773D7"/>
    <w:rsid w:val="00282376"/>
    <w:rsid w:val="00283B9A"/>
    <w:rsid w:val="00293FDA"/>
    <w:rsid w:val="0029513D"/>
    <w:rsid w:val="00297367"/>
    <w:rsid w:val="002A6E80"/>
    <w:rsid w:val="002A70E3"/>
    <w:rsid w:val="002A751F"/>
    <w:rsid w:val="002B3C12"/>
    <w:rsid w:val="002B3EDE"/>
    <w:rsid w:val="002B622F"/>
    <w:rsid w:val="002C3AE9"/>
    <w:rsid w:val="002C423E"/>
    <w:rsid w:val="002E0AE0"/>
    <w:rsid w:val="002E1983"/>
    <w:rsid w:val="002E432C"/>
    <w:rsid w:val="002E541B"/>
    <w:rsid w:val="002F275C"/>
    <w:rsid w:val="002F4876"/>
    <w:rsid w:val="002F49C0"/>
    <w:rsid w:val="002F686C"/>
    <w:rsid w:val="002F6D78"/>
    <w:rsid w:val="003034B5"/>
    <w:rsid w:val="00310E00"/>
    <w:rsid w:val="003129A4"/>
    <w:rsid w:val="00312D7E"/>
    <w:rsid w:val="0031469A"/>
    <w:rsid w:val="003165BE"/>
    <w:rsid w:val="00323DE8"/>
    <w:rsid w:val="0033297D"/>
    <w:rsid w:val="00345182"/>
    <w:rsid w:val="003470B5"/>
    <w:rsid w:val="00360A06"/>
    <w:rsid w:val="003610A9"/>
    <w:rsid w:val="0036211D"/>
    <w:rsid w:val="00365325"/>
    <w:rsid w:val="00365E22"/>
    <w:rsid w:val="00366ABB"/>
    <w:rsid w:val="0038284C"/>
    <w:rsid w:val="0038349A"/>
    <w:rsid w:val="00385FB5"/>
    <w:rsid w:val="00397A5C"/>
    <w:rsid w:val="003A1140"/>
    <w:rsid w:val="003A2C2D"/>
    <w:rsid w:val="003A342C"/>
    <w:rsid w:val="003A4DDA"/>
    <w:rsid w:val="003A69B2"/>
    <w:rsid w:val="003A69CA"/>
    <w:rsid w:val="003B159F"/>
    <w:rsid w:val="003B1CC1"/>
    <w:rsid w:val="003B22BB"/>
    <w:rsid w:val="003B2DA4"/>
    <w:rsid w:val="003B5DC1"/>
    <w:rsid w:val="003B68AF"/>
    <w:rsid w:val="003C0633"/>
    <w:rsid w:val="003C090E"/>
    <w:rsid w:val="003C2FCF"/>
    <w:rsid w:val="003C3E80"/>
    <w:rsid w:val="003C5047"/>
    <w:rsid w:val="003C5A70"/>
    <w:rsid w:val="003D330F"/>
    <w:rsid w:val="003E0908"/>
    <w:rsid w:val="003E1F55"/>
    <w:rsid w:val="003E6C9C"/>
    <w:rsid w:val="003F071F"/>
    <w:rsid w:val="003F1265"/>
    <w:rsid w:val="003F61B4"/>
    <w:rsid w:val="00400A00"/>
    <w:rsid w:val="00403258"/>
    <w:rsid w:val="004121BF"/>
    <w:rsid w:val="004171D0"/>
    <w:rsid w:val="004201A1"/>
    <w:rsid w:val="0042142E"/>
    <w:rsid w:val="00427C98"/>
    <w:rsid w:val="004314E7"/>
    <w:rsid w:val="004349B6"/>
    <w:rsid w:val="00434C18"/>
    <w:rsid w:val="0043543A"/>
    <w:rsid w:val="00435C31"/>
    <w:rsid w:val="004410A2"/>
    <w:rsid w:val="0044131A"/>
    <w:rsid w:val="0044240D"/>
    <w:rsid w:val="00443731"/>
    <w:rsid w:val="00443B94"/>
    <w:rsid w:val="00446103"/>
    <w:rsid w:val="004606D5"/>
    <w:rsid w:val="00461DC1"/>
    <w:rsid w:val="004630D5"/>
    <w:rsid w:val="00474F86"/>
    <w:rsid w:val="004865FC"/>
    <w:rsid w:val="004A012D"/>
    <w:rsid w:val="004A13AF"/>
    <w:rsid w:val="004A4D99"/>
    <w:rsid w:val="004B0701"/>
    <w:rsid w:val="004B69CE"/>
    <w:rsid w:val="004D293C"/>
    <w:rsid w:val="004D341F"/>
    <w:rsid w:val="004E212A"/>
    <w:rsid w:val="004E2C3E"/>
    <w:rsid w:val="004E2E8E"/>
    <w:rsid w:val="004E322D"/>
    <w:rsid w:val="004E5146"/>
    <w:rsid w:val="004E7C16"/>
    <w:rsid w:val="004F544C"/>
    <w:rsid w:val="00503D4C"/>
    <w:rsid w:val="00513B3A"/>
    <w:rsid w:val="00515E6B"/>
    <w:rsid w:val="0051780C"/>
    <w:rsid w:val="00522AF8"/>
    <w:rsid w:val="0052470A"/>
    <w:rsid w:val="005320AB"/>
    <w:rsid w:val="00540736"/>
    <w:rsid w:val="00546044"/>
    <w:rsid w:val="00546523"/>
    <w:rsid w:val="00550967"/>
    <w:rsid w:val="0055164B"/>
    <w:rsid w:val="00554478"/>
    <w:rsid w:val="005551AD"/>
    <w:rsid w:val="005552E3"/>
    <w:rsid w:val="00556E8A"/>
    <w:rsid w:val="005608BE"/>
    <w:rsid w:val="00561AB6"/>
    <w:rsid w:val="00562644"/>
    <w:rsid w:val="00563B8E"/>
    <w:rsid w:val="00564C45"/>
    <w:rsid w:val="005677C9"/>
    <w:rsid w:val="00567D97"/>
    <w:rsid w:val="0057020B"/>
    <w:rsid w:val="005819E4"/>
    <w:rsid w:val="00582C9E"/>
    <w:rsid w:val="00585D93"/>
    <w:rsid w:val="0059152B"/>
    <w:rsid w:val="005920A7"/>
    <w:rsid w:val="00595924"/>
    <w:rsid w:val="005979D2"/>
    <w:rsid w:val="005A2866"/>
    <w:rsid w:val="005A3956"/>
    <w:rsid w:val="005A48AB"/>
    <w:rsid w:val="005A519A"/>
    <w:rsid w:val="005C1A7E"/>
    <w:rsid w:val="005C324E"/>
    <w:rsid w:val="005C6058"/>
    <w:rsid w:val="005C7F77"/>
    <w:rsid w:val="005D14A6"/>
    <w:rsid w:val="005D1BA3"/>
    <w:rsid w:val="005D7A7D"/>
    <w:rsid w:val="005E27B4"/>
    <w:rsid w:val="005E4964"/>
    <w:rsid w:val="005E52C5"/>
    <w:rsid w:val="005F475E"/>
    <w:rsid w:val="005F7C82"/>
    <w:rsid w:val="006001A3"/>
    <w:rsid w:val="00601EA3"/>
    <w:rsid w:val="00606460"/>
    <w:rsid w:val="006147DD"/>
    <w:rsid w:val="00614E94"/>
    <w:rsid w:val="00616CA7"/>
    <w:rsid w:val="006200B4"/>
    <w:rsid w:val="00621D1A"/>
    <w:rsid w:val="006240D2"/>
    <w:rsid w:val="00624188"/>
    <w:rsid w:val="00627FC4"/>
    <w:rsid w:val="00630928"/>
    <w:rsid w:val="00631896"/>
    <w:rsid w:val="00633137"/>
    <w:rsid w:val="00640548"/>
    <w:rsid w:val="00640B73"/>
    <w:rsid w:val="0065782E"/>
    <w:rsid w:val="006603AD"/>
    <w:rsid w:val="006615B1"/>
    <w:rsid w:val="00667B8A"/>
    <w:rsid w:val="00670ADD"/>
    <w:rsid w:val="00672B1B"/>
    <w:rsid w:val="00673D65"/>
    <w:rsid w:val="0068059E"/>
    <w:rsid w:val="006810E0"/>
    <w:rsid w:val="00684A32"/>
    <w:rsid w:val="00690628"/>
    <w:rsid w:val="00691124"/>
    <w:rsid w:val="00691AA9"/>
    <w:rsid w:val="006948A5"/>
    <w:rsid w:val="006A364A"/>
    <w:rsid w:val="006A3986"/>
    <w:rsid w:val="006A3E3F"/>
    <w:rsid w:val="006B121B"/>
    <w:rsid w:val="006B5E63"/>
    <w:rsid w:val="006B67A5"/>
    <w:rsid w:val="006B69B4"/>
    <w:rsid w:val="006C06E7"/>
    <w:rsid w:val="006C5995"/>
    <w:rsid w:val="006C638A"/>
    <w:rsid w:val="006C7C57"/>
    <w:rsid w:val="006D1AFC"/>
    <w:rsid w:val="006D3578"/>
    <w:rsid w:val="006D440F"/>
    <w:rsid w:val="006D5D0D"/>
    <w:rsid w:val="006D6974"/>
    <w:rsid w:val="006D7127"/>
    <w:rsid w:val="006D76D8"/>
    <w:rsid w:val="006E6ECE"/>
    <w:rsid w:val="006E7F8E"/>
    <w:rsid w:val="006F03A8"/>
    <w:rsid w:val="006F60FA"/>
    <w:rsid w:val="006F799E"/>
    <w:rsid w:val="0070417F"/>
    <w:rsid w:val="00706C98"/>
    <w:rsid w:val="00712F2F"/>
    <w:rsid w:val="007140FB"/>
    <w:rsid w:val="00732041"/>
    <w:rsid w:val="00744EAD"/>
    <w:rsid w:val="00746F45"/>
    <w:rsid w:val="00747D26"/>
    <w:rsid w:val="00752A9D"/>
    <w:rsid w:val="007535E9"/>
    <w:rsid w:val="00754D7C"/>
    <w:rsid w:val="00755352"/>
    <w:rsid w:val="007617E5"/>
    <w:rsid w:val="00766992"/>
    <w:rsid w:val="00770538"/>
    <w:rsid w:val="007814DE"/>
    <w:rsid w:val="00783644"/>
    <w:rsid w:val="007958B3"/>
    <w:rsid w:val="00795E5C"/>
    <w:rsid w:val="007A4305"/>
    <w:rsid w:val="007A4740"/>
    <w:rsid w:val="007A7CB9"/>
    <w:rsid w:val="007B0C83"/>
    <w:rsid w:val="007B1C8C"/>
    <w:rsid w:val="007C092A"/>
    <w:rsid w:val="007C2EC7"/>
    <w:rsid w:val="007C5C53"/>
    <w:rsid w:val="007C68D1"/>
    <w:rsid w:val="007D4815"/>
    <w:rsid w:val="007E0DA2"/>
    <w:rsid w:val="007E30F7"/>
    <w:rsid w:val="007E44B8"/>
    <w:rsid w:val="007E4C23"/>
    <w:rsid w:val="007E60ED"/>
    <w:rsid w:val="007F04CE"/>
    <w:rsid w:val="007F1592"/>
    <w:rsid w:val="007F37E3"/>
    <w:rsid w:val="008064FF"/>
    <w:rsid w:val="008104B5"/>
    <w:rsid w:val="0082483A"/>
    <w:rsid w:val="00832795"/>
    <w:rsid w:val="00834C92"/>
    <w:rsid w:val="00835E77"/>
    <w:rsid w:val="008400AD"/>
    <w:rsid w:val="00841D9C"/>
    <w:rsid w:val="008474B4"/>
    <w:rsid w:val="008519DF"/>
    <w:rsid w:val="008522D4"/>
    <w:rsid w:val="00855E0F"/>
    <w:rsid w:val="008636A1"/>
    <w:rsid w:val="00865CEA"/>
    <w:rsid w:val="008713ED"/>
    <w:rsid w:val="008806BD"/>
    <w:rsid w:val="008830B0"/>
    <w:rsid w:val="008832E8"/>
    <w:rsid w:val="00884A06"/>
    <w:rsid w:val="00892C08"/>
    <w:rsid w:val="00897442"/>
    <w:rsid w:val="00897456"/>
    <w:rsid w:val="008A1BE0"/>
    <w:rsid w:val="008A3B24"/>
    <w:rsid w:val="008A44A9"/>
    <w:rsid w:val="008A6BD6"/>
    <w:rsid w:val="008B08E5"/>
    <w:rsid w:val="008B1FDE"/>
    <w:rsid w:val="008B302B"/>
    <w:rsid w:val="008B64D8"/>
    <w:rsid w:val="008B7FB2"/>
    <w:rsid w:val="008C7786"/>
    <w:rsid w:val="008D3E9C"/>
    <w:rsid w:val="008D6A17"/>
    <w:rsid w:val="008E0B03"/>
    <w:rsid w:val="008E3CED"/>
    <w:rsid w:val="008F190D"/>
    <w:rsid w:val="008F570A"/>
    <w:rsid w:val="00902301"/>
    <w:rsid w:val="009104A3"/>
    <w:rsid w:val="00925C93"/>
    <w:rsid w:val="00930425"/>
    <w:rsid w:val="00933B65"/>
    <w:rsid w:val="00934222"/>
    <w:rsid w:val="00937297"/>
    <w:rsid w:val="00944E62"/>
    <w:rsid w:val="009453ED"/>
    <w:rsid w:val="00947A36"/>
    <w:rsid w:val="009521B0"/>
    <w:rsid w:val="0095371D"/>
    <w:rsid w:val="00953990"/>
    <w:rsid w:val="00960EC1"/>
    <w:rsid w:val="00961CBF"/>
    <w:rsid w:val="00963080"/>
    <w:rsid w:val="00963F3B"/>
    <w:rsid w:val="009666E4"/>
    <w:rsid w:val="009701EB"/>
    <w:rsid w:val="00971AE7"/>
    <w:rsid w:val="0097201F"/>
    <w:rsid w:val="009737D2"/>
    <w:rsid w:val="0097492B"/>
    <w:rsid w:val="00975569"/>
    <w:rsid w:val="009942DD"/>
    <w:rsid w:val="009947DB"/>
    <w:rsid w:val="00995012"/>
    <w:rsid w:val="009A1DFB"/>
    <w:rsid w:val="009A7979"/>
    <w:rsid w:val="009B3BBC"/>
    <w:rsid w:val="009B6798"/>
    <w:rsid w:val="009B684C"/>
    <w:rsid w:val="009B73C5"/>
    <w:rsid w:val="009C4340"/>
    <w:rsid w:val="009C6307"/>
    <w:rsid w:val="009D2005"/>
    <w:rsid w:val="009D2298"/>
    <w:rsid w:val="009D5EB6"/>
    <w:rsid w:val="009D7F0F"/>
    <w:rsid w:val="009E1E98"/>
    <w:rsid w:val="009E5058"/>
    <w:rsid w:val="009E6F42"/>
    <w:rsid w:val="009F14C4"/>
    <w:rsid w:val="00A03E4C"/>
    <w:rsid w:val="00A1009E"/>
    <w:rsid w:val="00A12F4F"/>
    <w:rsid w:val="00A14BC4"/>
    <w:rsid w:val="00A2242F"/>
    <w:rsid w:val="00A224FA"/>
    <w:rsid w:val="00A2366B"/>
    <w:rsid w:val="00A24D24"/>
    <w:rsid w:val="00A24ED7"/>
    <w:rsid w:val="00A3362A"/>
    <w:rsid w:val="00A44FE4"/>
    <w:rsid w:val="00A458C7"/>
    <w:rsid w:val="00A56345"/>
    <w:rsid w:val="00A57676"/>
    <w:rsid w:val="00A6490C"/>
    <w:rsid w:val="00A673B7"/>
    <w:rsid w:val="00A7051D"/>
    <w:rsid w:val="00A722C1"/>
    <w:rsid w:val="00A73DFD"/>
    <w:rsid w:val="00A764FC"/>
    <w:rsid w:val="00A83F11"/>
    <w:rsid w:val="00A86A8D"/>
    <w:rsid w:val="00A903E0"/>
    <w:rsid w:val="00AA278C"/>
    <w:rsid w:val="00AA27EE"/>
    <w:rsid w:val="00AA3A29"/>
    <w:rsid w:val="00AA7B5D"/>
    <w:rsid w:val="00AB09C1"/>
    <w:rsid w:val="00AB10B3"/>
    <w:rsid w:val="00AB11E3"/>
    <w:rsid w:val="00AB72FE"/>
    <w:rsid w:val="00AC2B7A"/>
    <w:rsid w:val="00AC728C"/>
    <w:rsid w:val="00AD16D9"/>
    <w:rsid w:val="00AE2DBD"/>
    <w:rsid w:val="00AF219C"/>
    <w:rsid w:val="00AF2E1F"/>
    <w:rsid w:val="00B00C82"/>
    <w:rsid w:val="00B01F86"/>
    <w:rsid w:val="00B120C3"/>
    <w:rsid w:val="00B14510"/>
    <w:rsid w:val="00B15813"/>
    <w:rsid w:val="00B215E3"/>
    <w:rsid w:val="00B32F2E"/>
    <w:rsid w:val="00B33FF0"/>
    <w:rsid w:val="00B35DE4"/>
    <w:rsid w:val="00B43524"/>
    <w:rsid w:val="00B43C37"/>
    <w:rsid w:val="00B43CF2"/>
    <w:rsid w:val="00B51993"/>
    <w:rsid w:val="00B54AAD"/>
    <w:rsid w:val="00B55295"/>
    <w:rsid w:val="00B6393F"/>
    <w:rsid w:val="00B66FD4"/>
    <w:rsid w:val="00B723E7"/>
    <w:rsid w:val="00B729A0"/>
    <w:rsid w:val="00B73603"/>
    <w:rsid w:val="00B73850"/>
    <w:rsid w:val="00B7387D"/>
    <w:rsid w:val="00B75D20"/>
    <w:rsid w:val="00B76C1E"/>
    <w:rsid w:val="00B831DE"/>
    <w:rsid w:val="00B84099"/>
    <w:rsid w:val="00B93081"/>
    <w:rsid w:val="00B9584A"/>
    <w:rsid w:val="00BA1CC9"/>
    <w:rsid w:val="00BA3F7D"/>
    <w:rsid w:val="00BA719D"/>
    <w:rsid w:val="00BB40C3"/>
    <w:rsid w:val="00BB4426"/>
    <w:rsid w:val="00BC6755"/>
    <w:rsid w:val="00BD69F6"/>
    <w:rsid w:val="00BE27D1"/>
    <w:rsid w:val="00BF74FC"/>
    <w:rsid w:val="00C00274"/>
    <w:rsid w:val="00C02AF7"/>
    <w:rsid w:val="00C03F64"/>
    <w:rsid w:val="00C05247"/>
    <w:rsid w:val="00C1109B"/>
    <w:rsid w:val="00C1291A"/>
    <w:rsid w:val="00C13711"/>
    <w:rsid w:val="00C23AC4"/>
    <w:rsid w:val="00C24B14"/>
    <w:rsid w:val="00C30145"/>
    <w:rsid w:val="00C339BB"/>
    <w:rsid w:val="00C356EE"/>
    <w:rsid w:val="00C36806"/>
    <w:rsid w:val="00C37066"/>
    <w:rsid w:val="00C376B8"/>
    <w:rsid w:val="00C417BD"/>
    <w:rsid w:val="00C566F8"/>
    <w:rsid w:val="00C56E05"/>
    <w:rsid w:val="00C57040"/>
    <w:rsid w:val="00C6218A"/>
    <w:rsid w:val="00C67669"/>
    <w:rsid w:val="00C84274"/>
    <w:rsid w:val="00C95D49"/>
    <w:rsid w:val="00C96DDA"/>
    <w:rsid w:val="00C97EFD"/>
    <w:rsid w:val="00CA35D6"/>
    <w:rsid w:val="00CA604A"/>
    <w:rsid w:val="00CA6605"/>
    <w:rsid w:val="00CA6FE9"/>
    <w:rsid w:val="00CB7AEB"/>
    <w:rsid w:val="00CC0EEE"/>
    <w:rsid w:val="00CC506D"/>
    <w:rsid w:val="00CC674B"/>
    <w:rsid w:val="00CC67CC"/>
    <w:rsid w:val="00CD00B6"/>
    <w:rsid w:val="00CD2429"/>
    <w:rsid w:val="00CD530C"/>
    <w:rsid w:val="00CE08A7"/>
    <w:rsid w:val="00CE4EC8"/>
    <w:rsid w:val="00CF78C6"/>
    <w:rsid w:val="00D005D3"/>
    <w:rsid w:val="00D020FE"/>
    <w:rsid w:val="00D06387"/>
    <w:rsid w:val="00D13422"/>
    <w:rsid w:val="00D13999"/>
    <w:rsid w:val="00D155A8"/>
    <w:rsid w:val="00D2187A"/>
    <w:rsid w:val="00D2331F"/>
    <w:rsid w:val="00D23823"/>
    <w:rsid w:val="00D23DF7"/>
    <w:rsid w:val="00D25C76"/>
    <w:rsid w:val="00D3274C"/>
    <w:rsid w:val="00D3346C"/>
    <w:rsid w:val="00D36F32"/>
    <w:rsid w:val="00D4021A"/>
    <w:rsid w:val="00D42E13"/>
    <w:rsid w:val="00D43676"/>
    <w:rsid w:val="00D450A9"/>
    <w:rsid w:val="00D457CA"/>
    <w:rsid w:val="00D51590"/>
    <w:rsid w:val="00D520CA"/>
    <w:rsid w:val="00D56315"/>
    <w:rsid w:val="00D567A2"/>
    <w:rsid w:val="00D6528C"/>
    <w:rsid w:val="00D7047D"/>
    <w:rsid w:val="00D75A45"/>
    <w:rsid w:val="00D80E8E"/>
    <w:rsid w:val="00D85A70"/>
    <w:rsid w:val="00D9464A"/>
    <w:rsid w:val="00DA205B"/>
    <w:rsid w:val="00DA2743"/>
    <w:rsid w:val="00DA34E4"/>
    <w:rsid w:val="00DA3C29"/>
    <w:rsid w:val="00DB08CF"/>
    <w:rsid w:val="00DB450A"/>
    <w:rsid w:val="00DC09E3"/>
    <w:rsid w:val="00DC1D69"/>
    <w:rsid w:val="00DC331B"/>
    <w:rsid w:val="00DD0C2B"/>
    <w:rsid w:val="00DD1083"/>
    <w:rsid w:val="00DD77EC"/>
    <w:rsid w:val="00DE43BA"/>
    <w:rsid w:val="00DE69D3"/>
    <w:rsid w:val="00DE6F8D"/>
    <w:rsid w:val="00DF40D7"/>
    <w:rsid w:val="00DF50B4"/>
    <w:rsid w:val="00E02BBF"/>
    <w:rsid w:val="00E05043"/>
    <w:rsid w:val="00E0620F"/>
    <w:rsid w:val="00E073AD"/>
    <w:rsid w:val="00E076E1"/>
    <w:rsid w:val="00E13247"/>
    <w:rsid w:val="00E17C4A"/>
    <w:rsid w:val="00E20B55"/>
    <w:rsid w:val="00E26215"/>
    <w:rsid w:val="00E271C0"/>
    <w:rsid w:val="00E2791E"/>
    <w:rsid w:val="00E32687"/>
    <w:rsid w:val="00E32DBA"/>
    <w:rsid w:val="00E368B7"/>
    <w:rsid w:val="00E41E4B"/>
    <w:rsid w:val="00E43B9A"/>
    <w:rsid w:val="00E44F11"/>
    <w:rsid w:val="00E468D9"/>
    <w:rsid w:val="00E46D74"/>
    <w:rsid w:val="00E47045"/>
    <w:rsid w:val="00E4746A"/>
    <w:rsid w:val="00E47504"/>
    <w:rsid w:val="00E47ACB"/>
    <w:rsid w:val="00E47ACF"/>
    <w:rsid w:val="00E52AE5"/>
    <w:rsid w:val="00E563BD"/>
    <w:rsid w:val="00E56C67"/>
    <w:rsid w:val="00E56F77"/>
    <w:rsid w:val="00E643E4"/>
    <w:rsid w:val="00E643E9"/>
    <w:rsid w:val="00E7182D"/>
    <w:rsid w:val="00E764D7"/>
    <w:rsid w:val="00E80302"/>
    <w:rsid w:val="00E87157"/>
    <w:rsid w:val="00E904EB"/>
    <w:rsid w:val="00E93AEC"/>
    <w:rsid w:val="00E96A83"/>
    <w:rsid w:val="00EB57FA"/>
    <w:rsid w:val="00EB7BAE"/>
    <w:rsid w:val="00EC0E52"/>
    <w:rsid w:val="00EC3EB0"/>
    <w:rsid w:val="00EC767D"/>
    <w:rsid w:val="00ED079F"/>
    <w:rsid w:val="00ED13D4"/>
    <w:rsid w:val="00ED4EB6"/>
    <w:rsid w:val="00ED624E"/>
    <w:rsid w:val="00EE0366"/>
    <w:rsid w:val="00EE0C3E"/>
    <w:rsid w:val="00EE4435"/>
    <w:rsid w:val="00EF0682"/>
    <w:rsid w:val="00EF09D6"/>
    <w:rsid w:val="00EF1ED8"/>
    <w:rsid w:val="00EF32C3"/>
    <w:rsid w:val="00EF3575"/>
    <w:rsid w:val="00EF4A10"/>
    <w:rsid w:val="00F011B7"/>
    <w:rsid w:val="00F03123"/>
    <w:rsid w:val="00F032E2"/>
    <w:rsid w:val="00F04C04"/>
    <w:rsid w:val="00F04C1E"/>
    <w:rsid w:val="00F128BA"/>
    <w:rsid w:val="00F131CD"/>
    <w:rsid w:val="00F13CED"/>
    <w:rsid w:val="00F21C15"/>
    <w:rsid w:val="00F223F2"/>
    <w:rsid w:val="00F2779A"/>
    <w:rsid w:val="00F361D6"/>
    <w:rsid w:val="00F44C50"/>
    <w:rsid w:val="00F4566B"/>
    <w:rsid w:val="00F47B2C"/>
    <w:rsid w:val="00F52652"/>
    <w:rsid w:val="00F61B4A"/>
    <w:rsid w:val="00F63B74"/>
    <w:rsid w:val="00F648C0"/>
    <w:rsid w:val="00F6559B"/>
    <w:rsid w:val="00F73FBC"/>
    <w:rsid w:val="00F74ECC"/>
    <w:rsid w:val="00F75541"/>
    <w:rsid w:val="00F7625C"/>
    <w:rsid w:val="00F76AEE"/>
    <w:rsid w:val="00F77376"/>
    <w:rsid w:val="00F8115F"/>
    <w:rsid w:val="00F859B3"/>
    <w:rsid w:val="00F93F09"/>
    <w:rsid w:val="00F95B15"/>
    <w:rsid w:val="00F95C8C"/>
    <w:rsid w:val="00FA0388"/>
    <w:rsid w:val="00FA0A2E"/>
    <w:rsid w:val="00FA3FDF"/>
    <w:rsid w:val="00FA409F"/>
    <w:rsid w:val="00FA5894"/>
    <w:rsid w:val="00FB0516"/>
    <w:rsid w:val="00FB0E00"/>
    <w:rsid w:val="00FB2A47"/>
    <w:rsid w:val="00FB5094"/>
    <w:rsid w:val="00FB6557"/>
    <w:rsid w:val="00FC4923"/>
    <w:rsid w:val="00FD61E1"/>
    <w:rsid w:val="00FD6FDE"/>
    <w:rsid w:val="00FF49F3"/>
    <w:rsid w:val="00FF6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hapeDefaults>
    <o:shapedefaults v:ext="edit" spidmax="2049"/>
    <o:shapelayout v:ext="edit">
      <o:idmap v:ext="edit" data="1"/>
    </o:shapelayout>
  </w:shapeDefaults>
  <w:decimalSymbol w:val="."/>
  <w:listSeparator w:val=","/>
  <w14:docId w14:val="46CE7B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6B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Heading5Char">
    <w:name w:val="Heading 5 Char"/>
    <w:link w:val="Heading5"/>
    <w:semiHidden/>
    <w:rsid w:val="00C376B8"/>
    <w:rPr>
      <w:rFonts w:ascii="Calibri" w:eastAsia="Times New Roman" w:hAnsi="Calibri" w:cs="Times New Roman"/>
      <w:b/>
      <w:bCs/>
      <w:i/>
      <w:iCs/>
      <w:sz w:val="26"/>
      <w:szCs w:val="26"/>
    </w:rPr>
  </w:style>
  <w:style w:type="character" w:customStyle="1" w:styleId="legamendingtext">
    <w:name w:val="legamendingtext"/>
    <w:rsid w:val="00C376B8"/>
  </w:style>
  <w:style w:type="paragraph" w:customStyle="1" w:styleId="legclearfix">
    <w:name w:val="legclearfix"/>
    <w:basedOn w:val="Normal"/>
    <w:rsid w:val="00C376B8"/>
    <w:pPr>
      <w:spacing w:before="100" w:beforeAutospacing="1" w:after="100" w:afterAutospacing="1"/>
    </w:pPr>
  </w:style>
  <w:style w:type="paragraph" w:customStyle="1" w:styleId="legrhs">
    <w:name w:val="legrhs"/>
    <w:basedOn w:val="Normal"/>
    <w:rsid w:val="00C376B8"/>
    <w:pPr>
      <w:spacing w:before="100" w:beforeAutospacing="1" w:after="100" w:afterAutospacing="1"/>
    </w:pPr>
  </w:style>
  <w:style w:type="paragraph" w:customStyle="1" w:styleId="legp1paratext1">
    <w:name w:val="legp1paratext1"/>
    <w:basedOn w:val="Normal"/>
    <w:rsid w:val="00312D7E"/>
    <w:pPr>
      <w:shd w:val="clear" w:color="auto" w:fill="FFFFFF"/>
      <w:spacing w:after="120" w:line="360" w:lineRule="atLeast"/>
      <w:ind w:firstLine="240"/>
      <w:jc w:val="both"/>
    </w:pPr>
    <w:rPr>
      <w:color w:val="494949"/>
      <w:sz w:val="19"/>
      <w:szCs w:val="19"/>
    </w:rPr>
  </w:style>
  <w:style w:type="paragraph" w:customStyle="1" w:styleId="legp2paratext1">
    <w:name w:val="legp2paratext1"/>
    <w:basedOn w:val="Normal"/>
    <w:rsid w:val="00312D7E"/>
    <w:pPr>
      <w:shd w:val="clear" w:color="auto" w:fill="FFFFFF"/>
      <w:spacing w:after="120" w:line="360" w:lineRule="atLeast"/>
      <w:ind w:firstLine="240"/>
      <w:jc w:val="both"/>
    </w:pPr>
    <w:rPr>
      <w:color w:val="494949"/>
      <w:sz w:val="19"/>
      <w:szCs w:val="19"/>
    </w:rPr>
  </w:style>
  <w:style w:type="character" w:customStyle="1" w:styleId="ennote">
    <w:name w:val="ennote"/>
    <w:rsid w:val="00312D7E"/>
  </w:style>
  <w:style w:type="character" w:customStyle="1" w:styleId="legterm">
    <w:name w:val="legterm"/>
    <w:rsid w:val="00312D7E"/>
  </w:style>
  <w:style w:type="paragraph" w:customStyle="1" w:styleId="legclearfix2">
    <w:name w:val="legclearfix2"/>
    <w:basedOn w:val="Normal"/>
    <w:rsid w:val="00312D7E"/>
    <w:pPr>
      <w:shd w:val="clear" w:color="auto" w:fill="FFFFFF"/>
      <w:spacing w:after="120" w:line="360" w:lineRule="atLeast"/>
    </w:pPr>
    <w:rPr>
      <w:color w:val="494949"/>
      <w:sz w:val="19"/>
      <w:szCs w:val="19"/>
    </w:rPr>
  </w:style>
  <w:style w:type="character" w:customStyle="1" w:styleId="legds2">
    <w:name w:val="legds2"/>
    <w:rsid w:val="00312D7E"/>
    <w:rPr>
      <w:vanish w:val="0"/>
      <w:webHidden w:val="0"/>
      <w:specVanish w:val="0"/>
    </w:rPr>
  </w:style>
  <w:style w:type="character" w:customStyle="1" w:styleId="legsubstitution5">
    <w:name w:val="legsubstitution5"/>
    <w:rsid w:val="00312D7E"/>
  </w:style>
  <w:style w:type="character" w:styleId="HTMLAcronym">
    <w:name w:val="HTML Acronym"/>
    <w:uiPriority w:val="99"/>
    <w:unhideWhenUsed/>
    <w:rsid w:val="00312D7E"/>
  </w:style>
  <w:style w:type="character" w:customStyle="1" w:styleId="legp1no3">
    <w:name w:val="legp1no3"/>
    <w:rsid w:val="00B831DE"/>
    <w:rPr>
      <w:b/>
      <w:bCs/>
    </w:rPr>
  </w:style>
  <w:style w:type="character" w:customStyle="1" w:styleId="legaddition5">
    <w:name w:val="legaddition5"/>
    <w:rsid w:val="00B83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172">
      <w:bodyDiv w:val="1"/>
      <w:marLeft w:val="0"/>
      <w:marRight w:val="0"/>
      <w:marTop w:val="0"/>
      <w:marBottom w:val="0"/>
      <w:divBdr>
        <w:top w:val="none" w:sz="0" w:space="0" w:color="auto"/>
        <w:left w:val="none" w:sz="0" w:space="0" w:color="auto"/>
        <w:bottom w:val="none" w:sz="0" w:space="0" w:color="auto"/>
        <w:right w:val="none" w:sz="0" w:space="0" w:color="auto"/>
      </w:divBdr>
    </w:div>
    <w:div w:id="1360740934">
      <w:bodyDiv w:val="1"/>
      <w:marLeft w:val="0"/>
      <w:marRight w:val="0"/>
      <w:marTop w:val="0"/>
      <w:marBottom w:val="0"/>
      <w:divBdr>
        <w:top w:val="none" w:sz="0" w:space="0" w:color="auto"/>
        <w:left w:val="none" w:sz="0" w:space="0" w:color="auto"/>
        <w:bottom w:val="none" w:sz="0" w:space="0" w:color="auto"/>
        <w:right w:val="none" w:sz="0" w:space="0" w:color="auto"/>
      </w:divBdr>
    </w:div>
    <w:div w:id="1611162992">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2881</Words>
  <Characters>13707</Characters>
  <Application>Microsoft Office Word</Application>
  <DocSecurity>0</DocSecurity>
  <Lines>114</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2018-10-04T13:04:00Z</dcterms:created>
  <dcterms:modified xsi:type="dcterms:W3CDTF">2018-10-04T13:04:00Z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