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8A78F0" w:rsidRDefault="007A73C7" w:rsidP="0019650B">
      <w:pPr>
        <w:jc w:val="center"/>
        <w:rPr>
          <w:rFonts w:ascii="Book Antiqua" w:hAnsi="Book Antiqua" w:cs="Arial"/>
          <w:caps/>
          <w:color w:val="000000"/>
          <w:sz w:val="16"/>
          <w:szCs w:val="16"/>
        </w:rPr>
      </w:pPr>
      <w:r>
        <w:rPr>
          <w:noProof/>
        </w:rPr>
        <w:drawing>
          <wp:inline distT="0" distB="0" distL="0" distR="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FB434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(Immigration and Asylum </w:t>
      </w:r>
      <w:proofErr w:type="gramStart"/>
      <w:r w:rsidRPr="008A78F0">
        <w:rPr>
          <w:rFonts w:ascii="Book Antiqua" w:hAnsi="Book Antiqua" w:cs="Arial"/>
          <w:b/>
          <w:color w:val="000000"/>
        </w:rPr>
        <w:t>Chamber)</w:t>
      </w:r>
      <w:r w:rsidR="00FB4340">
        <w:rPr>
          <w:rFonts w:ascii="Book Antiqua" w:hAnsi="Book Antiqua" w:cs="Arial"/>
          <w:b/>
          <w:color w:val="000000"/>
        </w:rPr>
        <w:t xml:space="preserve">   </w:t>
      </w:r>
      <w:proofErr w:type="gramEnd"/>
      <w:r w:rsidR="00FB4340">
        <w:rPr>
          <w:rFonts w:ascii="Book Antiqua" w:hAnsi="Book Antiqua" w:cs="Arial"/>
          <w:b/>
          <w:color w:val="000000"/>
        </w:rPr>
        <w:t xml:space="preserve">                  </w:t>
      </w:r>
      <w:r w:rsidR="00B3524D" w:rsidRPr="00FB4340">
        <w:rPr>
          <w:rFonts w:ascii="Book Antiqua" w:hAnsi="Book Antiqua" w:cs="Arial"/>
          <w:b/>
          <w:color w:val="000000"/>
        </w:rPr>
        <w:t>Appeal Number</w:t>
      </w:r>
      <w:r w:rsidR="00D53769" w:rsidRPr="00FB4340">
        <w:rPr>
          <w:rFonts w:ascii="Book Antiqua" w:hAnsi="Book Antiqua" w:cs="Arial"/>
          <w:b/>
          <w:color w:val="000000"/>
        </w:rPr>
        <w:t>:</w:t>
      </w:r>
      <w:r w:rsidR="00B3524D" w:rsidRPr="00FB4340">
        <w:rPr>
          <w:rFonts w:ascii="Book Antiqua" w:hAnsi="Book Antiqua" w:cs="Arial"/>
          <w:b/>
          <w:color w:val="000000"/>
        </w:rPr>
        <w:t xml:space="preserve"> </w:t>
      </w:r>
      <w:r w:rsidR="007E4A20" w:rsidRPr="00FB4340">
        <w:rPr>
          <w:rFonts w:ascii="Book Antiqua" w:hAnsi="Book Antiqua" w:cs="Arial"/>
          <w:b/>
          <w:caps/>
          <w:color w:val="000000"/>
        </w:rPr>
        <w:t>EA/04303/2017</w:t>
      </w: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8A78F0" w:rsidTr="00FB4340">
        <w:tc>
          <w:tcPr>
            <w:tcW w:w="5103"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Heard at </w:t>
            </w:r>
            <w:r w:rsidR="007E4A20">
              <w:rPr>
                <w:rFonts w:ascii="Book Antiqua" w:hAnsi="Book Antiqua" w:cs="Arial"/>
                <w:b/>
              </w:rPr>
              <w:t>Field House</w:t>
            </w:r>
          </w:p>
        </w:tc>
        <w:tc>
          <w:tcPr>
            <w:tcW w:w="4905" w:type="dxa"/>
          </w:tcPr>
          <w:p w:rsidR="00D22636" w:rsidRPr="008A78F0" w:rsidRDefault="00FB4340" w:rsidP="00093D4D">
            <w:pPr>
              <w:jc w:val="both"/>
              <w:rPr>
                <w:rFonts w:ascii="Book Antiqua" w:hAnsi="Book Antiqua" w:cs="Arial"/>
                <w:b/>
                <w:color w:val="000000"/>
              </w:rPr>
            </w:pPr>
            <w:r>
              <w:rPr>
                <w:rFonts w:ascii="Book Antiqua" w:hAnsi="Book Antiqua" w:cs="Arial"/>
                <w:b/>
                <w:color w:val="000000"/>
              </w:rPr>
              <w:t xml:space="preserve"> </w:t>
            </w:r>
            <w:r w:rsidR="00180E36">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rsidTr="00FB4340">
        <w:tc>
          <w:tcPr>
            <w:tcW w:w="5103"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On </w:t>
            </w:r>
            <w:r w:rsidR="007E4A20">
              <w:rPr>
                <w:rFonts w:ascii="Book Antiqua" w:hAnsi="Book Antiqua" w:cs="Arial"/>
                <w:b/>
              </w:rPr>
              <w:t>2</w:t>
            </w:r>
            <w:r w:rsidR="007E4A20" w:rsidRPr="007E4A20">
              <w:rPr>
                <w:rFonts w:ascii="Book Antiqua" w:hAnsi="Book Antiqua" w:cs="Arial"/>
                <w:b/>
                <w:vertAlign w:val="superscript"/>
              </w:rPr>
              <w:t>nd</w:t>
            </w:r>
            <w:r w:rsidR="007E4A20">
              <w:rPr>
                <w:rFonts w:ascii="Book Antiqua" w:hAnsi="Book Antiqua" w:cs="Arial"/>
                <w:b/>
              </w:rPr>
              <w:t xml:space="preserve"> August 2018</w:t>
            </w:r>
          </w:p>
        </w:tc>
        <w:tc>
          <w:tcPr>
            <w:tcW w:w="4905" w:type="dxa"/>
          </w:tcPr>
          <w:p w:rsidR="00D22636" w:rsidRPr="008A78F0" w:rsidRDefault="00FB4340" w:rsidP="004A1848">
            <w:pPr>
              <w:jc w:val="both"/>
              <w:rPr>
                <w:rFonts w:ascii="Book Antiqua" w:hAnsi="Book Antiqua" w:cs="Arial"/>
                <w:b/>
              </w:rPr>
            </w:pPr>
            <w:r>
              <w:rPr>
                <w:rFonts w:ascii="Book Antiqua" w:hAnsi="Book Antiqua" w:cs="Arial"/>
                <w:b/>
              </w:rPr>
              <w:t xml:space="preserve"> </w:t>
            </w:r>
            <w:r w:rsidR="004040EB">
              <w:rPr>
                <w:rFonts w:ascii="Book Antiqua" w:hAnsi="Book Antiqua" w:cs="Arial"/>
                <w:b/>
              </w:rPr>
              <w:t>On 13</w:t>
            </w:r>
            <w:r w:rsidR="004040EB" w:rsidRPr="004040EB">
              <w:rPr>
                <w:rFonts w:ascii="Book Antiqua" w:hAnsi="Book Antiqua" w:cs="Arial"/>
                <w:b/>
                <w:vertAlign w:val="superscript"/>
              </w:rPr>
              <w:t>th</w:t>
            </w:r>
            <w:r w:rsidR="004040EB">
              <w:rPr>
                <w:rFonts w:ascii="Book Antiqua" w:hAnsi="Book Antiqua" w:cs="Arial"/>
                <w:b/>
              </w:rPr>
              <w:t xml:space="preserve"> August 2018</w:t>
            </w:r>
          </w:p>
        </w:tc>
      </w:tr>
      <w:tr w:rsidR="00D22636" w:rsidRPr="008A78F0" w:rsidTr="00FB4340">
        <w:tc>
          <w:tcPr>
            <w:tcW w:w="5103" w:type="dxa"/>
          </w:tcPr>
          <w:p w:rsidR="00D22636" w:rsidRPr="008A78F0" w:rsidRDefault="00D22636" w:rsidP="004A1848">
            <w:pPr>
              <w:jc w:val="both"/>
              <w:rPr>
                <w:rFonts w:ascii="Book Antiqua" w:hAnsi="Book Antiqua" w:cs="Arial"/>
                <w:b/>
              </w:rPr>
            </w:pPr>
          </w:p>
        </w:tc>
        <w:tc>
          <w:tcPr>
            <w:tcW w:w="4905" w:type="dxa"/>
          </w:tcPr>
          <w:p w:rsidR="00D22636" w:rsidRPr="008A78F0" w:rsidRDefault="00D22636" w:rsidP="004A1848">
            <w:pPr>
              <w:jc w:val="both"/>
              <w:rPr>
                <w:rFonts w:ascii="Book Antiqua" w:hAnsi="Book Antiqua" w:cs="Arial"/>
                <w:b/>
              </w:rPr>
            </w:pPr>
          </w:p>
        </w:tc>
      </w:tr>
    </w:tbl>
    <w:p w:rsidR="00A15234" w:rsidRPr="008A78F0" w:rsidRDefault="00A15234" w:rsidP="00A15234">
      <w:pPr>
        <w:jc w:val="center"/>
        <w:rPr>
          <w:rFonts w:ascii="Book Antiqua" w:hAnsi="Book Antiqua" w:cs="Arial"/>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1B186A" w:rsidRPr="008A78F0" w:rsidRDefault="00B266BA" w:rsidP="007E4A20">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D20757" w:rsidRPr="008A78F0" w:rsidRDefault="00D20757" w:rsidP="00A15234">
      <w:pPr>
        <w:jc w:val="center"/>
        <w:rPr>
          <w:rFonts w:ascii="Book Antiqua" w:hAnsi="Book Antiqua" w:cs="Arial"/>
          <w:b/>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A845DC" w:rsidRPr="008A78F0" w:rsidRDefault="00A845DC" w:rsidP="00A15234">
      <w:pPr>
        <w:jc w:val="center"/>
        <w:rPr>
          <w:rFonts w:ascii="Book Antiqua" w:hAnsi="Book Antiqua" w:cs="Arial"/>
          <w:b/>
        </w:rPr>
      </w:pPr>
    </w:p>
    <w:p w:rsidR="00A845DC" w:rsidRDefault="007E4A20" w:rsidP="00A15234">
      <w:pPr>
        <w:jc w:val="center"/>
        <w:rPr>
          <w:rFonts w:ascii="Book Antiqua" w:hAnsi="Book Antiqua" w:cs="Arial"/>
          <w:b/>
          <w:caps/>
        </w:rPr>
      </w:pPr>
      <w:r>
        <w:rPr>
          <w:rFonts w:ascii="Book Antiqua" w:hAnsi="Book Antiqua" w:cs="Arial"/>
          <w:b/>
          <w:caps/>
        </w:rPr>
        <w:t>mrs joylyn juaneza</w:t>
      </w:r>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rsidR="00FB4340" w:rsidRDefault="00FB4340" w:rsidP="00704B61">
      <w:pPr>
        <w:jc w:val="center"/>
        <w:rPr>
          <w:rFonts w:ascii="Book Antiqua" w:hAnsi="Book Antiqua" w:cs="Arial"/>
          <w:b/>
        </w:rPr>
      </w:pP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Default="00DD5071" w:rsidP="00704B61">
      <w:pPr>
        <w:jc w:val="center"/>
        <w:rPr>
          <w:rFonts w:ascii="Book Antiqua" w:hAnsi="Book Antiqua" w:cs="Arial"/>
          <w:b/>
        </w:rPr>
      </w:pPr>
    </w:p>
    <w:p w:rsidR="00FB4340" w:rsidRPr="008A78F0" w:rsidRDefault="00FB4340" w:rsidP="00704B61">
      <w:pPr>
        <w:jc w:val="center"/>
        <w:rPr>
          <w:rFonts w:ascii="Book Antiqua" w:hAnsi="Book Antiqua" w:cs="Arial"/>
          <w:b/>
        </w:rPr>
      </w:pPr>
      <w:r>
        <w:rPr>
          <w:rFonts w:ascii="Book Antiqua" w:hAnsi="Book Antiqua" w:cs="Arial"/>
          <w:b/>
        </w:rPr>
        <w:t>THE SECRETARY OF STATE FOR THE HOME DEPARTMENT</w:t>
      </w:r>
    </w:p>
    <w:p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rsidR="00DD5071" w:rsidRPr="008A78F0" w:rsidRDefault="00DD5071" w:rsidP="00DD5071">
      <w:pPr>
        <w:rPr>
          <w:rFonts w:ascii="Book Antiqua" w:hAnsi="Book Antiqua" w:cs="Arial"/>
          <w:u w:val="single"/>
        </w:rPr>
      </w:pPr>
    </w:p>
    <w:p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rsidR="00DE7DB7" w:rsidRPr="008A78F0" w:rsidRDefault="00DE7DB7" w:rsidP="00DD5071">
      <w:pPr>
        <w:rPr>
          <w:rFonts w:ascii="Book Antiqua" w:hAnsi="Book Antiqua" w:cs="Arial"/>
        </w:rPr>
      </w:pP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2C1EDA">
        <w:rPr>
          <w:rFonts w:ascii="Book Antiqua" w:hAnsi="Book Antiqua" w:cs="Arial"/>
        </w:rPr>
        <w:t>M</w:t>
      </w:r>
      <w:r w:rsidR="007E4A20">
        <w:rPr>
          <w:rFonts w:ascii="Book Antiqua" w:hAnsi="Book Antiqua" w:cs="Arial"/>
        </w:rPr>
        <w:t xml:space="preserve">s L Turnbull of Counsel instructed by </w:t>
      </w:r>
      <w:proofErr w:type="spellStart"/>
      <w:r w:rsidR="007E4A20">
        <w:rPr>
          <w:rFonts w:ascii="Book Antiqua" w:hAnsi="Book Antiqua" w:cs="Arial"/>
        </w:rPr>
        <w:t>Goscimski</w:t>
      </w:r>
      <w:proofErr w:type="spellEnd"/>
      <w:r w:rsidR="007E4A20">
        <w:rPr>
          <w:rFonts w:ascii="Book Antiqua" w:hAnsi="Book Antiqua" w:cs="Arial"/>
        </w:rPr>
        <w:t xml:space="preserve"> &amp; Associates</w:t>
      </w: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7E4A20">
        <w:rPr>
          <w:rFonts w:ascii="Book Antiqua" w:hAnsi="Book Antiqua" w:cs="Arial"/>
        </w:rPr>
        <w:t xml:space="preserve">Mrs H </w:t>
      </w:r>
      <w:proofErr w:type="spellStart"/>
      <w:r w:rsidR="007E4A20">
        <w:rPr>
          <w:rFonts w:ascii="Book Antiqua" w:hAnsi="Book Antiqua" w:cs="Arial"/>
        </w:rPr>
        <w:t>Aboni</w:t>
      </w:r>
      <w:proofErr w:type="spellEnd"/>
      <w:r w:rsidR="007E4A20">
        <w:rPr>
          <w:rFonts w:ascii="Book Antiqua" w:hAnsi="Book Antiqua" w:cs="Arial"/>
        </w:rPr>
        <w:t xml:space="preserve">, Home Office Presenting Officer </w:t>
      </w:r>
    </w:p>
    <w:p w:rsidR="00DE7DB7" w:rsidRPr="008A78F0" w:rsidRDefault="00DE7DB7" w:rsidP="00402B9E">
      <w:pPr>
        <w:tabs>
          <w:tab w:val="left" w:pos="2520"/>
        </w:tabs>
        <w:jc w:val="center"/>
        <w:rPr>
          <w:rFonts w:ascii="Book Antiqua" w:hAnsi="Book Antiqua" w:cs="Arial"/>
        </w:rPr>
      </w:pP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Pr="008A78F0" w:rsidRDefault="00402B9E" w:rsidP="00402B9E">
      <w:pPr>
        <w:tabs>
          <w:tab w:val="left" w:pos="2520"/>
        </w:tabs>
        <w:jc w:val="both"/>
        <w:rPr>
          <w:rFonts w:ascii="Book Antiqua" w:hAnsi="Book Antiqua" w:cs="Arial"/>
        </w:rPr>
      </w:pPr>
    </w:p>
    <w:p w:rsidR="00402B9E"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7E4A20">
        <w:rPr>
          <w:rFonts w:ascii="Book Antiqua" w:hAnsi="Book Antiqua" w:cs="Arial"/>
        </w:rPr>
        <w:t>The appellant is a citizen of the Philippines who in March 2017 applied for a family permit under the Immigration (European Economic Area) Regulations 2016 to come to the United Kingdom to join her husband</w:t>
      </w:r>
      <w:r w:rsidR="002C1EDA">
        <w:rPr>
          <w:rFonts w:ascii="Book Antiqua" w:hAnsi="Book Antiqua" w:cs="Arial"/>
        </w:rPr>
        <w:t>,</w:t>
      </w:r>
      <w:r w:rsidR="007E4A20">
        <w:rPr>
          <w:rFonts w:ascii="Book Antiqua" w:hAnsi="Book Antiqua" w:cs="Arial"/>
        </w:rPr>
        <w:t xml:space="preserve"> who is a Polish citizen exercising treaty rights in the United Kingdom.</w:t>
      </w:r>
    </w:p>
    <w:p w:rsidR="007E4A20" w:rsidRDefault="007E4A20" w:rsidP="00BF23BB">
      <w:pPr>
        <w:tabs>
          <w:tab w:val="left" w:pos="567"/>
        </w:tabs>
        <w:ind w:left="567" w:hanging="567"/>
        <w:jc w:val="both"/>
        <w:rPr>
          <w:rFonts w:ascii="Book Antiqua" w:hAnsi="Book Antiqua" w:cs="Arial"/>
        </w:rPr>
      </w:pPr>
    </w:p>
    <w:p w:rsidR="007E4A20" w:rsidRDefault="007E4A20"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respondent refused the application</w:t>
      </w:r>
      <w:r w:rsidR="002C1EDA">
        <w:rPr>
          <w:rFonts w:ascii="Book Antiqua" w:hAnsi="Book Antiqua" w:cs="Arial"/>
        </w:rPr>
        <w:t xml:space="preserve"> in</w:t>
      </w:r>
      <w:r>
        <w:rPr>
          <w:rFonts w:ascii="Book Antiqua" w:hAnsi="Book Antiqua" w:cs="Arial"/>
        </w:rPr>
        <w:t xml:space="preserve"> the decision of 10</w:t>
      </w:r>
      <w:r w:rsidRPr="007E4A20">
        <w:rPr>
          <w:rFonts w:ascii="Book Antiqua" w:hAnsi="Book Antiqua" w:cs="Arial"/>
          <w:vertAlign w:val="superscript"/>
        </w:rPr>
        <w:t>th</w:t>
      </w:r>
      <w:r>
        <w:rPr>
          <w:rFonts w:ascii="Book Antiqua" w:hAnsi="Book Antiqua" w:cs="Arial"/>
        </w:rPr>
        <w:t xml:space="preserve"> April 2017</w:t>
      </w:r>
      <w:r w:rsidR="00140AF6">
        <w:rPr>
          <w:rFonts w:ascii="Book Antiqua" w:hAnsi="Book Antiqua" w:cs="Arial"/>
        </w:rPr>
        <w:t>,</w:t>
      </w:r>
      <w:r>
        <w:rPr>
          <w:rFonts w:ascii="Book Antiqua" w:hAnsi="Book Antiqua" w:cs="Arial"/>
        </w:rPr>
        <w:t xml:space="preserve"> on the basis that the marriage conducted on 12</w:t>
      </w:r>
      <w:r w:rsidRPr="007E4A20">
        <w:rPr>
          <w:rFonts w:ascii="Book Antiqua" w:hAnsi="Book Antiqua" w:cs="Arial"/>
          <w:vertAlign w:val="superscript"/>
        </w:rPr>
        <w:t>th</w:t>
      </w:r>
      <w:r>
        <w:rPr>
          <w:rFonts w:ascii="Book Antiqua" w:hAnsi="Book Antiqua" w:cs="Arial"/>
        </w:rPr>
        <w:t xml:space="preserve"> December 2016 was one of convenience.  In particular it was said that following the marriage there had been no documents produced to demonstrate a genuine subsisting relationship.</w:t>
      </w:r>
    </w:p>
    <w:p w:rsidR="00442B42" w:rsidRDefault="00442B42" w:rsidP="00BF23BB">
      <w:pPr>
        <w:tabs>
          <w:tab w:val="left" w:pos="567"/>
        </w:tabs>
        <w:ind w:left="567" w:hanging="567"/>
        <w:jc w:val="both"/>
        <w:rPr>
          <w:rFonts w:ascii="Book Antiqua" w:hAnsi="Book Antiqua" w:cs="Arial"/>
        </w:rPr>
      </w:pPr>
    </w:p>
    <w:p w:rsidR="00442B42" w:rsidRDefault="00442B42" w:rsidP="00BF23BB">
      <w:pPr>
        <w:tabs>
          <w:tab w:val="left" w:pos="567"/>
        </w:tabs>
        <w:ind w:left="567" w:hanging="567"/>
        <w:jc w:val="both"/>
        <w:rPr>
          <w:rFonts w:ascii="Book Antiqua" w:hAnsi="Book Antiqua" w:cs="Arial"/>
        </w:rPr>
      </w:pPr>
      <w:r>
        <w:rPr>
          <w:rFonts w:ascii="Book Antiqua" w:hAnsi="Book Antiqua" w:cs="Arial"/>
        </w:rPr>
        <w:lastRenderedPageBreak/>
        <w:t>3.</w:t>
      </w:r>
      <w:r>
        <w:rPr>
          <w:rFonts w:ascii="Book Antiqua" w:hAnsi="Book Antiqua" w:cs="Arial"/>
        </w:rPr>
        <w:tab/>
        <w:t xml:space="preserve">The </w:t>
      </w:r>
      <w:r w:rsidR="00A613BC">
        <w:rPr>
          <w:rFonts w:ascii="Book Antiqua" w:hAnsi="Book Antiqua" w:cs="Arial"/>
        </w:rPr>
        <w:t>a</w:t>
      </w:r>
      <w:r>
        <w:rPr>
          <w:rFonts w:ascii="Book Antiqua" w:hAnsi="Book Antiqua" w:cs="Arial"/>
        </w:rPr>
        <w:t xml:space="preserve">ppellant sought to appeal against that decision to the First-tier Tribunal. </w:t>
      </w:r>
      <w:r w:rsidR="00391121">
        <w:rPr>
          <w:rFonts w:ascii="Book Antiqua" w:hAnsi="Book Antiqua" w:cs="Arial"/>
        </w:rPr>
        <w:t xml:space="preserve"> The appeal was considered on</w:t>
      </w:r>
      <w:r>
        <w:rPr>
          <w:rFonts w:ascii="Book Antiqua" w:hAnsi="Book Antiqua" w:cs="Arial"/>
        </w:rPr>
        <w:t xml:space="preserve"> the papers on 21</w:t>
      </w:r>
      <w:r w:rsidRPr="00442B42">
        <w:rPr>
          <w:rFonts w:ascii="Book Antiqua" w:hAnsi="Book Antiqua" w:cs="Arial"/>
          <w:vertAlign w:val="superscript"/>
        </w:rPr>
        <w:t>st</w:t>
      </w:r>
      <w:r>
        <w:rPr>
          <w:rFonts w:ascii="Book Antiqua" w:hAnsi="Book Antiqua" w:cs="Arial"/>
        </w:rPr>
        <w:t xml:space="preserve"> December 2017 by First-tier Tribunal Judge </w:t>
      </w:r>
      <w:proofErr w:type="spellStart"/>
      <w:r>
        <w:rPr>
          <w:rFonts w:ascii="Book Antiqua" w:hAnsi="Book Antiqua" w:cs="Arial"/>
        </w:rPr>
        <w:t>Aujla</w:t>
      </w:r>
      <w:proofErr w:type="spellEnd"/>
      <w:r>
        <w:rPr>
          <w:rFonts w:ascii="Book Antiqua" w:hAnsi="Book Antiqua" w:cs="Arial"/>
        </w:rPr>
        <w:t>.</w:t>
      </w:r>
    </w:p>
    <w:p w:rsidR="00442B42" w:rsidRDefault="00442B42" w:rsidP="00BF23BB">
      <w:pPr>
        <w:tabs>
          <w:tab w:val="left" w:pos="567"/>
        </w:tabs>
        <w:ind w:left="567" w:hanging="567"/>
        <w:jc w:val="both"/>
        <w:rPr>
          <w:rFonts w:ascii="Book Antiqua" w:hAnsi="Book Antiqua" w:cs="Arial"/>
        </w:rPr>
      </w:pPr>
    </w:p>
    <w:p w:rsidR="00442B42" w:rsidRDefault="002C1EDA"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With the grounds of appeal as </w:t>
      </w:r>
      <w:r w:rsidR="00442B42">
        <w:rPr>
          <w:rFonts w:ascii="Book Antiqua" w:hAnsi="Book Antiqua" w:cs="Arial"/>
        </w:rPr>
        <w:t xml:space="preserve"> received at Arnhem House on 16</w:t>
      </w:r>
      <w:r w:rsidR="00442B42" w:rsidRPr="00442B42">
        <w:rPr>
          <w:rFonts w:ascii="Book Antiqua" w:hAnsi="Book Antiqua" w:cs="Arial"/>
          <w:vertAlign w:val="superscript"/>
        </w:rPr>
        <w:t>th</w:t>
      </w:r>
      <w:r w:rsidR="00442B42">
        <w:rPr>
          <w:rFonts w:ascii="Book Antiqua" w:hAnsi="Book Antiqua" w:cs="Arial"/>
        </w:rPr>
        <w:t xml:space="preserve"> October 2017 there was a bundle of documents containing a number of email messages and Facebook entries.  The Judge concluded that that evidence </w:t>
      </w:r>
      <w:r>
        <w:rPr>
          <w:rFonts w:ascii="Book Antiqua" w:hAnsi="Book Antiqua" w:cs="Arial"/>
        </w:rPr>
        <w:t xml:space="preserve"> did not </w:t>
      </w:r>
      <w:r w:rsidR="00442B42">
        <w:rPr>
          <w:rFonts w:ascii="Book Antiqua" w:hAnsi="Book Antiqua" w:cs="Arial"/>
        </w:rPr>
        <w:t>demonstrate the genui</w:t>
      </w:r>
      <w:r>
        <w:rPr>
          <w:rFonts w:ascii="Book Antiqua" w:hAnsi="Book Antiqua" w:cs="Arial"/>
        </w:rPr>
        <w:t>neness of the marriage but gave</w:t>
      </w:r>
      <w:r w:rsidR="00442B42">
        <w:rPr>
          <w:rFonts w:ascii="Book Antiqua" w:hAnsi="Book Antiqua" w:cs="Arial"/>
        </w:rPr>
        <w:t xml:space="preserve"> little indication why the extensive messages over a considerable period should not have been given some weight in that regard.  </w:t>
      </w:r>
    </w:p>
    <w:p w:rsidR="00442B42" w:rsidRDefault="00442B42" w:rsidP="00BF23BB">
      <w:pPr>
        <w:tabs>
          <w:tab w:val="left" w:pos="567"/>
        </w:tabs>
        <w:ind w:left="567" w:hanging="567"/>
        <w:jc w:val="both"/>
        <w:rPr>
          <w:rFonts w:ascii="Book Antiqua" w:hAnsi="Book Antiqua" w:cs="Arial"/>
        </w:rPr>
      </w:pPr>
    </w:p>
    <w:p w:rsidR="00442B42" w:rsidRDefault="00442B42"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The Judge noted at paragraph 27 of the determination that no witness statements had been produced by the parties which was found to undermine the credibility of the claim that there was a subsisting r</w:t>
      </w:r>
      <w:r w:rsidR="002C1EDA">
        <w:rPr>
          <w:rFonts w:ascii="Book Antiqua" w:hAnsi="Book Antiqua" w:cs="Arial"/>
        </w:rPr>
        <w:t>elationship.  It was also considered</w:t>
      </w:r>
      <w:r>
        <w:rPr>
          <w:rFonts w:ascii="Book Antiqua" w:hAnsi="Book Antiqua" w:cs="Arial"/>
        </w:rPr>
        <w:t xml:space="preserve"> that it would have assisted the appellant </w:t>
      </w:r>
      <w:r w:rsidR="002650BF">
        <w:rPr>
          <w:rFonts w:ascii="Book Antiqua" w:hAnsi="Book Antiqua" w:cs="Arial"/>
        </w:rPr>
        <w:t>if</w:t>
      </w:r>
      <w:r>
        <w:rPr>
          <w:rFonts w:ascii="Book Antiqua" w:hAnsi="Book Antiqua" w:cs="Arial"/>
        </w:rPr>
        <w:t xml:space="preserve"> the sponsor had asked for an oral hearing.  In the event the appeal was dismissed.</w:t>
      </w:r>
    </w:p>
    <w:p w:rsidR="00442B42" w:rsidRDefault="00442B42" w:rsidP="00BF23BB">
      <w:pPr>
        <w:tabs>
          <w:tab w:val="left" w:pos="567"/>
        </w:tabs>
        <w:ind w:left="567" w:hanging="567"/>
        <w:jc w:val="both"/>
        <w:rPr>
          <w:rFonts w:ascii="Book Antiqua" w:hAnsi="Book Antiqua" w:cs="Arial"/>
        </w:rPr>
      </w:pPr>
    </w:p>
    <w:p w:rsidR="00442B42" w:rsidRDefault="00442B42"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It is apparent that</w:t>
      </w:r>
      <w:r w:rsidR="002C1EDA">
        <w:rPr>
          <w:rFonts w:ascii="Book Antiqua" w:hAnsi="Book Antiqua" w:cs="Arial"/>
        </w:rPr>
        <w:t xml:space="preserve"> there were a number of areas </w:t>
      </w:r>
      <w:r>
        <w:rPr>
          <w:rFonts w:ascii="Book Antiqua" w:hAnsi="Book Antiqua" w:cs="Arial"/>
        </w:rPr>
        <w:t>of concern which arose in the way in which this matter has come to be dealt with by the Tribunal.</w:t>
      </w:r>
    </w:p>
    <w:p w:rsidR="00442B42" w:rsidRDefault="00442B42" w:rsidP="00BF23BB">
      <w:pPr>
        <w:tabs>
          <w:tab w:val="left" w:pos="567"/>
        </w:tabs>
        <w:ind w:left="567" w:hanging="567"/>
        <w:jc w:val="both"/>
        <w:rPr>
          <w:rFonts w:ascii="Book Antiqua" w:hAnsi="Book Antiqua" w:cs="Arial"/>
        </w:rPr>
      </w:pPr>
    </w:p>
    <w:p w:rsidR="00442B42" w:rsidRDefault="00442B42"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On the form IAFT</w:t>
      </w:r>
      <w:r w:rsidR="00C11C18">
        <w:rPr>
          <w:rFonts w:ascii="Book Antiqua" w:hAnsi="Book Antiqua" w:cs="Arial"/>
        </w:rPr>
        <w:t>-6 issued on 3</w:t>
      </w:r>
      <w:r w:rsidR="00C11C18" w:rsidRPr="00C11C18">
        <w:rPr>
          <w:rFonts w:ascii="Book Antiqua" w:hAnsi="Book Antiqua" w:cs="Arial"/>
          <w:vertAlign w:val="superscript"/>
        </w:rPr>
        <w:t>rd</w:t>
      </w:r>
      <w:r w:rsidR="00C11C18">
        <w:rPr>
          <w:rFonts w:ascii="Book Antiqua" w:hAnsi="Book Antiqua" w:cs="Arial"/>
        </w:rPr>
        <w:t xml:space="preserve"> May 2017 there is an indication that a paper hea</w:t>
      </w:r>
      <w:r w:rsidR="002C1EDA">
        <w:rPr>
          <w:rFonts w:ascii="Book Antiqua" w:hAnsi="Book Antiqua" w:cs="Arial"/>
        </w:rPr>
        <w:t>ring is requested.  A letter had been</w:t>
      </w:r>
      <w:r w:rsidR="00C11C18">
        <w:rPr>
          <w:rFonts w:ascii="Book Antiqua" w:hAnsi="Book Antiqua" w:cs="Arial"/>
        </w:rPr>
        <w:t xml:space="preserve"> written to the Tribunal by the appellant dated 20</w:t>
      </w:r>
      <w:r w:rsidR="00C11C18" w:rsidRPr="00C11C18">
        <w:rPr>
          <w:rFonts w:ascii="Book Antiqua" w:hAnsi="Book Antiqua" w:cs="Arial"/>
          <w:vertAlign w:val="superscript"/>
        </w:rPr>
        <w:t>th</w:t>
      </w:r>
      <w:r w:rsidR="00C11C18">
        <w:rPr>
          <w:rFonts w:ascii="Book Antiqua" w:hAnsi="Book Antiqua" w:cs="Arial"/>
        </w:rPr>
        <w:t xml:space="preserve"> April 2017</w:t>
      </w:r>
      <w:r w:rsidR="002650BF">
        <w:rPr>
          <w:rFonts w:ascii="Book Antiqua" w:hAnsi="Book Antiqua" w:cs="Arial"/>
        </w:rPr>
        <w:t xml:space="preserve"> stating that a number of</w:t>
      </w:r>
      <w:r w:rsidR="00C11C18">
        <w:rPr>
          <w:rFonts w:ascii="Book Antiqua" w:hAnsi="Book Antiqua" w:cs="Arial"/>
        </w:rPr>
        <w:t xml:space="preserve"> documents were to be submitted and submitting some of them.  Solicitors acting on behalf of the appellant wrote on 6</w:t>
      </w:r>
      <w:r w:rsidR="00C11C18" w:rsidRPr="00C11C18">
        <w:rPr>
          <w:rFonts w:ascii="Book Antiqua" w:hAnsi="Book Antiqua" w:cs="Arial"/>
          <w:vertAlign w:val="superscript"/>
        </w:rPr>
        <w:t>th</w:t>
      </w:r>
      <w:r w:rsidR="00C11C18">
        <w:rPr>
          <w:rFonts w:ascii="Book Antiqua" w:hAnsi="Book Antiqua" w:cs="Arial"/>
        </w:rPr>
        <w:t xml:space="preserve"> Ju</w:t>
      </w:r>
      <w:r w:rsidR="002C1EDA">
        <w:rPr>
          <w:rFonts w:ascii="Book Antiqua" w:hAnsi="Book Antiqua" w:cs="Arial"/>
        </w:rPr>
        <w:t>ly 2017 to ask about the progress of</w:t>
      </w:r>
      <w:r w:rsidR="00C11C18">
        <w:rPr>
          <w:rFonts w:ascii="Book Antiqua" w:hAnsi="Book Antiqua" w:cs="Arial"/>
        </w:rPr>
        <w:t xml:space="preserve"> the appeal to be told that that would not be revealed to them until they indicated that they were acting.</w:t>
      </w:r>
    </w:p>
    <w:p w:rsidR="00AD0ED9" w:rsidRDefault="00AD0ED9" w:rsidP="00BF23BB">
      <w:pPr>
        <w:tabs>
          <w:tab w:val="left" w:pos="567"/>
        </w:tabs>
        <w:ind w:left="567" w:hanging="567"/>
        <w:jc w:val="both"/>
        <w:rPr>
          <w:rFonts w:ascii="Book Antiqua" w:hAnsi="Book Antiqua" w:cs="Arial"/>
        </w:rPr>
      </w:pPr>
    </w:p>
    <w:p w:rsidR="00AD0ED9" w:rsidRPr="008A78F0" w:rsidRDefault="00AD0ED9" w:rsidP="00AD0ED9">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Of more relevance to the immediate issue was that a much larger bundle of documents was submitted by the solicitors on behalf of the appellant by the Taylor House on 28</w:t>
      </w:r>
      <w:r w:rsidRPr="00AD0ED9">
        <w:rPr>
          <w:rFonts w:ascii="Book Antiqua" w:hAnsi="Book Antiqua" w:cs="Arial"/>
          <w:vertAlign w:val="superscript"/>
        </w:rPr>
        <w:t>th</w:t>
      </w:r>
      <w:r>
        <w:rPr>
          <w:rFonts w:ascii="Book Antiqua" w:hAnsi="Book Antiqua" w:cs="Arial"/>
        </w:rPr>
        <w:t xml:space="preserve"> December 2017 obtaining a much more detailed set of statements concerning the relationship and containing in particular the witness statements of both sponsor and appellant.  It is apparent that that bundle did not find its way for the Immigration Judge and the consideration of the appeal. </w:t>
      </w:r>
      <w:r w:rsidR="00D424E7">
        <w:rPr>
          <w:rFonts w:ascii="Book Antiqua" w:hAnsi="Book Antiqua" w:cs="Arial"/>
        </w:rPr>
        <w:t>For a</w:t>
      </w:r>
      <w:r>
        <w:rPr>
          <w:rFonts w:ascii="Book Antiqua" w:hAnsi="Book Antiqua" w:cs="Arial"/>
        </w:rPr>
        <w:t xml:space="preserve"> case based upon the papers it was clearly a serious omission.</w:t>
      </w:r>
      <w:bookmarkStart w:id="0" w:name="_GoBack"/>
      <w:bookmarkEnd w:id="0"/>
    </w:p>
    <w:p w:rsidR="001F2716" w:rsidRDefault="001F2716" w:rsidP="00780F86">
      <w:pPr>
        <w:ind w:left="540" w:hanging="540"/>
        <w:jc w:val="both"/>
        <w:rPr>
          <w:rFonts w:ascii="Book Antiqua" w:hAnsi="Book Antiqua" w:cs="Arial"/>
        </w:rPr>
      </w:pPr>
    </w:p>
    <w:p w:rsidR="00AD0ED9" w:rsidRDefault="00AD0ED9" w:rsidP="00780F86">
      <w:pPr>
        <w:ind w:left="540" w:hanging="540"/>
        <w:jc w:val="both"/>
        <w:rPr>
          <w:rFonts w:ascii="Book Antiqua" w:hAnsi="Book Antiqua" w:cs="Arial"/>
        </w:rPr>
      </w:pPr>
      <w:r>
        <w:rPr>
          <w:rFonts w:ascii="Book Antiqua" w:hAnsi="Book Antiqua" w:cs="Arial"/>
        </w:rPr>
        <w:t>9.</w:t>
      </w:r>
      <w:r>
        <w:rPr>
          <w:rFonts w:ascii="Book Antiqua" w:hAnsi="Book Antiqua" w:cs="Arial"/>
        </w:rPr>
        <w:tab/>
        <w:t>It is apparent from the papers contained in the file that those acting on behalf of the appellant had contacted the Tribunal on a number of occasions seeking clarity as to the progress of the matter.  It is far from clear from the papers as to what notification was given to the parties as to the progress of the case.  There was however a document issued on 23</w:t>
      </w:r>
      <w:r w:rsidRPr="00AD0ED9">
        <w:rPr>
          <w:rFonts w:ascii="Book Antiqua" w:hAnsi="Book Antiqua" w:cs="Arial"/>
          <w:vertAlign w:val="superscript"/>
        </w:rPr>
        <w:t>rd</w:t>
      </w:r>
      <w:r>
        <w:rPr>
          <w:rFonts w:ascii="Book Antiqua" w:hAnsi="Book Antiqua" w:cs="Arial"/>
        </w:rPr>
        <w:t xml:space="preserve"> October 2017 to the appellant and to solicitors from the Tribunal </w:t>
      </w:r>
      <w:r w:rsidR="00D424E7">
        <w:rPr>
          <w:rFonts w:ascii="Book Antiqua" w:hAnsi="Book Antiqua" w:cs="Arial"/>
        </w:rPr>
        <w:t>requesting</w:t>
      </w:r>
      <w:r>
        <w:rPr>
          <w:rFonts w:ascii="Book Antiqua" w:hAnsi="Book Antiqua" w:cs="Arial"/>
        </w:rPr>
        <w:t xml:space="preserve"> that any written evidence and submissions to the Tribunal be made by 19</w:t>
      </w:r>
      <w:r w:rsidRPr="00AD0ED9">
        <w:rPr>
          <w:rFonts w:ascii="Book Antiqua" w:hAnsi="Book Antiqua" w:cs="Arial"/>
          <w:vertAlign w:val="superscript"/>
        </w:rPr>
        <w:t>th</w:t>
      </w:r>
      <w:r>
        <w:rPr>
          <w:rFonts w:ascii="Book Antiqua" w:hAnsi="Book Antiqua" w:cs="Arial"/>
        </w:rPr>
        <w:t xml:space="preserve"> December 2</w:t>
      </w:r>
      <w:r w:rsidR="006A05DF">
        <w:rPr>
          <w:rFonts w:ascii="Book Antiqua" w:hAnsi="Book Antiqua" w:cs="Arial"/>
        </w:rPr>
        <w:t>017.  Thu</w:t>
      </w:r>
      <w:r w:rsidR="002C1EDA">
        <w:rPr>
          <w:rFonts w:ascii="Book Antiqua" w:hAnsi="Book Antiqua" w:cs="Arial"/>
        </w:rPr>
        <w:t>s the</w:t>
      </w:r>
      <w:r>
        <w:rPr>
          <w:rFonts w:ascii="Book Antiqua" w:hAnsi="Book Antiqua" w:cs="Arial"/>
        </w:rPr>
        <w:t xml:space="preserve"> big bundle of documents to which reference has been made was lodged within that timeframe and therefore clearly should have been taken into account.</w:t>
      </w:r>
    </w:p>
    <w:p w:rsidR="00AD0ED9" w:rsidRDefault="00AD0ED9" w:rsidP="00780F86">
      <w:pPr>
        <w:ind w:left="540" w:hanging="540"/>
        <w:jc w:val="both"/>
        <w:rPr>
          <w:rFonts w:ascii="Book Antiqua" w:hAnsi="Book Antiqua" w:cs="Arial"/>
        </w:rPr>
      </w:pPr>
    </w:p>
    <w:p w:rsidR="00AD0ED9" w:rsidRDefault="00AD0ED9" w:rsidP="00780F86">
      <w:pPr>
        <w:ind w:left="540" w:hanging="540"/>
        <w:jc w:val="both"/>
        <w:rPr>
          <w:rFonts w:ascii="Book Antiqua" w:hAnsi="Book Antiqua" w:cs="Arial"/>
        </w:rPr>
      </w:pPr>
      <w:r>
        <w:rPr>
          <w:rFonts w:ascii="Book Antiqua" w:hAnsi="Book Antiqua" w:cs="Arial"/>
        </w:rPr>
        <w:t>10.</w:t>
      </w:r>
      <w:r w:rsidR="00050100">
        <w:rPr>
          <w:rFonts w:ascii="Book Antiqua" w:hAnsi="Book Antiqua" w:cs="Arial"/>
        </w:rPr>
        <w:tab/>
        <w:t>It has been said that the failure to consider the extra evidence that has been presented has resulted in an unfair hearing in particular the comments as to the absence of witness statements would not have fallen to have been made.</w:t>
      </w:r>
    </w:p>
    <w:p w:rsidR="008D4EDA" w:rsidRDefault="008D4EDA" w:rsidP="00780F86">
      <w:pPr>
        <w:ind w:left="540" w:hanging="540"/>
        <w:jc w:val="both"/>
        <w:rPr>
          <w:rFonts w:ascii="Book Antiqua" w:hAnsi="Book Antiqua" w:cs="Arial"/>
        </w:rPr>
      </w:pPr>
    </w:p>
    <w:p w:rsidR="008D4EDA" w:rsidRDefault="008D4EDA" w:rsidP="00780F86">
      <w:pPr>
        <w:ind w:left="540" w:hanging="540"/>
        <w:jc w:val="both"/>
        <w:rPr>
          <w:rFonts w:ascii="Book Antiqua" w:hAnsi="Book Antiqua" w:cs="Arial"/>
        </w:rPr>
      </w:pPr>
      <w:r>
        <w:rPr>
          <w:rFonts w:ascii="Book Antiqua" w:hAnsi="Book Antiqua" w:cs="Arial"/>
        </w:rPr>
        <w:t>11.</w:t>
      </w:r>
      <w:r>
        <w:rPr>
          <w:rFonts w:ascii="Book Antiqua" w:hAnsi="Book Antiqua" w:cs="Arial"/>
        </w:rPr>
        <w:tab/>
        <w:t>In all the circumst</w:t>
      </w:r>
      <w:r w:rsidR="002C1EDA">
        <w:rPr>
          <w:rFonts w:ascii="Book Antiqua" w:hAnsi="Book Antiqua" w:cs="Arial"/>
        </w:rPr>
        <w:t xml:space="preserve">ances </w:t>
      </w:r>
      <w:r>
        <w:rPr>
          <w:rFonts w:ascii="Book Antiqua" w:hAnsi="Book Antiqua" w:cs="Arial"/>
        </w:rPr>
        <w:t xml:space="preserve"> I find there to have been a material error of law as a matter of unfairness.  In </w:t>
      </w:r>
      <w:r w:rsidR="002C1EDA">
        <w:rPr>
          <w:rFonts w:ascii="Book Antiqua" w:hAnsi="Book Antiqua" w:cs="Arial"/>
        </w:rPr>
        <w:t xml:space="preserve">those circumstances </w:t>
      </w:r>
      <w:r>
        <w:rPr>
          <w:rFonts w:ascii="Book Antiqua" w:hAnsi="Book Antiqua" w:cs="Arial"/>
        </w:rPr>
        <w:t xml:space="preserve"> the decision shall be set aside to be remade.</w:t>
      </w:r>
    </w:p>
    <w:p w:rsidR="008242D7" w:rsidRDefault="008242D7" w:rsidP="00780F86">
      <w:pPr>
        <w:ind w:left="540" w:hanging="540"/>
        <w:jc w:val="both"/>
        <w:rPr>
          <w:rFonts w:ascii="Book Antiqua" w:hAnsi="Book Antiqua" w:cs="Arial"/>
        </w:rPr>
      </w:pPr>
    </w:p>
    <w:p w:rsidR="008242D7" w:rsidRDefault="008242D7" w:rsidP="00780F86">
      <w:pPr>
        <w:ind w:left="540" w:hanging="540"/>
        <w:jc w:val="both"/>
        <w:rPr>
          <w:rFonts w:ascii="Book Antiqua" w:hAnsi="Book Antiqua" w:cs="Arial"/>
        </w:rPr>
      </w:pPr>
      <w:r>
        <w:rPr>
          <w:rFonts w:ascii="Book Antiqua" w:hAnsi="Book Antiqua" w:cs="Arial"/>
        </w:rPr>
        <w:t>12.</w:t>
      </w:r>
      <w:r>
        <w:rPr>
          <w:rFonts w:ascii="Book Antiqua" w:hAnsi="Book Antiqua" w:cs="Arial"/>
        </w:rPr>
        <w:tab/>
        <w:t>An indication has been give</w:t>
      </w:r>
      <w:r w:rsidR="002C1EDA">
        <w:rPr>
          <w:rFonts w:ascii="Book Antiqua" w:hAnsi="Book Antiqua" w:cs="Arial"/>
        </w:rPr>
        <w:t xml:space="preserve">n that the sponsor </w:t>
      </w:r>
      <w:r>
        <w:rPr>
          <w:rFonts w:ascii="Book Antiqua" w:hAnsi="Book Antiqua" w:cs="Arial"/>
        </w:rPr>
        <w:t xml:space="preserve"> would wish to give evidence in support of the application.  In the circumstances given the extensive examination </w:t>
      </w:r>
      <w:r w:rsidR="007A5B33">
        <w:rPr>
          <w:rFonts w:ascii="Book Antiqua" w:hAnsi="Book Antiqua" w:cs="Arial"/>
        </w:rPr>
        <w:t>in findings of fact that will be required</w:t>
      </w:r>
      <w:r w:rsidR="002C1EDA">
        <w:rPr>
          <w:rFonts w:ascii="Book Antiqua" w:hAnsi="Book Antiqua" w:cs="Arial"/>
        </w:rPr>
        <w:t>,</w:t>
      </w:r>
      <w:r w:rsidR="007A5B33">
        <w:rPr>
          <w:rFonts w:ascii="Book Antiqua" w:hAnsi="Book Antiqua" w:cs="Arial"/>
        </w:rPr>
        <w:t xml:space="preserve"> in accordance with the Senior President’s Practice Direction the matter shall be remitted to the First-tier Tribunal for a de novo hearing.</w:t>
      </w:r>
    </w:p>
    <w:p w:rsidR="008605A7" w:rsidRDefault="008605A7" w:rsidP="00780F86">
      <w:pPr>
        <w:ind w:left="540" w:hanging="540"/>
        <w:jc w:val="both"/>
        <w:rPr>
          <w:rFonts w:ascii="Book Antiqua" w:hAnsi="Book Antiqua" w:cs="Arial"/>
        </w:rPr>
      </w:pPr>
    </w:p>
    <w:p w:rsidR="008605A7" w:rsidRDefault="008605A7" w:rsidP="00780F86">
      <w:pPr>
        <w:ind w:left="540" w:hanging="540"/>
        <w:jc w:val="both"/>
        <w:rPr>
          <w:rFonts w:ascii="Book Antiqua" w:hAnsi="Book Antiqua" w:cs="Arial"/>
        </w:rPr>
      </w:pPr>
      <w:r>
        <w:rPr>
          <w:rFonts w:ascii="Book Antiqua" w:hAnsi="Book Antiqua" w:cs="Arial"/>
        </w:rPr>
        <w:t>13.</w:t>
      </w:r>
      <w:r>
        <w:rPr>
          <w:rFonts w:ascii="Book Antiqua" w:hAnsi="Book Antiqua" w:cs="Arial"/>
        </w:rPr>
        <w:tab/>
        <w:t>For the avoidance of doubt I indicate that the major bundle submitted on 18</w:t>
      </w:r>
      <w:r w:rsidRPr="008605A7">
        <w:rPr>
          <w:rFonts w:ascii="Book Antiqua" w:hAnsi="Book Antiqua" w:cs="Arial"/>
          <w:vertAlign w:val="superscript"/>
        </w:rPr>
        <w:t>th</w:t>
      </w:r>
      <w:r>
        <w:rPr>
          <w:rFonts w:ascii="Book Antiqua" w:hAnsi="Book Antiqua" w:cs="Arial"/>
        </w:rPr>
        <w:t xml:space="preserve"> December has been handed over in court to the respondent’s representative.  No doubt any further directions as there may be required will be issued by the First-tier Tribunal in due course.</w:t>
      </w:r>
      <w:r w:rsidR="002C1EDA">
        <w:rPr>
          <w:rFonts w:ascii="Book Antiqua" w:hAnsi="Book Antiqua" w:cs="Arial"/>
        </w:rPr>
        <w:t xml:space="preserve"> A complete bundle will be required by the</w:t>
      </w:r>
      <w:r w:rsidR="00AB1F51">
        <w:rPr>
          <w:rFonts w:ascii="Book Antiqua" w:hAnsi="Book Antiqua" w:cs="Arial"/>
        </w:rPr>
        <w:t xml:space="preserve"> T</w:t>
      </w:r>
      <w:r w:rsidR="002C1EDA">
        <w:rPr>
          <w:rFonts w:ascii="Book Antiqua" w:hAnsi="Book Antiqua" w:cs="Arial"/>
        </w:rPr>
        <w:t>ribunal.</w:t>
      </w:r>
    </w:p>
    <w:p w:rsidR="00AD0ED9" w:rsidRPr="008A78F0" w:rsidRDefault="00AD0ED9" w:rsidP="00780F86">
      <w:pPr>
        <w:ind w:left="540" w:hanging="540"/>
        <w:jc w:val="both"/>
        <w:rPr>
          <w:rFonts w:ascii="Book Antiqua" w:hAnsi="Book Antiqua" w:cs="Arial"/>
        </w:rPr>
      </w:pPr>
    </w:p>
    <w:p w:rsidR="00180E36" w:rsidRPr="00180E36" w:rsidRDefault="00180E36" w:rsidP="00180E36">
      <w:pPr>
        <w:jc w:val="both"/>
        <w:rPr>
          <w:rFonts w:ascii="Book Antiqua" w:hAnsi="Book Antiqua" w:cs="Arial"/>
          <w:b/>
          <w:u w:val="single"/>
        </w:rPr>
      </w:pPr>
      <w:r w:rsidRPr="00180E36">
        <w:rPr>
          <w:rFonts w:ascii="Book Antiqua" w:hAnsi="Book Antiqua" w:cs="Arial"/>
          <w:b/>
          <w:u w:val="single"/>
        </w:rPr>
        <w:t>Notice of Decision</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 xml:space="preserve">The appeal </w:t>
      </w:r>
      <w:r w:rsidR="008605A7">
        <w:rPr>
          <w:rFonts w:ascii="Book Antiqua" w:hAnsi="Book Antiqua" w:cs="Arial"/>
        </w:rPr>
        <w:t>before the Upper Tribunal succeeds to the extent that the First-tier Tribunal dec</w:t>
      </w:r>
      <w:r w:rsidRPr="00180E36">
        <w:rPr>
          <w:rFonts w:ascii="Book Antiqua" w:hAnsi="Book Antiqua" w:cs="Arial"/>
        </w:rPr>
        <w:t>is</w:t>
      </w:r>
      <w:r w:rsidR="008605A7">
        <w:rPr>
          <w:rFonts w:ascii="Book Antiqua" w:hAnsi="Book Antiqua" w:cs="Arial"/>
        </w:rPr>
        <w:t>ion is set aside to be remade by way of a full hearing also in that Tribunal.</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No anonymity direction is made.</w:t>
      </w:r>
    </w:p>
    <w:p w:rsidR="00180E36" w:rsidRPr="00687601" w:rsidRDefault="00180E36" w:rsidP="00180E36">
      <w:pPr>
        <w:jc w:val="both"/>
        <w:rPr>
          <w:rFonts w:ascii="Book Antiqua" w:hAnsi="Book Antiqua" w:cs="Arial"/>
        </w:rPr>
      </w:pPr>
    </w:p>
    <w:p w:rsidR="009F5220" w:rsidRPr="008A78F0" w:rsidRDefault="009F5220" w:rsidP="00780F86">
      <w:pPr>
        <w:ind w:left="540" w:hanging="540"/>
        <w:jc w:val="both"/>
        <w:rPr>
          <w:rFonts w:ascii="Book Antiqua" w:hAnsi="Book Antiqua" w:cs="Arial"/>
        </w:rPr>
      </w:pPr>
    </w:p>
    <w:p w:rsidR="00A509FA" w:rsidRDefault="00A509FA" w:rsidP="00102967">
      <w:pPr>
        <w:jc w:val="both"/>
        <w:rPr>
          <w:rFonts w:ascii="Book Antiqua" w:hAnsi="Book Antiqua" w:cs="Arial"/>
        </w:rPr>
      </w:pPr>
    </w:p>
    <w:p w:rsidR="00180E36" w:rsidRDefault="00180E36" w:rsidP="00780F86">
      <w:pPr>
        <w:ind w:left="540" w:hanging="540"/>
        <w:jc w:val="both"/>
        <w:rPr>
          <w:rFonts w:ascii="Book Antiqua" w:hAnsi="Book Antiqua" w:cs="Arial"/>
        </w:rPr>
      </w:pPr>
    </w:p>
    <w:p w:rsidR="00102967" w:rsidRPr="008A78F0" w:rsidRDefault="00102967" w:rsidP="00780F86">
      <w:pPr>
        <w:ind w:left="540" w:hanging="540"/>
        <w:jc w:val="both"/>
        <w:rPr>
          <w:rFonts w:ascii="Book Antiqua" w:hAnsi="Book Antiqua" w:cs="Arial"/>
        </w:rPr>
      </w:pPr>
    </w:p>
    <w:p w:rsidR="001F2716" w:rsidRPr="008A78F0" w:rsidRDefault="00780F86" w:rsidP="00102967">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002C1EDA">
        <w:rPr>
          <w:rFonts w:ascii="Book Antiqua" w:hAnsi="Book Antiqua" w:cs="Arial"/>
          <w:noProof/>
        </w:rPr>
        <w:drawing>
          <wp:inline distT="0" distB="0" distL="0" distR="0" wp14:anchorId="773C6110">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2C1EDA">
        <w:rPr>
          <w:rFonts w:ascii="Book Antiqua" w:hAnsi="Book Antiqua" w:cs="Arial"/>
        </w:rPr>
        <w:t xml:space="preserve"> </w:t>
      </w:r>
      <w:r w:rsidR="00AB1F51">
        <w:rPr>
          <w:rFonts w:ascii="Book Antiqua" w:hAnsi="Book Antiqua" w:cs="Arial"/>
        </w:rPr>
        <w:t xml:space="preserve"> 9</w:t>
      </w:r>
      <w:r w:rsidR="00AB1F51" w:rsidRPr="00AB1F51">
        <w:rPr>
          <w:rFonts w:ascii="Book Antiqua" w:hAnsi="Book Antiqua" w:cs="Arial"/>
          <w:vertAlign w:val="superscript"/>
        </w:rPr>
        <w:t>th</w:t>
      </w:r>
      <w:r w:rsidR="00AB1F51">
        <w:rPr>
          <w:rFonts w:ascii="Book Antiqua" w:hAnsi="Book Antiqua" w:cs="Arial"/>
        </w:rPr>
        <w:t xml:space="preserve"> August 2018</w:t>
      </w:r>
    </w:p>
    <w:p w:rsidR="001F2716" w:rsidRPr="008A78F0" w:rsidRDefault="001F2716" w:rsidP="00402B9E">
      <w:pPr>
        <w:tabs>
          <w:tab w:val="left" w:pos="2520"/>
        </w:tabs>
        <w:ind w:left="540" w:hanging="540"/>
        <w:jc w:val="both"/>
        <w:rPr>
          <w:rFonts w:ascii="Book Antiqua" w:hAnsi="Book Antiqua" w:cs="Arial"/>
        </w:rPr>
      </w:pPr>
    </w:p>
    <w:p w:rsidR="00B95326" w:rsidRPr="008A78F0" w:rsidRDefault="00B266BA" w:rsidP="005407F3">
      <w:pPr>
        <w:tabs>
          <w:tab w:val="left" w:pos="2520"/>
        </w:tabs>
        <w:ind w:left="540" w:hanging="540"/>
        <w:jc w:val="both"/>
        <w:rPr>
          <w:rFonts w:ascii="Book Antiqua" w:hAnsi="Book Antiqua" w:cs="Arial"/>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sectPr w:rsidR="00B95326" w:rsidRPr="008A78F0" w:rsidSect="00FB4340">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3C7" w:rsidRDefault="007A73C7">
      <w:r>
        <w:separator/>
      </w:r>
    </w:p>
  </w:endnote>
  <w:endnote w:type="continuationSeparator" w:id="0">
    <w:p w:rsidR="007A73C7" w:rsidRDefault="007A7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FB4340" w:rsidRDefault="0019650B" w:rsidP="00593795">
    <w:pPr>
      <w:pStyle w:val="Footer"/>
      <w:jc w:val="center"/>
      <w:rPr>
        <w:rFonts w:ascii="Book Antiqua" w:hAnsi="Book Antiqua" w:cs="Arial"/>
      </w:rPr>
    </w:pPr>
    <w:r w:rsidRPr="00FB4340">
      <w:rPr>
        <w:rStyle w:val="PageNumber"/>
        <w:rFonts w:ascii="Book Antiqua" w:hAnsi="Book Antiqua" w:cs="Arial"/>
      </w:rPr>
      <w:fldChar w:fldCharType="begin"/>
    </w:r>
    <w:r w:rsidRPr="00FB4340">
      <w:rPr>
        <w:rStyle w:val="PageNumber"/>
        <w:rFonts w:ascii="Book Antiqua" w:hAnsi="Book Antiqua" w:cs="Arial"/>
      </w:rPr>
      <w:instrText xml:space="preserve"> PAGE </w:instrText>
    </w:r>
    <w:r w:rsidRPr="00FB4340">
      <w:rPr>
        <w:rStyle w:val="PageNumber"/>
        <w:rFonts w:ascii="Book Antiqua" w:hAnsi="Book Antiqua" w:cs="Arial"/>
      </w:rPr>
      <w:fldChar w:fldCharType="separate"/>
    </w:r>
    <w:r w:rsidR="00D20C8F">
      <w:rPr>
        <w:rStyle w:val="PageNumber"/>
        <w:rFonts w:ascii="Book Antiqua" w:hAnsi="Book Antiqua" w:cs="Arial"/>
        <w:noProof/>
      </w:rPr>
      <w:t>3</w:t>
    </w:r>
    <w:r w:rsidRPr="00FB434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F433F7">
    <w:pPr>
      <w:jc w:val="center"/>
      <w:rPr>
        <w:rFonts w:ascii="Book Antiqua" w:hAnsi="Book Antiqua" w:cs="Arial"/>
        <w:b/>
      </w:rPr>
    </w:pPr>
    <w:r w:rsidRPr="008A78F0">
      <w:rPr>
        <w:rFonts w:ascii="Book Antiqua" w:hAnsi="Book Antiqua" w:cs="Arial"/>
        <w:b/>
        <w:spacing w:val="-6"/>
      </w:rPr>
      <w:t>©</w:t>
    </w:r>
    <w:r w:rsidR="009C48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3C7" w:rsidRDefault="007A73C7">
      <w:r>
        <w:separator/>
      </w:r>
    </w:p>
  </w:footnote>
  <w:footnote w:type="continuationSeparator" w:id="0">
    <w:p w:rsidR="007A73C7" w:rsidRDefault="007A7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Default="0019650B"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007E4A20">
      <w:rPr>
        <w:rFonts w:ascii="Book Antiqua" w:hAnsi="Book Antiqua" w:cs="Arial"/>
        <w:sz w:val="16"/>
        <w:szCs w:val="16"/>
      </w:rPr>
      <w:t>EA/04303/2017</w:t>
    </w:r>
  </w:p>
  <w:p w:rsidR="00FB4340" w:rsidRPr="008A78F0" w:rsidRDefault="00FB4340"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8F0" w:rsidRPr="008A78F0" w:rsidRDefault="008A78F0">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3C7"/>
    <w:rsid w:val="00000621"/>
    <w:rsid w:val="000036C2"/>
    <w:rsid w:val="00033D3D"/>
    <w:rsid w:val="00050100"/>
    <w:rsid w:val="00062F02"/>
    <w:rsid w:val="00071A7E"/>
    <w:rsid w:val="00071E09"/>
    <w:rsid w:val="000746C0"/>
    <w:rsid w:val="00074D1D"/>
    <w:rsid w:val="0008050A"/>
    <w:rsid w:val="00092580"/>
    <w:rsid w:val="00093D4D"/>
    <w:rsid w:val="0009735F"/>
    <w:rsid w:val="000D5D94"/>
    <w:rsid w:val="000F1A0E"/>
    <w:rsid w:val="00102967"/>
    <w:rsid w:val="001165A7"/>
    <w:rsid w:val="00140AF6"/>
    <w:rsid w:val="00167D3A"/>
    <w:rsid w:val="00180E36"/>
    <w:rsid w:val="0019650B"/>
    <w:rsid w:val="001A3082"/>
    <w:rsid w:val="001B186A"/>
    <w:rsid w:val="001B2F75"/>
    <w:rsid w:val="001D08E9"/>
    <w:rsid w:val="001F2716"/>
    <w:rsid w:val="00207617"/>
    <w:rsid w:val="0023134B"/>
    <w:rsid w:val="002343F3"/>
    <w:rsid w:val="002650BF"/>
    <w:rsid w:val="00283659"/>
    <w:rsid w:val="002A42F8"/>
    <w:rsid w:val="002C1EDA"/>
    <w:rsid w:val="002C6BD4"/>
    <w:rsid w:val="002D68BF"/>
    <w:rsid w:val="002F6B98"/>
    <w:rsid w:val="002F7832"/>
    <w:rsid w:val="00336CBF"/>
    <w:rsid w:val="00343FE3"/>
    <w:rsid w:val="003546C8"/>
    <w:rsid w:val="0037203F"/>
    <w:rsid w:val="00391121"/>
    <w:rsid w:val="00393C84"/>
    <w:rsid w:val="003A7CF2"/>
    <w:rsid w:val="003C2C39"/>
    <w:rsid w:val="003C5CE5"/>
    <w:rsid w:val="003E267B"/>
    <w:rsid w:val="003E7CD1"/>
    <w:rsid w:val="00402B9E"/>
    <w:rsid w:val="004040EB"/>
    <w:rsid w:val="004243F7"/>
    <w:rsid w:val="004249CB"/>
    <w:rsid w:val="0044127D"/>
    <w:rsid w:val="00442B42"/>
    <w:rsid w:val="004448DB"/>
    <w:rsid w:val="00446C9A"/>
    <w:rsid w:val="00452F2B"/>
    <w:rsid w:val="00462A18"/>
    <w:rsid w:val="00477193"/>
    <w:rsid w:val="004A1848"/>
    <w:rsid w:val="004A6F4A"/>
    <w:rsid w:val="004E4717"/>
    <w:rsid w:val="004F4980"/>
    <w:rsid w:val="00507FEC"/>
    <w:rsid w:val="00510F0E"/>
    <w:rsid w:val="005407F3"/>
    <w:rsid w:val="00542FA0"/>
    <w:rsid w:val="005479E1"/>
    <w:rsid w:val="00553E0A"/>
    <w:rsid w:val="005570FD"/>
    <w:rsid w:val="005575EA"/>
    <w:rsid w:val="0057790C"/>
    <w:rsid w:val="00593795"/>
    <w:rsid w:val="005A75FF"/>
    <w:rsid w:val="005D10AB"/>
    <w:rsid w:val="00601D8F"/>
    <w:rsid w:val="00635787"/>
    <w:rsid w:val="00653E97"/>
    <w:rsid w:val="00662A67"/>
    <w:rsid w:val="00684A74"/>
    <w:rsid w:val="00690B8A"/>
    <w:rsid w:val="006A05DF"/>
    <w:rsid w:val="006F2CF1"/>
    <w:rsid w:val="007038ED"/>
    <w:rsid w:val="00703BC3"/>
    <w:rsid w:val="00704B61"/>
    <w:rsid w:val="007552A9"/>
    <w:rsid w:val="00761858"/>
    <w:rsid w:val="007645A0"/>
    <w:rsid w:val="00767D59"/>
    <w:rsid w:val="00776E97"/>
    <w:rsid w:val="00780F86"/>
    <w:rsid w:val="007912AD"/>
    <w:rsid w:val="007A5B33"/>
    <w:rsid w:val="007A73C7"/>
    <w:rsid w:val="007B0824"/>
    <w:rsid w:val="007B5D3C"/>
    <w:rsid w:val="007C14A2"/>
    <w:rsid w:val="007C30BC"/>
    <w:rsid w:val="007E4A20"/>
    <w:rsid w:val="0080175A"/>
    <w:rsid w:val="00821B72"/>
    <w:rsid w:val="00823EF2"/>
    <w:rsid w:val="008242D7"/>
    <w:rsid w:val="008303B8"/>
    <w:rsid w:val="00833DCE"/>
    <w:rsid w:val="008605A7"/>
    <w:rsid w:val="00871D34"/>
    <w:rsid w:val="008A78F0"/>
    <w:rsid w:val="008B270C"/>
    <w:rsid w:val="008B5078"/>
    <w:rsid w:val="008C33A3"/>
    <w:rsid w:val="008C3D3D"/>
    <w:rsid w:val="008D4131"/>
    <w:rsid w:val="008D4EDA"/>
    <w:rsid w:val="008F1932"/>
    <w:rsid w:val="00921062"/>
    <w:rsid w:val="00946A75"/>
    <w:rsid w:val="009722BC"/>
    <w:rsid w:val="009727A3"/>
    <w:rsid w:val="00987774"/>
    <w:rsid w:val="009A11E8"/>
    <w:rsid w:val="009C4801"/>
    <w:rsid w:val="009E74DF"/>
    <w:rsid w:val="009F5220"/>
    <w:rsid w:val="00A15234"/>
    <w:rsid w:val="00A201AB"/>
    <w:rsid w:val="00A23D9F"/>
    <w:rsid w:val="00A31C8B"/>
    <w:rsid w:val="00A41A06"/>
    <w:rsid w:val="00A509FA"/>
    <w:rsid w:val="00A613BC"/>
    <w:rsid w:val="00A845DC"/>
    <w:rsid w:val="00AB1F51"/>
    <w:rsid w:val="00AD0ED9"/>
    <w:rsid w:val="00AF6C8C"/>
    <w:rsid w:val="00B266BA"/>
    <w:rsid w:val="00B26AA2"/>
    <w:rsid w:val="00B3524D"/>
    <w:rsid w:val="00B40F69"/>
    <w:rsid w:val="00B46616"/>
    <w:rsid w:val="00B7040A"/>
    <w:rsid w:val="00B76132"/>
    <w:rsid w:val="00B81E78"/>
    <w:rsid w:val="00B83391"/>
    <w:rsid w:val="00B95326"/>
    <w:rsid w:val="00BD4196"/>
    <w:rsid w:val="00BE70EF"/>
    <w:rsid w:val="00BF22CA"/>
    <w:rsid w:val="00BF23BB"/>
    <w:rsid w:val="00C11C18"/>
    <w:rsid w:val="00C26032"/>
    <w:rsid w:val="00C31A44"/>
    <w:rsid w:val="00C345E1"/>
    <w:rsid w:val="00C37326"/>
    <w:rsid w:val="00C43BFD"/>
    <w:rsid w:val="00C4733E"/>
    <w:rsid w:val="00C83844"/>
    <w:rsid w:val="00CB6E35"/>
    <w:rsid w:val="00CD1E2A"/>
    <w:rsid w:val="00CE1A46"/>
    <w:rsid w:val="00D0037C"/>
    <w:rsid w:val="00D20757"/>
    <w:rsid w:val="00D20C8F"/>
    <w:rsid w:val="00D22636"/>
    <w:rsid w:val="00D40FD9"/>
    <w:rsid w:val="00D424E7"/>
    <w:rsid w:val="00D509DC"/>
    <w:rsid w:val="00D53769"/>
    <w:rsid w:val="00D85C13"/>
    <w:rsid w:val="00D9111A"/>
    <w:rsid w:val="00D91BE3"/>
    <w:rsid w:val="00D94AFC"/>
    <w:rsid w:val="00DA6EFC"/>
    <w:rsid w:val="00DB70AE"/>
    <w:rsid w:val="00DD5071"/>
    <w:rsid w:val="00DD5C39"/>
    <w:rsid w:val="00DE7DB7"/>
    <w:rsid w:val="00E00A0A"/>
    <w:rsid w:val="00E066DE"/>
    <w:rsid w:val="00E07F57"/>
    <w:rsid w:val="00E30683"/>
    <w:rsid w:val="00E41521"/>
    <w:rsid w:val="00E453D8"/>
    <w:rsid w:val="00E50BCE"/>
    <w:rsid w:val="00E574BF"/>
    <w:rsid w:val="00E61292"/>
    <w:rsid w:val="00E77C4D"/>
    <w:rsid w:val="00E81D01"/>
    <w:rsid w:val="00EA3B7D"/>
    <w:rsid w:val="00EE45D8"/>
    <w:rsid w:val="00F1086A"/>
    <w:rsid w:val="00F22EDA"/>
    <w:rsid w:val="00F433F7"/>
    <w:rsid w:val="00F74477"/>
    <w:rsid w:val="00F830C5"/>
    <w:rsid w:val="00F94A76"/>
    <w:rsid w:val="00FB4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3E640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4439</Characters>
  <Application>Microsoft Office Word</Application>
  <DocSecurity>0</DocSecurity>
  <Lines>36</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2018-08-24T12:52:00Z</dcterms:created>
  <dcterms:modified xsi:type="dcterms:W3CDTF">2018-08-24T12:52:00Z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