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4EE0E" w14:textId="77777777" w:rsidR="00E500B2" w:rsidRPr="00454886" w:rsidRDefault="00D611F2" w:rsidP="00E500B2">
      <w:pPr>
        <w:jc w:val="center"/>
        <w:rPr>
          <w:rFonts w:ascii="Book Antiqua" w:hAnsi="Book Antiqua" w:cs="Arial"/>
          <w:caps/>
          <w:color w:val="000000"/>
          <w:sz w:val="16"/>
          <w:szCs w:val="16"/>
        </w:rPr>
      </w:pPr>
      <w:r w:rsidRPr="00454886">
        <w:rPr>
          <w:noProof/>
          <w:sz w:val="16"/>
          <w:szCs w:val="16"/>
        </w:rPr>
        <w:drawing>
          <wp:inline distT="0" distB="0" distL="0" distR="0" wp14:anchorId="328A2DAD" wp14:editId="7A071F9C">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4BBD8C4A" w14:textId="22341747" w:rsidR="00D94AFC" w:rsidRPr="00454886" w:rsidRDefault="00D94AFC">
      <w:pPr>
        <w:rPr>
          <w:rFonts w:ascii="Book Antiqua" w:hAnsi="Book Antiqua" w:cs="Arial"/>
          <w:color w:val="000000"/>
          <w:sz w:val="16"/>
          <w:szCs w:val="16"/>
        </w:rPr>
      </w:pPr>
    </w:p>
    <w:p w14:paraId="5FA92459" w14:textId="77777777" w:rsidR="00E500B2" w:rsidRPr="00EF3D28" w:rsidRDefault="00E500B2" w:rsidP="00780F86">
      <w:pPr>
        <w:tabs>
          <w:tab w:val="right" w:pos="9720"/>
        </w:tabs>
        <w:ind w:right="-82"/>
        <w:rPr>
          <w:rFonts w:ascii="Book Antiqua" w:hAnsi="Book Antiqua" w:cs="Arial"/>
          <w:b/>
          <w:color w:val="000000"/>
        </w:rPr>
      </w:pPr>
      <w:r w:rsidRPr="00EF3D28">
        <w:rPr>
          <w:rFonts w:ascii="Book Antiqua" w:hAnsi="Book Antiqua" w:cs="Arial"/>
          <w:b/>
          <w:color w:val="000000"/>
        </w:rPr>
        <w:t>Upper Tribunal</w:t>
      </w:r>
    </w:p>
    <w:p w14:paraId="76E44FEF" w14:textId="77777777" w:rsidR="007B0824" w:rsidRPr="00EF3D28" w:rsidRDefault="00E500B2" w:rsidP="00780F86">
      <w:pPr>
        <w:tabs>
          <w:tab w:val="right" w:pos="9720"/>
        </w:tabs>
        <w:ind w:right="-82"/>
        <w:rPr>
          <w:rFonts w:ascii="Book Antiqua" w:hAnsi="Book Antiqua" w:cs="Arial"/>
          <w:color w:val="000000"/>
        </w:rPr>
      </w:pPr>
      <w:r w:rsidRPr="00EF3D28">
        <w:rPr>
          <w:rFonts w:ascii="Book Antiqua" w:hAnsi="Book Antiqua" w:cs="Arial"/>
          <w:b/>
          <w:color w:val="000000"/>
        </w:rPr>
        <w:t>(Immigration and Asylum Chamber)</w:t>
      </w:r>
      <w:r w:rsidR="00DB70AE" w:rsidRPr="00EF3D28">
        <w:rPr>
          <w:rFonts w:ascii="Book Antiqua" w:hAnsi="Book Antiqua" w:cs="Arial"/>
          <w:b/>
          <w:color w:val="000000"/>
        </w:rPr>
        <w:tab/>
      </w:r>
      <w:r w:rsidR="00B3524D" w:rsidRPr="00EF3D28">
        <w:rPr>
          <w:rFonts w:ascii="Book Antiqua" w:hAnsi="Book Antiqua" w:cs="Arial"/>
          <w:color w:val="000000"/>
        </w:rPr>
        <w:t>Appeal Number</w:t>
      </w:r>
      <w:r w:rsidR="00D53769" w:rsidRPr="00EF3D28">
        <w:rPr>
          <w:rFonts w:ascii="Book Antiqua" w:hAnsi="Book Antiqua" w:cs="Arial"/>
          <w:color w:val="000000"/>
        </w:rPr>
        <w:t>:</w:t>
      </w:r>
      <w:r w:rsidR="00B3524D" w:rsidRPr="00EF3D28">
        <w:rPr>
          <w:rFonts w:ascii="Book Antiqua" w:hAnsi="Book Antiqua" w:cs="Arial"/>
          <w:color w:val="000000"/>
        </w:rPr>
        <w:t xml:space="preserve"> </w:t>
      </w:r>
      <w:bookmarkStart w:id="0" w:name="_GoBack"/>
      <w:r w:rsidR="00D611F2" w:rsidRPr="00EF3D28">
        <w:rPr>
          <w:rFonts w:ascii="Book Antiqua" w:hAnsi="Book Antiqua" w:cs="Arial"/>
          <w:caps/>
          <w:color w:val="000000"/>
        </w:rPr>
        <w:t>EA/04344/2017</w:t>
      </w:r>
      <w:bookmarkEnd w:id="0"/>
    </w:p>
    <w:p w14:paraId="2FDB695A" w14:textId="77777777" w:rsidR="00C345E1" w:rsidRPr="00EF3D28" w:rsidRDefault="00C345E1" w:rsidP="00C345E1">
      <w:pPr>
        <w:jc w:val="center"/>
        <w:rPr>
          <w:rFonts w:ascii="Book Antiqua" w:hAnsi="Book Antiqua" w:cs="Arial"/>
          <w:color w:val="000000"/>
        </w:rPr>
      </w:pPr>
    </w:p>
    <w:p w14:paraId="0F658055" w14:textId="77777777" w:rsidR="00C345E1" w:rsidRPr="00EF3D28" w:rsidRDefault="00C345E1" w:rsidP="00C345E1">
      <w:pPr>
        <w:jc w:val="center"/>
        <w:rPr>
          <w:rFonts w:ascii="Book Antiqua" w:hAnsi="Book Antiqua" w:cs="Arial"/>
          <w:color w:val="000000"/>
        </w:rPr>
      </w:pPr>
    </w:p>
    <w:p w14:paraId="43F9002A" w14:textId="77777777" w:rsidR="00C345E1" w:rsidRPr="00EF3D28" w:rsidRDefault="00C345E1" w:rsidP="00C345E1">
      <w:pPr>
        <w:jc w:val="center"/>
        <w:rPr>
          <w:rFonts w:ascii="Book Antiqua" w:hAnsi="Book Antiqua" w:cs="Arial"/>
          <w:b/>
          <w:color w:val="000000"/>
          <w:u w:val="single"/>
        </w:rPr>
      </w:pPr>
      <w:r w:rsidRPr="00EF3D28">
        <w:rPr>
          <w:rFonts w:ascii="Book Antiqua" w:hAnsi="Book Antiqua" w:cs="Arial"/>
          <w:b/>
          <w:color w:val="000000"/>
          <w:u w:val="single"/>
        </w:rPr>
        <w:t>THE IMMIGRATION ACTS</w:t>
      </w:r>
    </w:p>
    <w:p w14:paraId="42882971" w14:textId="77777777" w:rsidR="00C345E1" w:rsidRPr="00EF3D28" w:rsidRDefault="00C345E1" w:rsidP="00C345E1">
      <w:pPr>
        <w:jc w:val="center"/>
        <w:rPr>
          <w:rFonts w:ascii="Book Antiqua" w:hAnsi="Book Antiqua" w:cs="Arial"/>
          <w:b/>
          <w:u w:val="single"/>
        </w:rPr>
      </w:pPr>
    </w:p>
    <w:p w14:paraId="7CAABA40" w14:textId="77777777" w:rsidR="00C345E1" w:rsidRPr="00EF3D28"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EF3D28" w14:paraId="407B5261" w14:textId="77777777" w:rsidTr="00173CC6">
        <w:tc>
          <w:tcPr>
            <w:tcW w:w="6048" w:type="dxa"/>
          </w:tcPr>
          <w:p w14:paraId="3CB82029" w14:textId="77777777" w:rsidR="00D22636" w:rsidRPr="00EF3D28" w:rsidRDefault="00D22636" w:rsidP="004A1848">
            <w:pPr>
              <w:jc w:val="both"/>
              <w:rPr>
                <w:rFonts w:ascii="Book Antiqua" w:hAnsi="Book Antiqua" w:cs="Arial"/>
                <w:b/>
              </w:rPr>
            </w:pPr>
            <w:r w:rsidRPr="00EF3D28">
              <w:rPr>
                <w:rFonts w:ascii="Book Antiqua" w:hAnsi="Book Antiqua" w:cs="Arial"/>
                <w:b/>
              </w:rPr>
              <w:t xml:space="preserve">Heard at </w:t>
            </w:r>
            <w:r w:rsidR="00603BB6" w:rsidRPr="00EF3D28">
              <w:rPr>
                <w:rFonts w:ascii="Book Antiqua" w:hAnsi="Book Antiqua" w:cs="Arial"/>
                <w:b/>
              </w:rPr>
              <w:t xml:space="preserve">Liverpool </w:t>
            </w:r>
          </w:p>
        </w:tc>
        <w:tc>
          <w:tcPr>
            <w:tcW w:w="3960" w:type="dxa"/>
          </w:tcPr>
          <w:p w14:paraId="7EB6A8EC" w14:textId="77777777" w:rsidR="00D22636" w:rsidRPr="00EF3D28" w:rsidRDefault="00173CC6" w:rsidP="00093D4D">
            <w:pPr>
              <w:jc w:val="both"/>
              <w:rPr>
                <w:rFonts w:ascii="Book Antiqua" w:hAnsi="Book Antiqua" w:cs="Arial"/>
                <w:b/>
                <w:color w:val="000000"/>
              </w:rPr>
            </w:pPr>
            <w:r w:rsidRPr="00EF3D28">
              <w:rPr>
                <w:rFonts w:ascii="Book Antiqua" w:hAnsi="Book Antiqua" w:cs="Arial"/>
                <w:b/>
                <w:color w:val="000000"/>
              </w:rPr>
              <w:t>Decision &amp; Reasons</w:t>
            </w:r>
            <w:r w:rsidR="00283659" w:rsidRPr="00EF3D28">
              <w:rPr>
                <w:rFonts w:ascii="Book Antiqua" w:hAnsi="Book Antiqua" w:cs="Arial"/>
                <w:b/>
                <w:color w:val="000000"/>
              </w:rPr>
              <w:t xml:space="preserve"> Promulgated</w:t>
            </w:r>
          </w:p>
        </w:tc>
      </w:tr>
      <w:tr w:rsidR="00D22636" w:rsidRPr="00EF3D28" w14:paraId="44C8C826" w14:textId="77777777" w:rsidTr="00173CC6">
        <w:tc>
          <w:tcPr>
            <w:tcW w:w="6048" w:type="dxa"/>
          </w:tcPr>
          <w:p w14:paraId="56143BC3" w14:textId="77777777" w:rsidR="00D22636" w:rsidRPr="00EF3D28" w:rsidRDefault="00D22636" w:rsidP="004A1848">
            <w:pPr>
              <w:jc w:val="both"/>
              <w:rPr>
                <w:rFonts w:ascii="Book Antiqua" w:hAnsi="Book Antiqua" w:cs="Arial"/>
                <w:b/>
              </w:rPr>
            </w:pPr>
            <w:r w:rsidRPr="00EF3D28">
              <w:rPr>
                <w:rFonts w:ascii="Book Antiqua" w:hAnsi="Book Antiqua" w:cs="Arial"/>
                <w:b/>
              </w:rPr>
              <w:t xml:space="preserve">On </w:t>
            </w:r>
            <w:r w:rsidR="00603BB6" w:rsidRPr="00EF3D28">
              <w:rPr>
                <w:rFonts w:ascii="Book Antiqua" w:hAnsi="Book Antiqua" w:cs="Arial"/>
                <w:b/>
              </w:rPr>
              <w:t xml:space="preserve">24 July 2018 </w:t>
            </w:r>
          </w:p>
        </w:tc>
        <w:tc>
          <w:tcPr>
            <w:tcW w:w="3960" w:type="dxa"/>
          </w:tcPr>
          <w:p w14:paraId="61459096" w14:textId="542E2F91" w:rsidR="00D22636" w:rsidRPr="00EF3D28" w:rsidRDefault="00EE0238" w:rsidP="004A1848">
            <w:pPr>
              <w:jc w:val="both"/>
              <w:rPr>
                <w:rFonts w:ascii="Book Antiqua" w:hAnsi="Book Antiqua" w:cs="Arial"/>
                <w:b/>
              </w:rPr>
            </w:pPr>
            <w:r>
              <w:rPr>
                <w:rFonts w:ascii="Book Antiqua" w:hAnsi="Book Antiqua" w:cs="Arial"/>
                <w:b/>
              </w:rPr>
              <w:t>On 10 September 2018</w:t>
            </w:r>
          </w:p>
        </w:tc>
      </w:tr>
      <w:tr w:rsidR="00D22636" w:rsidRPr="00EF3D28" w14:paraId="05079A30" w14:textId="77777777" w:rsidTr="00173CC6">
        <w:tc>
          <w:tcPr>
            <w:tcW w:w="6048" w:type="dxa"/>
          </w:tcPr>
          <w:p w14:paraId="65B324BB" w14:textId="77777777" w:rsidR="00D22636" w:rsidRPr="00EF3D28" w:rsidRDefault="00D22636" w:rsidP="004A1848">
            <w:pPr>
              <w:jc w:val="both"/>
              <w:rPr>
                <w:rFonts w:ascii="Book Antiqua" w:hAnsi="Book Antiqua" w:cs="Arial"/>
                <w:b/>
              </w:rPr>
            </w:pPr>
          </w:p>
        </w:tc>
        <w:tc>
          <w:tcPr>
            <w:tcW w:w="3960" w:type="dxa"/>
          </w:tcPr>
          <w:p w14:paraId="24950C5A" w14:textId="4CCE7665" w:rsidR="00D22636" w:rsidRPr="00EF3D28" w:rsidRDefault="00D22636" w:rsidP="004A1848">
            <w:pPr>
              <w:jc w:val="both"/>
              <w:rPr>
                <w:rFonts w:ascii="Book Antiqua" w:hAnsi="Book Antiqua" w:cs="Arial"/>
                <w:b/>
              </w:rPr>
            </w:pPr>
          </w:p>
        </w:tc>
      </w:tr>
    </w:tbl>
    <w:p w14:paraId="0FB2CD7A" w14:textId="77777777" w:rsidR="00A15234" w:rsidRPr="00EF3D28" w:rsidRDefault="00A15234" w:rsidP="00A15234">
      <w:pPr>
        <w:jc w:val="center"/>
        <w:rPr>
          <w:rFonts w:ascii="Book Antiqua" w:hAnsi="Book Antiqua" w:cs="Arial"/>
        </w:rPr>
      </w:pPr>
    </w:p>
    <w:p w14:paraId="55D7EE60" w14:textId="77777777" w:rsidR="00A15234" w:rsidRPr="00EF3D28" w:rsidRDefault="00207617" w:rsidP="00A15234">
      <w:pPr>
        <w:jc w:val="center"/>
        <w:rPr>
          <w:rFonts w:ascii="Book Antiqua" w:hAnsi="Book Antiqua" w:cs="Arial"/>
          <w:b/>
        </w:rPr>
      </w:pPr>
      <w:r w:rsidRPr="00EF3D28">
        <w:rPr>
          <w:rFonts w:ascii="Book Antiqua" w:hAnsi="Book Antiqua" w:cs="Arial"/>
          <w:b/>
        </w:rPr>
        <w:t>Befo</w:t>
      </w:r>
      <w:r w:rsidR="00A15234" w:rsidRPr="00EF3D28">
        <w:rPr>
          <w:rFonts w:ascii="Book Antiqua" w:hAnsi="Book Antiqua" w:cs="Arial"/>
          <w:b/>
        </w:rPr>
        <w:t>re</w:t>
      </w:r>
    </w:p>
    <w:p w14:paraId="57E0C49F" w14:textId="77777777" w:rsidR="00A15234" w:rsidRPr="00EF3D28" w:rsidRDefault="00A15234" w:rsidP="00A15234">
      <w:pPr>
        <w:jc w:val="center"/>
        <w:rPr>
          <w:rFonts w:ascii="Book Antiqua" w:hAnsi="Book Antiqua" w:cs="Arial"/>
          <w:b/>
        </w:rPr>
      </w:pPr>
    </w:p>
    <w:p w14:paraId="64E3E93E" w14:textId="77777777" w:rsidR="00D20757" w:rsidRPr="00EF3D28" w:rsidRDefault="00D7040C" w:rsidP="00A15234">
      <w:pPr>
        <w:jc w:val="center"/>
        <w:rPr>
          <w:rFonts w:ascii="Book Antiqua" w:hAnsi="Book Antiqua" w:cs="Arial"/>
          <w:b/>
          <w:color w:val="000000"/>
        </w:rPr>
      </w:pPr>
      <w:r w:rsidRPr="00EF3D28">
        <w:rPr>
          <w:rFonts w:ascii="Book Antiqua" w:hAnsi="Book Antiqua" w:cs="Arial"/>
          <w:b/>
          <w:color w:val="000000"/>
        </w:rPr>
        <w:t xml:space="preserve">DR H </w:t>
      </w:r>
      <w:proofErr w:type="spellStart"/>
      <w:r w:rsidRPr="00EF3D28">
        <w:rPr>
          <w:rFonts w:ascii="Book Antiqua" w:hAnsi="Book Antiqua" w:cs="Arial"/>
          <w:b/>
          <w:color w:val="000000"/>
        </w:rPr>
        <w:t>H</w:t>
      </w:r>
      <w:proofErr w:type="spellEnd"/>
      <w:r w:rsidRPr="00EF3D28">
        <w:rPr>
          <w:rFonts w:ascii="Book Antiqua" w:hAnsi="Book Antiqua" w:cs="Arial"/>
          <w:b/>
          <w:color w:val="000000"/>
        </w:rPr>
        <w:t xml:space="preserve"> </w:t>
      </w:r>
      <w:r w:rsidR="008B4F43" w:rsidRPr="00EF3D28">
        <w:rPr>
          <w:rFonts w:ascii="Book Antiqua" w:hAnsi="Book Antiqua" w:cs="Arial"/>
          <w:b/>
          <w:color w:val="000000"/>
        </w:rPr>
        <w:t>STOREY</w:t>
      </w:r>
    </w:p>
    <w:p w14:paraId="1677D56E" w14:textId="77777777" w:rsidR="001B186A" w:rsidRPr="00EF3D28" w:rsidRDefault="00D7040C" w:rsidP="00A15234">
      <w:pPr>
        <w:jc w:val="center"/>
        <w:rPr>
          <w:rFonts w:ascii="Book Antiqua" w:hAnsi="Book Antiqua" w:cs="Arial"/>
          <w:b/>
          <w:color w:val="000000"/>
        </w:rPr>
      </w:pPr>
      <w:r w:rsidRPr="00EF3D28">
        <w:rPr>
          <w:rFonts w:ascii="Book Antiqua" w:hAnsi="Book Antiqua" w:cs="Arial"/>
          <w:b/>
          <w:color w:val="000000"/>
        </w:rPr>
        <w:t>JUDGE OF THE UPPER TRIBUNAL</w:t>
      </w:r>
    </w:p>
    <w:p w14:paraId="0E4391A4" w14:textId="34F39F28" w:rsidR="00D20757" w:rsidRDefault="00D20757" w:rsidP="00A15234">
      <w:pPr>
        <w:jc w:val="center"/>
        <w:rPr>
          <w:rFonts w:ascii="Book Antiqua" w:hAnsi="Book Antiqua" w:cs="Arial"/>
          <w:b/>
        </w:rPr>
      </w:pPr>
    </w:p>
    <w:p w14:paraId="012D8891" w14:textId="77777777" w:rsidR="00454886" w:rsidRPr="00EF3D28" w:rsidRDefault="00454886" w:rsidP="00A15234">
      <w:pPr>
        <w:jc w:val="center"/>
        <w:rPr>
          <w:rFonts w:ascii="Book Antiqua" w:hAnsi="Book Antiqua" w:cs="Arial"/>
          <w:b/>
        </w:rPr>
      </w:pPr>
    </w:p>
    <w:p w14:paraId="5136E84A" w14:textId="77777777" w:rsidR="00A845DC" w:rsidRPr="00EF3D28" w:rsidRDefault="00A845DC" w:rsidP="00A15234">
      <w:pPr>
        <w:jc w:val="center"/>
        <w:rPr>
          <w:rFonts w:ascii="Book Antiqua" w:hAnsi="Book Antiqua" w:cs="Arial"/>
          <w:b/>
        </w:rPr>
      </w:pPr>
      <w:r w:rsidRPr="00EF3D28">
        <w:rPr>
          <w:rFonts w:ascii="Book Antiqua" w:hAnsi="Book Antiqua" w:cs="Arial"/>
          <w:b/>
        </w:rPr>
        <w:t>Between</w:t>
      </w:r>
    </w:p>
    <w:p w14:paraId="427A4310" w14:textId="77777777" w:rsidR="00A845DC" w:rsidRPr="00EF3D28" w:rsidRDefault="00A845DC" w:rsidP="00A15234">
      <w:pPr>
        <w:jc w:val="center"/>
        <w:rPr>
          <w:rFonts w:ascii="Book Antiqua" w:hAnsi="Book Antiqua" w:cs="Arial"/>
          <w:b/>
        </w:rPr>
      </w:pPr>
    </w:p>
    <w:p w14:paraId="676B9108" w14:textId="77777777" w:rsidR="00A845DC" w:rsidRPr="00EF3D28" w:rsidRDefault="00A15A12" w:rsidP="00A15234">
      <w:pPr>
        <w:jc w:val="center"/>
        <w:rPr>
          <w:rFonts w:ascii="Book Antiqua" w:hAnsi="Book Antiqua" w:cs="Arial"/>
          <w:b/>
          <w:caps/>
        </w:rPr>
      </w:pPr>
      <w:r w:rsidRPr="00EF3D28">
        <w:rPr>
          <w:rFonts w:ascii="Book Antiqua" w:hAnsi="Book Antiqua" w:cs="Arial"/>
          <w:b/>
          <w:caps/>
        </w:rPr>
        <w:t xml:space="preserve">mr Quadri Olamilekan Jimoh  </w:t>
      </w:r>
    </w:p>
    <w:p w14:paraId="24A7C00B" w14:textId="4E295CCE" w:rsidR="00173CC6" w:rsidRPr="00EF3D28" w:rsidRDefault="00173CC6" w:rsidP="00173CC6">
      <w:pPr>
        <w:jc w:val="center"/>
        <w:rPr>
          <w:rFonts w:ascii="Book Antiqua" w:hAnsi="Book Antiqua" w:cs="Arial"/>
          <w:b/>
          <w:caps/>
        </w:rPr>
      </w:pPr>
      <w:r w:rsidRPr="00EF3D28">
        <w:rPr>
          <w:rFonts w:ascii="Book Antiqua" w:hAnsi="Book Antiqua" w:cs="Arial"/>
          <w:b/>
          <w:caps/>
        </w:rPr>
        <w:t xml:space="preserve">(ANONYMITY DIRECTION </w:t>
      </w:r>
      <w:r w:rsidR="00E86D22">
        <w:rPr>
          <w:rFonts w:ascii="Book Antiqua" w:hAnsi="Book Antiqua" w:cs="Arial"/>
          <w:b/>
          <w:caps/>
        </w:rPr>
        <w:t>NOT MADE</w:t>
      </w:r>
      <w:r w:rsidRPr="00EF3D28">
        <w:rPr>
          <w:rFonts w:ascii="Book Antiqua" w:hAnsi="Book Antiqua" w:cs="Arial"/>
          <w:b/>
          <w:caps/>
        </w:rPr>
        <w:t>)</w:t>
      </w:r>
    </w:p>
    <w:p w14:paraId="527F1B32" w14:textId="77777777" w:rsidR="00704B61" w:rsidRPr="00EF3D28" w:rsidRDefault="00704B61" w:rsidP="00704B61">
      <w:pPr>
        <w:jc w:val="right"/>
        <w:rPr>
          <w:rFonts w:ascii="Book Antiqua" w:hAnsi="Book Antiqua" w:cs="Arial"/>
          <w:u w:val="single"/>
        </w:rPr>
      </w:pPr>
      <w:r w:rsidRPr="00EF3D28">
        <w:rPr>
          <w:rFonts w:ascii="Book Antiqua" w:hAnsi="Book Antiqua" w:cs="Arial"/>
          <w:u w:val="single"/>
        </w:rPr>
        <w:t>Appellant</w:t>
      </w:r>
    </w:p>
    <w:p w14:paraId="714325A7" w14:textId="77777777" w:rsidR="00704B61" w:rsidRPr="00EF3D28" w:rsidRDefault="00DD5071" w:rsidP="00704B61">
      <w:pPr>
        <w:jc w:val="center"/>
        <w:rPr>
          <w:rFonts w:ascii="Book Antiqua" w:hAnsi="Book Antiqua" w:cs="Arial"/>
          <w:b/>
        </w:rPr>
      </w:pPr>
      <w:r w:rsidRPr="00EF3D28">
        <w:rPr>
          <w:rFonts w:ascii="Book Antiqua" w:hAnsi="Book Antiqua" w:cs="Arial"/>
          <w:b/>
        </w:rPr>
        <w:t>and</w:t>
      </w:r>
    </w:p>
    <w:p w14:paraId="3808655D" w14:textId="77777777" w:rsidR="00DD5071" w:rsidRPr="00EF3D28" w:rsidRDefault="00DD5071" w:rsidP="00704B61">
      <w:pPr>
        <w:jc w:val="center"/>
        <w:rPr>
          <w:rFonts w:ascii="Book Antiqua" w:hAnsi="Book Antiqua" w:cs="Arial"/>
          <w:b/>
        </w:rPr>
      </w:pPr>
    </w:p>
    <w:p w14:paraId="352577A1" w14:textId="77777777" w:rsidR="00DD5071" w:rsidRPr="00EF3D28" w:rsidRDefault="00DD5071" w:rsidP="00704B61">
      <w:pPr>
        <w:jc w:val="center"/>
        <w:rPr>
          <w:rFonts w:ascii="Book Antiqua" w:hAnsi="Book Antiqua" w:cs="Arial"/>
          <w:b/>
        </w:rPr>
      </w:pPr>
      <w:bookmarkStart w:id="1" w:name="Text7"/>
      <w:r w:rsidRPr="00EF3D28">
        <w:rPr>
          <w:rFonts w:ascii="Book Antiqua" w:hAnsi="Book Antiqua" w:cs="Arial"/>
          <w:b/>
          <w:noProof/>
        </w:rPr>
        <w:t>THE SECRETARY OF STATE FOR THE HOME DEPARTMENT</w:t>
      </w:r>
      <w:bookmarkEnd w:id="1"/>
      <w:r w:rsidR="00693C03" w:rsidRPr="00EF3D28">
        <w:rPr>
          <w:rFonts w:ascii="Book Antiqua" w:hAnsi="Book Antiqua" w:cs="Arial"/>
          <w:b/>
          <w:noProof/>
        </w:rPr>
        <w:t xml:space="preserve"> </w:t>
      </w:r>
    </w:p>
    <w:p w14:paraId="1E2968E0" w14:textId="77777777" w:rsidR="00DD5071" w:rsidRPr="00EF3D28" w:rsidRDefault="00DD5071" w:rsidP="00DD5071">
      <w:pPr>
        <w:jc w:val="right"/>
        <w:rPr>
          <w:rFonts w:ascii="Book Antiqua" w:hAnsi="Book Antiqua" w:cs="Arial"/>
          <w:u w:val="single"/>
        </w:rPr>
      </w:pPr>
      <w:r w:rsidRPr="00EF3D28">
        <w:rPr>
          <w:rFonts w:ascii="Book Antiqua" w:hAnsi="Book Antiqua" w:cs="Arial"/>
          <w:u w:val="single"/>
        </w:rPr>
        <w:t>Respondent</w:t>
      </w:r>
    </w:p>
    <w:p w14:paraId="35A918B1" w14:textId="77777777" w:rsidR="00DD5071" w:rsidRPr="00EF3D28" w:rsidRDefault="00DD5071" w:rsidP="00DD5071">
      <w:pPr>
        <w:rPr>
          <w:rFonts w:ascii="Book Antiqua" w:hAnsi="Book Antiqua" w:cs="Arial"/>
          <w:u w:val="single"/>
        </w:rPr>
      </w:pPr>
    </w:p>
    <w:p w14:paraId="3325046F" w14:textId="77777777" w:rsidR="00DD5071" w:rsidRPr="00EF3D28" w:rsidRDefault="00DD5071" w:rsidP="00DD5071">
      <w:pPr>
        <w:rPr>
          <w:rFonts w:ascii="Book Antiqua" w:hAnsi="Book Antiqua" w:cs="Arial"/>
          <w:u w:val="single"/>
        </w:rPr>
      </w:pPr>
    </w:p>
    <w:p w14:paraId="2E27F0C4" w14:textId="77777777" w:rsidR="00DD5071" w:rsidRPr="00EF3D28" w:rsidRDefault="00DE7DB7" w:rsidP="00DD5071">
      <w:pPr>
        <w:rPr>
          <w:rFonts w:ascii="Book Antiqua" w:hAnsi="Book Antiqua" w:cs="Arial"/>
        </w:rPr>
      </w:pPr>
      <w:r w:rsidRPr="00EF3D28">
        <w:rPr>
          <w:rFonts w:ascii="Book Antiqua" w:hAnsi="Book Antiqua" w:cs="Arial"/>
          <w:b/>
          <w:u w:val="single"/>
        </w:rPr>
        <w:t>Representation</w:t>
      </w:r>
      <w:r w:rsidRPr="00EF3D28">
        <w:rPr>
          <w:rFonts w:ascii="Book Antiqua" w:hAnsi="Book Antiqua" w:cs="Arial"/>
          <w:b/>
        </w:rPr>
        <w:t>:</w:t>
      </w:r>
    </w:p>
    <w:p w14:paraId="03086EFB" w14:textId="77777777" w:rsidR="00DE7DB7" w:rsidRPr="00EF3D28" w:rsidRDefault="00DE7DB7" w:rsidP="00DE7DB7">
      <w:pPr>
        <w:tabs>
          <w:tab w:val="left" w:pos="2520"/>
        </w:tabs>
        <w:rPr>
          <w:rFonts w:ascii="Book Antiqua" w:hAnsi="Book Antiqua" w:cs="Arial"/>
        </w:rPr>
      </w:pPr>
      <w:r w:rsidRPr="00EF3D28">
        <w:rPr>
          <w:rFonts w:ascii="Book Antiqua" w:hAnsi="Book Antiqua" w:cs="Arial"/>
        </w:rPr>
        <w:t>For the Appellant:</w:t>
      </w:r>
      <w:r w:rsidRPr="00EF3D28">
        <w:rPr>
          <w:rFonts w:ascii="Book Antiqua" w:hAnsi="Book Antiqua" w:cs="Arial"/>
        </w:rPr>
        <w:tab/>
      </w:r>
      <w:r w:rsidR="00693C03" w:rsidRPr="00EF3D28">
        <w:rPr>
          <w:rFonts w:ascii="Book Antiqua" w:hAnsi="Book Antiqua" w:cs="Arial"/>
        </w:rPr>
        <w:t xml:space="preserve">None  </w:t>
      </w:r>
    </w:p>
    <w:p w14:paraId="75963E0A" w14:textId="77777777" w:rsidR="00DE7DB7" w:rsidRPr="00EF3D28" w:rsidRDefault="00DE7DB7" w:rsidP="00DE7DB7">
      <w:pPr>
        <w:tabs>
          <w:tab w:val="left" w:pos="2520"/>
        </w:tabs>
        <w:rPr>
          <w:rFonts w:ascii="Book Antiqua" w:hAnsi="Book Antiqua" w:cs="Arial"/>
        </w:rPr>
      </w:pPr>
      <w:r w:rsidRPr="00EF3D28">
        <w:rPr>
          <w:rFonts w:ascii="Book Antiqua" w:hAnsi="Book Antiqua" w:cs="Arial"/>
        </w:rPr>
        <w:t>For the Respondent:</w:t>
      </w:r>
      <w:r w:rsidRPr="00EF3D28">
        <w:rPr>
          <w:rFonts w:ascii="Book Antiqua" w:hAnsi="Book Antiqua" w:cs="Arial"/>
        </w:rPr>
        <w:tab/>
      </w:r>
      <w:r w:rsidR="00693C03" w:rsidRPr="00EF3D28">
        <w:rPr>
          <w:rFonts w:ascii="Book Antiqua" w:hAnsi="Book Antiqua" w:cs="Arial"/>
        </w:rPr>
        <w:t xml:space="preserve">Mr C Bates, Home Office Presenting Officer  </w:t>
      </w:r>
    </w:p>
    <w:p w14:paraId="1FD701F2" w14:textId="77777777" w:rsidR="00DE7DB7" w:rsidRPr="00EF3D28" w:rsidRDefault="00DE7DB7" w:rsidP="00402B9E">
      <w:pPr>
        <w:tabs>
          <w:tab w:val="left" w:pos="2520"/>
        </w:tabs>
        <w:jc w:val="center"/>
        <w:rPr>
          <w:rFonts w:ascii="Book Antiqua" w:hAnsi="Book Antiqua" w:cs="Arial"/>
        </w:rPr>
      </w:pPr>
    </w:p>
    <w:p w14:paraId="16725225" w14:textId="77777777" w:rsidR="00DE7DB7" w:rsidRPr="00EF3D28" w:rsidRDefault="00DE7DB7" w:rsidP="00402B9E">
      <w:pPr>
        <w:tabs>
          <w:tab w:val="left" w:pos="2520"/>
        </w:tabs>
        <w:jc w:val="center"/>
        <w:rPr>
          <w:rFonts w:ascii="Book Antiqua" w:hAnsi="Book Antiqua" w:cs="Arial"/>
        </w:rPr>
      </w:pPr>
    </w:p>
    <w:p w14:paraId="3AC615E1" w14:textId="77777777" w:rsidR="00DE7DB7" w:rsidRPr="00EF3D28" w:rsidRDefault="00173CC6" w:rsidP="00402B9E">
      <w:pPr>
        <w:tabs>
          <w:tab w:val="left" w:pos="2520"/>
        </w:tabs>
        <w:jc w:val="center"/>
        <w:rPr>
          <w:rFonts w:ascii="Book Antiqua" w:hAnsi="Book Antiqua" w:cs="Arial"/>
        </w:rPr>
      </w:pPr>
      <w:r w:rsidRPr="00EF3D28">
        <w:rPr>
          <w:rFonts w:ascii="Book Antiqua" w:hAnsi="Book Antiqua" w:cs="Arial"/>
          <w:b/>
          <w:u w:val="single"/>
        </w:rPr>
        <w:t xml:space="preserve">DECISION </w:t>
      </w:r>
      <w:r w:rsidR="00402B9E" w:rsidRPr="00EF3D28">
        <w:rPr>
          <w:rFonts w:ascii="Book Antiqua" w:hAnsi="Book Antiqua" w:cs="Arial"/>
          <w:b/>
          <w:u w:val="single"/>
        </w:rPr>
        <w:t>AND REASONS</w:t>
      </w:r>
    </w:p>
    <w:p w14:paraId="73D19B78" w14:textId="77777777" w:rsidR="004B5AEF" w:rsidRPr="00EF3D28" w:rsidRDefault="004B5AEF" w:rsidP="00BF23BB">
      <w:pPr>
        <w:tabs>
          <w:tab w:val="left" w:pos="567"/>
        </w:tabs>
        <w:ind w:left="567" w:hanging="567"/>
        <w:jc w:val="both"/>
        <w:rPr>
          <w:rFonts w:ascii="Book Antiqua" w:hAnsi="Book Antiqua" w:cs="Arial"/>
        </w:rPr>
      </w:pPr>
    </w:p>
    <w:p w14:paraId="4B463345" w14:textId="77777777" w:rsidR="00693C03" w:rsidRPr="00EF3D28" w:rsidRDefault="00B6273B" w:rsidP="00BF23BB">
      <w:pPr>
        <w:tabs>
          <w:tab w:val="left" w:pos="567"/>
        </w:tabs>
        <w:ind w:left="567" w:hanging="567"/>
        <w:jc w:val="both"/>
        <w:rPr>
          <w:rFonts w:ascii="Book Antiqua" w:hAnsi="Book Antiqua" w:cstheme="minorHAnsi"/>
        </w:rPr>
      </w:pPr>
      <w:r w:rsidRPr="00EF3D28">
        <w:rPr>
          <w:rFonts w:ascii="Book Antiqua" w:hAnsi="Book Antiqua" w:cstheme="minorHAnsi"/>
        </w:rPr>
        <w:t>1.</w:t>
      </w:r>
      <w:r w:rsidR="00693C03" w:rsidRPr="00EF3D28">
        <w:rPr>
          <w:rFonts w:ascii="Book Antiqua" w:hAnsi="Book Antiqua" w:cstheme="minorHAnsi"/>
        </w:rPr>
        <w:tab/>
        <w:t>The appellant</w:t>
      </w:r>
      <w:r w:rsidR="00B91577" w:rsidRPr="00EF3D28">
        <w:rPr>
          <w:rFonts w:ascii="Book Antiqua" w:hAnsi="Book Antiqua" w:cstheme="minorHAnsi"/>
        </w:rPr>
        <w:t>,</w:t>
      </w:r>
      <w:r w:rsidR="00693C03" w:rsidRPr="00EF3D28">
        <w:rPr>
          <w:rFonts w:ascii="Book Antiqua" w:hAnsi="Book Antiqua" w:cstheme="minorHAnsi"/>
        </w:rPr>
        <w:t xml:space="preserve"> a citizen of Nigeria, has permission to challenge the decision of Judge Hudson of the First-tier Tribunal sent on 16 January 2018 dismissing his appeal against the decision made by the respondent on 24 April 2017 to refuse to issue him a residence card as the spouse of an EEA national.  </w:t>
      </w:r>
    </w:p>
    <w:p w14:paraId="5F29AE76" w14:textId="77777777" w:rsidR="00693C03" w:rsidRPr="00EF3D28" w:rsidRDefault="00693C03" w:rsidP="00BF23BB">
      <w:pPr>
        <w:tabs>
          <w:tab w:val="left" w:pos="567"/>
        </w:tabs>
        <w:ind w:left="567" w:hanging="567"/>
        <w:jc w:val="both"/>
        <w:rPr>
          <w:rFonts w:ascii="Book Antiqua" w:hAnsi="Book Antiqua" w:cstheme="minorHAnsi"/>
        </w:rPr>
      </w:pPr>
    </w:p>
    <w:p w14:paraId="5D16E13F" w14:textId="043F0132" w:rsidR="00693C03" w:rsidRPr="00EF3D28" w:rsidRDefault="00B6273B" w:rsidP="00BF23BB">
      <w:pPr>
        <w:tabs>
          <w:tab w:val="left" w:pos="567"/>
        </w:tabs>
        <w:ind w:left="567" w:hanging="567"/>
        <w:jc w:val="both"/>
        <w:rPr>
          <w:rFonts w:ascii="Book Antiqua" w:hAnsi="Book Antiqua" w:cstheme="minorHAnsi"/>
        </w:rPr>
      </w:pPr>
      <w:r w:rsidRPr="00EF3D28">
        <w:rPr>
          <w:rFonts w:ascii="Book Antiqua" w:hAnsi="Book Antiqua" w:cstheme="minorHAnsi"/>
        </w:rPr>
        <w:lastRenderedPageBreak/>
        <w:t>2.</w:t>
      </w:r>
      <w:r w:rsidR="00693C03" w:rsidRPr="00EF3D28">
        <w:rPr>
          <w:rFonts w:ascii="Book Antiqua" w:hAnsi="Book Antiqua" w:cstheme="minorHAnsi"/>
        </w:rPr>
        <w:tab/>
        <w:t xml:space="preserve">There was no appearance by or on behalf of the appellant nor any explanation </w:t>
      </w:r>
      <w:r w:rsidR="00A15A12" w:rsidRPr="00EF3D28">
        <w:rPr>
          <w:rFonts w:ascii="Book Antiqua" w:hAnsi="Book Antiqua" w:cstheme="minorHAnsi"/>
        </w:rPr>
        <w:t>for his absence.  It is likely that the appellant received the respondent</w:t>
      </w:r>
      <w:r w:rsidR="00BD1399" w:rsidRPr="00EF3D28">
        <w:rPr>
          <w:rFonts w:ascii="Book Antiqua" w:hAnsi="Book Antiqua" w:cstheme="minorHAnsi"/>
        </w:rPr>
        <w:t xml:space="preserve"> </w:t>
      </w:r>
      <w:r w:rsidR="00A15A12" w:rsidRPr="00EF3D28">
        <w:rPr>
          <w:rFonts w:ascii="Book Antiqua" w:hAnsi="Book Antiqua" w:cstheme="minorHAnsi"/>
        </w:rPr>
        <w:t xml:space="preserve">Rule 24 notice stating that </w:t>
      </w:r>
      <w:r w:rsidR="00E86D22">
        <w:rPr>
          <w:rFonts w:ascii="Book Antiqua" w:hAnsi="Book Antiqua" w:cstheme="minorHAnsi"/>
        </w:rPr>
        <w:t>t</w:t>
      </w:r>
      <w:r w:rsidR="00A15A12" w:rsidRPr="00EF3D28">
        <w:rPr>
          <w:rFonts w:ascii="Book Antiqua" w:hAnsi="Book Antiqua" w:cstheme="minorHAnsi"/>
        </w:rPr>
        <w:t xml:space="preserve">he </w:t>
      </w:r>
      <w:r w:rsidR="00E86D22">
        <w:rPr>
          <w:rFonts w:ascii="Book Antiqua" w:hAnsi="Book Antiqua" w:cstheme="minorHAnsi"/>
        </w:rPr>
        <w:t xml:space="preserve">latter </w:t>
      </w:r>
      <w:r w:rsidR="00A15A12" w:rsidRPr="00EF3D28">
        <w:rPr>
          <w:rFonts w:ascii="Book Antiqua" w:hAnsi="Book Antiqua" w:cstheme="minorHAnsi"/>
        </w:rPr>
        <w:t xml:space="preserve">did not oppose the appellant’s grounds of appeal and this may well explain his absence today, even though he should still have notified the Tribunal that he would not be attending.  I decided to proceed with the hearing in the absence of one of the parties and heard brief submissions from Mr Bates.   </w:t>
      </w:r>
    </w:p>
    <w:p w14:paraId="51CC1BCE" w14:textId="77777777" w:rsidR="00A15A12" w:rsidRPr="00EF3D28" w:rsidRDefault="00A15A12" w:rsidP="00BF23BB">
      <w:pPr>
        <w:tabs>
          <w:tab w:val="left" w:pos="567"/>
        </w:tabs>
        <w:ind w:left="567" w:hanging="567"/>
        <w:jc w:val="both"/>
        <w:rPr>
          <w:rFonts w:ascii="Book Antiqua" w:hAnsi="Book Antiqua" w:cstheme="minorHAnsi"/>
        </w:rPr>
      </w:pPr>
      <w:r w:rsidRPr="00EF3D28">
        <w:rPr>
          <w:rFonts w:ascii="Book Antiqua" w:hAnsi="Book Antiqua" w:cstheme="minorHAnsi"/>
        </w:rPr>
        <w:t xml:space="preserve">      </w:t>
      </w:r>
    </w:p>
    <w:p w14:paraId="1E539996" w14:textId="467E9662" w:rsidR="00A15A12" w:rsidRPr="00EF3D28" w:rsidRDefault="00B6273B" w:rsidP="00BF23BB">
      <w:pPr>
        <w:tabs>
          <w:tab w:val="left" w:pos="567"/>
        </w:tabs>
        <w:ind w:left="567" w:hanging="567"/>
        <w:jc w:val="both"/>
        <w:rPr>
          <w:rFonts w:ascii="Book Antiqua" w:hAnsi="Book Antiqua" w:cstheme="minorHAnsi"/>
        </w:rPr>
      </w:pPr>
      <w:r w:rsidRPr="00EF3D28">
        <w:rPr>
          <w:rFonts w:ascii="Book Antiqua" w:hAnsi="Book Antiqua" w:cstheme="minorHAnsi"/>
        </w:rPr>
        <w:t>3.</w:t>
      </w:r>
      <w:r w:rsidR="00A15A12" w:rsidRPr="00EF3D28">
        <w:rPr>
          <w:rFonts w:ascii="Book Antiqua" w:hAnsi="Book Antiqua" w:cstheme="minorHAnsi"/>
        </w:rPr>
        <w:tab/>
        <w:t>It is not in dispute that the notice of hearing sent to the appellant was d</w:t>
      </w:r>
      <w:r w:rsidR="009B555E" w:rsidRPr="00EF3D28">
        <w:rPr>
          <w:rFonts w:ascii="Book Antiqua" w:hAnsi="Book Antiqua" w:cstheme="minorHAnsi"/>
        </w:rPr>
        <w:t>a</w:t>
      </w:r>
      <w:r w:rsidR="00A15A12" w:rsidRPr="00EF3D28">
        <w:rPr>
          <w:rFonts w:ascii="Book Antiqua" w:hAnsi="Book Antiqua" w:cstheme="minorHAnsi"/>
        </w:rPr>
        <w:t>ted 8 January 2018 and that it stated that the hearing had been fixed for 10 January 2018.  The judge was satisfied that the appellant had been notified of the hearing in advance on</w:t>
      </w:r>
      <w:r w:rsidR="001243BB" w:rsidRPr="00EF3D28">
        <w:rPr>
          <w:rFonts w:ascii="Book Antiqua" w:hAnsi="Book Antiqua" w:cstheme="minorHAnsi"/>
        </w:rPr>
        <w:t xml:space="preserve"> </w:t>
      </w:r>
      <w:r w:rsidR="00A15A12" w:rsidRPr="00EF3D28">
        <w:rPr>
          <w:rFonts w:ascii="Book Antiqua" w:hAnsi="Book Antiqua" w:cstheme="minorHAnsi"/>
        </w:rPr>
        <w:t>strength of the fact that a member of the court staff had telephoned the appellant’s representatives on 8 January 2018 asking for the appellant’s bundle “and so the firm confirmed that they were aware of today’</w:t>
      </w:r>
      <w:r w:rsidR="001243BB" w:rsidRPr="00EF3D28">
        <w:rPr>
          <w:rFonts w:ascii="Book Antiqua" w:hAnsi="Book Antiqua" w:cstheme="minorHAnsi"/>
        </w:rPr>
        <w:t xml:space="preserve">s </w:t>
      </w:r>
      <w:r w:rsidR="00A15A12" w:rsidRPr="00EF3D28">
        <w:rPr>
          <w:rFonts w:ascii="Book Antiqua" w:hAnsi="Book Antiqua" w:cstheme="minorHAnsi"/>
        </w:rPr>
        <w:t>hearing”</w:t>
      </w:r>
      <w:r w:rsidR="002310D8" w:rsidRPr="00EF3D28">
        <w:rPr>
          <w:rFonts w:ascii="Book Antiqua" w:hAnsi="Book Antiqua" w:cstheme="minorHAnsi"/>
        </w:rPr>
        <w:t xml:space="preserve">.  Leaving </w:t>
      </w:r>
      <w:r w:rsidR="00A15A12" w:rsidRPr="00EF3D28">
        <w:rPr>
          <w:rFonts w:ascii="Book Antiqua" w:hAnsi="Book Antiqua" w:cstheme="minorHAnsi"/>
        </w:rPr>
        <w:t xml:space="preserve">aside that the court file does not show </w:t>
      </w:r>
      <w:r w:rsidR="00E86D22">
        <w:rPr>
          <w:rFonts w:ascii="Book Antiqua" w:hAnsi="Book Antiqua" w:cstheme="minorHAnsi"/>
        </w:rPr>
        <w:t>(</w:t>
      </w:r>
      <w:r w:rsidR="00A15A12" w:rsidRPr="00EF3D28">
        <w:rPr>
          <w:rFonts w:ascii="Book Antiqua" w:hAnsi="Book Antiqua" w:cstheme="minorHAnsi"/>
        </w:rPr>
        <w:t xml:space="preserve">as Judge Chamberlain </w:t>
      </w:r>
      <w:r w:rsidR="00E86D22">
        <w:rPr>
          <w:rFonts w:ascii="Book Antiqua" w:hAnsi="Book Antiqua" w:cstheme="minorHAnsi"/>
        </w:rPr>
        <w:t xml:space="preserve">correctly </w:t>
      </w:r>
      <w:r w:rsidR="00A15A12" w:rsidRPr="00EF3D28">
        <w:rPr>
          <w:rFonts w:ascii="Book Antiqua" w:hAnsi="Book Antiqua" w:cstheme="minorHAnsi"/>
        </w:rPr>
        <w:t>observed when granting permission</w:t>
      </w:r>
      <w:r w:rsidR="00E86D22">
        <w:rPr>
          <w:rFonts w:ascii="Book Antiqua" w:hAnsi="Book Antiqua" w:cstheme="minorHAnsi"/>
        </w:rPr>
        <w:t>)</w:t>
      </w:r>
      <w:r w:rsidR="00A15A12" w:rsidRPr="00EF3D28">
        <w:rPr>
          <w:rFonts w:ascii="Book Antiqua" w:hAnsi="Book Antiqua" w:cstheme="minorHAnsi"/>
        </w:rPr>
        <w:t xml:space="preserve"> that the words in quotes were accurate, it was clearly an </w:t>
      </w:r>
      <w:r w:rsidR="00676CAF" w:rsidRPr="00EF3D28">
        <w:rPr>
          <w:rFonts w:ascii="Book Antiqua" w:hAnsi="Book Antiqua" w:cstheme="minorHAnsi"/>
        </w:rPr>
        <w:t xml:space="preserve">error </w:t>
      </w:r>
      <w:r w:rsidR="00A15A12" w:rsidRPr="00EF3D28">
        <w:rPr>
          <w:rFonts w:ascii="Book Antiqua" w:hAnsi="Book Antiqua" w:cstheme="minorHAnsi"/>
        </w:rPr>
        <w:t xml:space="preserve">of procedure for the judge to consider that adequate notice of the hearing had been given.  For that reason </w:t>
      </w:r>
      <w:proofErr w:type="gramStart"/>
      <w:r w:rsidR="00A15A12" w:rsidRPr="00EF3D28">
        <w:rPr>
          <w:rFonts w:ascii="Book Antiqua" w:hAnsi="Book Antiqua" w:cstheme="minorHAnsi"/>
        </w:rPr>
        <w:t>alone</w:t>
      </w:r>
      <w:proofErr w:type="gramEnd"/>
      <w:r w:rsidR="00676CAF" w:rsidRPr="00EF3D28">
        <w:rPr>
          <w:rFonts w:ascii="Book Antiqua" w:hAnsi="Book Antiqua" w:cstheme="minorHAnsi"/>
        </w:rPr>
        <w:t xml:space="preserve"> </w:t>
      </w:r>
      <w:r w:rsidR="00A15A12" w:rsidRPr="00EF3D28">
        <w:rPr>
          <w:rFonts w:ascii="Book Antiqua" w:hAnsi="Book Antiqua" w:cstheme="minorHAnsi"/>
        </w:rPr>
        <w:t xml:space="preserve">the appellant’s allegation of procedural unfairness is made out and the respondent’s Rule 24 notice has accepted in any event that the appellant’s grounds are not opposed.  </w:t>
      </w:r>
    </w:p>
    <w:p w14:paraId="0837CA9D" w14:textId="77777777" w:rsidR="00A15A12" w:rsidRPr="00EF3D28" w:rsidRDefault="007F3A77" w:rsidP="00BF23BB">
      <w:pPr>
        <w:tabs>
          <w:tab w:val="left" w:pos="567"/>
        </w:tabs>
        <w:ind w:left="567" w:hanging="567"/>
        <w:jc w:val="both"/>
        <w:rPr>
          <w:rFonts w:ascii="Book Antiqua" w:hAnsi="Book Antiqua" w:cstheme="minorHAnsi"/>
        </w:rPr>
      </w:pPr>
      <w:r w:rsidRPr="00EF3D28">
        <w:rPr>
          <w:rFonts w:ascii="Book Antiqua" w:hAnsi="Book Antiqua" w:cstheme="minorHAnsi"/>
        </w:rPr>
        <w:t xml:space="preserve">        </w:t>
      </w:r>
    </w:p>
    <w:p w14:paraId="5F64A893" w14:textId="0FBC5C5E" w:rsidR="00A15A12" w:rsidRPr="00EF3D28" w:rsidRDefault="00B6273B" w:rsidP="00BF23BB">
      <w:pPr>
        <w:tabs>
          <w:tab w:val="left" w:pos="567"/>
        </w:tabs>
        <w:ind w:left="567" w:hanging="567"/>
        <w:jc w:val="both"/>
        <w:rPr>
          <w:rFonts w:ascii="Book Antiqua" w:hAnsi="Book Antiqua" w:cstheme="minorHAnsi"/>
        </w:rPr>
      </w:pPr>
      <w:r w:rsidRPr="00EF3D28">
        <w:rPr>
          <w:rFonts w:ascii="Book Antiqua" w:hAnsi="Book Antiqua" w:cstheme="minorHAnsi"/>
        </w:rPr>
        <w:t>4.</w:t>
      </w:r>
      <w:r w:rsidR="00A15A12" w:rsidRPr="00EF3D28">
        <w:rPr>
          <w:rFonts w:ascii="Book Antiqua" w:hAnsi="Book Antiqua" w:cstheme="minorHAnsi"/>
        </w:rPr>
        <w:tab/>
      </w:r>
      <w:proofErr w:type="gramStart"/>
      <w:r w:rsidR="00A15A12" w:rsidRPr="00EF3D28">
        <w:rPr>
          <w:rFonts w:ascii="Book Antiqua" w:hAnsi="Book Antiqua" w:cstheme="minorHAnsi"/>
        </w:rPr>
        <w:t>Accordingly</w:t>
      </w:r>
      <w:proofErr w:type="gramEnd"/>
      <w:r w:rsidR="00A15A12" w:rsidRPr="00EF3D28">
        <w:rPr>
          <w:rFonts w:ascii="Book Antiqua" w:hAnsi="Book Antiqua" w:cstheme="minorHAnsi"/>
        </w:rPr>
        <w:t xml:space="preserve"> I set aside the decision of the judge </w:t>
      </w:r>
      <w:r w:rsidR="00E86D22">
        <w:rPr>
          <w:rFonts w:ascii="Book Antiqua" w:hAnsi="Book Antiqua" w:cstheme="minorHAnsi"/>
        </w:rPr>
        <w:t>for</w:t>
      </w:r>
      <w:r w:rsidR="00E42707" w:rsidRPr="00EF3D28">
        <w:rPr>
          <w:rFonts w:ascii="Book Antiqua" w:hAnsi="Book Antiqua" w:cstheme="minorHAnsi"/>
        </w:rPr>
        <w:t xml:space="preserve"> material </w:t>
      </w:r>
      <w:r w:rsidR="00A15A12" w:rsidRPr="00EF3D28">
        <w:rPr>
          <w:rFonts w:ascii="Book Antiqua" w:hAnsi="Book Antiqua" w:cstheme="minorHAnsi"/>
        </w:rPr>
        <w:t xml:space="preserve">error of law consisting of a procedural error </w:t>
      </w:r>
      <w:r w:rsidR="00E86D22">
        <w:rPr>
          <w:rFonts w:ascii="Book Antiqua" w:hAnsi="Book Antiqua" w:cstheme="minorHAnsi"/>
        </w:rPr>
        <w:t xml:space="preserve">unfairly </w:t>
      </w:r>
      <w:r w:rsidR="00A15A12" w:rsidRPr="00EF3D28">
        <w:rPr>
          <w:rFonts w:ascii="Book Antiqua" w:hAnsi="Book Antiqua" w:cstheme="minorHAnsi"/>
        </w:rPr>
        <w:t>denying the appellant the right to a hearing in person</w:t>
      </w:r>
      <w:r w:rsidR="006B210D" w:rsidRPr="00EF3D28">
        <w:rPr>
          <w:rFonts w:ascii="Book Antiqua" w:hAnsi="Book Antiqua" w:cstheme="minorHAnsi"/>
        </w:rPr>
        <w:t xml:space="preserve">.  </w:t>
      </w:r>
      <w:r w:rsidR="00A15A12" w:rsidRPr="00EF3D28">
        <w:rPr>
          <w:rFonts w:ascii="Book Antiqua" w:hAnsi="Book Antiqua" w:cstheme="minorHAnsi"/>
        </w:rPr>
        <w:t xml:space="preserve"> </w:t>
      </w:r>
    </w:p>
    <w:p w14:paraId="33A3EA71" w14:textId="77777777" w:rsidR="00A15A12" w:rsidRPr="00EF3D28" w:rsidRDefault="00A15A12" w:rsidP="00BF23BB">
      <w:pPr>
        <w:tabs>
          <w:tab w:val="left" w:pos="567"/>
        </w:tabs>
        <w:ind w:left="567" w:hanging="567"/>
        <w:jc w:val="both"/>
        <w:rPr>
          <w:rFonts w:ascii="Book Antiqua" w:hAnsi="Book Antiqua" w:cstheme="minorHAnsi"/>
        </w:rPr>
      </w:pPr>
    </w:p>
    <w:p w14:paraId="3265BF21" w14:textId="77777777" w:rsidR="00A15A12" w:rsidRPr="00EF3D28" w:rsidRDefault="00B6273B" w:rsidP="00BF23BB">
      <w:pPr>
        <w:tabs>
          <w:tab w:val="left" w:pos="567"/>
        </w:tabs>
        <w:ind w:left="567" w:hanging="567"/>
        <w:jc w:val="both"/>
        <w:rPr>
          <w:rFonts w:ascii="Book Antiqua" w:hAnsi="Book Antiqua" w:cstheme="minorHAnsi"/>
        </w:rPr>
      </w:pPr>
      <w:r w:rsidRPr="00EF3D28">
        <w:rPr>
          <w:rFonts w:ascii="Book Antiqua" w:hAnsi="Book Antiqua" w:cstheme="minorHAnsi"/>
        </w:rPr>
        <w:t>5.</w:t>
      </w:r>
      <w:r w:rsidR="00A15A12" w:rsidRPr="00EF3D28">
        <w:rPr>
          <w:rFonts w:ascii="Book Antiqua" w:hAnsi="Book Antiqua" w:cstheme="minorHAnsi"/>
        </w:rPr>
        <w:tab/>
        <w:t xml:space="preserve">For the above reasons I conclude:  </w:t>
      </w:r>
    </w:p>
    <w:p w14:paraId="046212CF" w14:textId="77777777" w:rsidR="00A15A12" w:rsidRPr="00EF3D28" w:rsidRDefault="00A15A12" w:rsidP="00A15A12">
      <w:pPr>
        <w:tabs>
          <w:tab w:val="left" w:pos="567"/>
        </w:tabs>
        <w:ind w:left="567"/>
        <w:jc w:val="both"/>
        <w:rPr>
          <w:rFonts w:ascii="Book Antiqua" w:hAnsi="Book Antiqua" w:cstheme="minorHAnsi"/>
        </w:rPr>
      </w:pPr>
    </w:p>
    <w:p w14:paraId="41783D0E" w14:textId="77777777" w:rsidR="00A15A12" w:rsidRPr="00EF3D28" w:rsidRDefault="007F3A77" w:rsidP="00A15A12">
      <w:pPr>
        <w:tabs>
          <w:tab w:val="left" w:pos="567"/>
        </w:tabs>
        <w:ind w:left="567"/>
        <w:jc w:val="both"/>
        <w:rPr>
          <w:rFonts w:ascii="Book Antiqua" w:hAnsi="Book Antiqua" w:cstheme="minorHAnsi"/>
        </w:rPr>
      </w:pPr>
      <w:r w:rsidRPr="00EF3D28">
        <w:rPr>
          <w:rFonts w:ascii="Book Antiqua" w:hAnsi="Book Antiqua" w:cstheme="minorHAnsi"/>
        </w:rPr>
        <w:t xml:space="preserve">that </w:t>
      </w:r>
      <w:r w:rsidR="00A15A12" w:rsidRPr="00EF3D28">
        <w:rPr>
          <w:rFonts w:ascii="Book Antiqua" w:hAnsi="Book Antiqua" w:cstheme="minorHAnsi"/>
        </w:rPr>
        <w:t xml:space="preserve">the judge’s decision is to be set aside for material error of law;   </w:t>
      </w:r>
    </w:p>
    <w:p w14:paraId="3CCB2238" w14:textId="77777777" w:rsidR="00A15A12" w:rsidRPr="00EF3D28" w:rsidRDefault="00A15A12" w:rsidP="00A15A12">
      <w:pPr>
        <w:tabs>
          <w:tab w:val="left" w:pos="567"/>
        </w:tabs>
        <w:ind w:left="567"/>
        <w:jc w:val="both"/>
        <w:rPr>
          <w:rFonts w:ascii="Book Antiqua" w:hAnsi="Book Antiqua" w:cstheme="minorHAnsi"/>
        </w:rPr>
      </w:pPr>
    </w:p>
    <w:p w14:paraId="57EC99E8" w14:textId="77777777" w:rsidR="00A15A12" w:rsidRPr="00EF3D28" w:rsidRDefault="007F3A77" w:rsidP="00A15A12">
      <w:pPr>
        <w:tabs>
          <w:tab w:val="left" w:pos="567"/>
        </w:tabs>
        <w:ind w:left="567"/>
        <w:jc w:val="both"/>
        <w:rPr>
          <w:rFonts w:ascii="Book Antiqua" w:hAnsi="Book Antiqua" w:cstheme="minorHAnsi"/>
        </w:rPr>
      </w:pPr>
      <w:r w:rsidRPr="00EF3D28">
        <w:rPr>
          <w:rFonts w:ascii="Book Antiqua" w:hAnsi="Book Antiqua" w:cstheme="minorHAnsi"/>
        </w:rPr>
        <w:t xml:space="preserve">that </w:t>
      </w:r>
      <w:r w:rsidR="00A15A12" w:rsidRPr="00EF3D28">
        <w:rPr>
          <w:rFonts w:ascii="Book Antiqua" w:hAnsi="Book Antiqua" w:cstheme="minorHAnsi"/>
        </w:rPr>
        <w:t xml:space="preserve">the case be remitted to the FtT (not before Judge Hudson).  </w:t>
      </w:r>
    </w:p>
    <w:p w14:paraId="2AD931C6" w14:textId="77777777" w:rsidR="00173CC6" w:rsidRPr="00EF3D28" w:rsidRDefault="00173CC6" w:rsidP="00173CC6">
      <w:pPr>
        <w:jc w:val="both"/>
        <w:rPr>
          <w:rFonts w:ascii="Book Antiqua" w:hAnsi="Book Antiqua" w:cs="Arial"/>
        </w:rPr>
      </w:pPr>
    </w:p>
    <w:p w14:paraId="69574042" w14:textId="77777777" w:rsidR="00173CC6" w:rsidRPr="00EF3D28" w:rsidRDefault="00173CC6" w:rsidP="00173CC6">
      <w:pPr>
        <w:jc w:val="both"/>
        <w:rPr>
          <w:rFonts w:ascii="Book Antiqua" w:hAnsi="Book Antiqua" w:cs="Arial"/>
        </w:rPr>
      </w:pPr>
      <w:r w:rsidRPr="00EF3D28">
        <w:rPr>
          <w:rFonts w:ascii="Book Antiqua" w:hAnsi="Book Antiqua" w:cs="Arial"/>
        </w:rPr>
        <w:t>No anonymity direction is made.</w:t>
      </w:r>
    </w:p>
    <w:p w14:paraId="5349212E" w14:textId="77777777" w:rsidR="00173CC6" w:rsidRPr="00EF3D28" w:rsidRDefault="00173CC6" w:rsidP="00173CC6">
      <w:pPr>
        <w:jc w:val="both"/>
        <w:rPr>
          <w:rFonts w:ascii="Book Antiqua" w:hAnsi="Book Antiqua" w:cs="Arial"/>
        </w:rPr>
      </w:pPr>
    </w:p>
    <w:p w14:paraId="3998415F" w14:textId="77777777" w:rsidR="009F5220" w:rsidRPr="00EF3D28" w:rsidRDefault="009F5220" w:rsidP="00780F86">
      <w:pPr>
        <w:ind w:left="540" w:hanging="540"/>
        <w:jc w:val="both"/>
        <w:rPr>
          <w:rFonts w:ascii="Book Antiqua" w:hAnsi="Book Antiqua" w:cs="Arial"/>
        </w:rPr>
      </w:pPr>
    </w:p>
    <w:p w14:paraId="2110BC58" w14:textId="77777777" w:rsidR="009F5220" w:rsidRPr="00EF3D28" w:rsidRDefault="009F5220" w:rsidP="00780F86">
      <w:pPr>
        <w:ind w:left="540" w:hanging="540"/>
        <w:jc w:val="both"/>
        <w:rPr>
          <w:rFonts w:ascii="Book Antiqua" w:hAnsi="Book Antiqua" w:cs="Arial"/>
        </w:rPr>
      </w:pPr>
    </w:p>
    <w:p w14:paraId="1A1645DA" w14:textId="77777777" w:rsidR="009F5220" w:rsidRPr="00EF3D28" w:rsidRDefault="009F5220" w:rsidP="00780F86">
      <w:pPr>
        <w:ind w:left="540" w:hanging="540"/>
        <w:jc w:val="both"/>
        <w:rPr>
          <w:rFonts w:ascii="Book Antiqua" w:hAnsi="Book Antiqua" w:cs="Arial"/>
        </w:rPr>
      </w:pPr>
    </w:p>
    <w:p w14:paraId="6382736A" w14:textId="77777777" w:rsidR="00A509FA" w:rsidRPr="00EF3D28" w:rsidRDefault="00A509FA" w:rsidP="00780F86">
      <w:pPr>
        <w:ind w:left="540" w:hanging="540"/>
        <w:jc w:val="both"/>
        <w:rPr>
          <w:rFonts w:ascii="Book Antiqua" w:hAnsi="Book Antiqua" w:cs="Arial"/>
        </w:rPr>
      </w:pPr>
    </w:p>
    <w:p w14:paraId="1E92A4B1" w14:textId="1C048470" w:rsidR="001F2716" w:rsidRPr="00EF3D28" w:rsidRDefault="00780F86" w:rsidP="00780F86">
      <w:pPr>
        <w:ind w:left="540" w:hanging="540"/>
        <w:jc w:val="both"/>
        <w:rPr>
          <w:rFonts w:ascii="Book Antiqua" w:hAnsi="Book Antiqua" w:cs="Arial"/>
        </w:rPr>
      </w:pPr>
      <w:r w:rsidRPr="00EF3D28">
        <w:rPr>
          <w:rFonts w:ascii="Book Antiqua" w:hAnsi="Book Antiqua" w:cs="Arial"/>
        </w:rPr>
        <w:t>Signed</w:t>
      </w:r>
      <w:r w:rsidR="00627ECC">
        <w:rPr>
          <w:rFonts w:ascii="Book Antiqua" w:hAnsi="Book Antiqua" w:cs="Arial"/>
        </w:rPr>
        <w:t>:</w:t>
      </w:r>
      <w:r w:rsidRPr="00EF3D28">
        <w:rPr>
          <w:rFonts w:ascii="Book Antiqua" w:hAnsi="Book Antiqua" w:cs="Arial"/>
        </w:rPr>
        <w:tab/>
      </w:r>
      <w:r w:rsidRPr="00EF3D28">
        <w:rPr>
          <w:rFonts w:ascii="Book Antiqua" w:hAnsi="Book Antiqua" w:cs="Arial"/>
        </w:rPr>
        <w:tab/>
      </w:r>
      <w:r w:rsidRPr="00EF3D28">
        <w:rPr>
          <w:rFonts w:ascii="Book Antiqua" w:hAnsi="Book Antiqua" w:cs="Arial"/>
        </w:rPr>
        <w:tab/>
      </w:r>
      <w:r w:rsidRPr="00EF3D28">
        <w:rPr>
          <w:rFonts w:ascii="Book Antiqua" w:hAnsi="Book Antiqua" w:cs="Arial"/>
        </w:rPr>
        <w:tab/>
      </w:r>
      <w:r w:rsidRPr="00EF3D28">
        <w:rPr>
          <w:rFonts w:ascii="Book Antiqua" w:hAnsi="Book Antiqua" w:cs="Arial"/>
        </w:rPr>
        <w:tab/>
      </w:r>
      <w:r w:rsidRPr="00EF3D28">
        <w:rPr>
          <w:rFonts w:ascii="Book Antiqua" w:hAnsi="Book Antiqua" w:cs="Arial"/>
        </w:rPr>
        <w:tab/>
      </w:r>
      <w:r w:rsidRPr="00EF3D28">
        <w:rPr>
          <w:rFonts w:ascii="Book Antiqua" w:hAnsi="Book Antiqua" w:cs="Arial"/>
        </w:rPr>
        <w:tab/>
      </w:r>
      <w:r w:rsidRPr="00EF3D28">
        <w:rPr>
          <w:rFonts w:ascii="Book Antiqua" w:hAnsi="Book Antiqua" w:cs="Arial"/>
        </w:rPr>
        <w:tab/>
      </w:r>
      <w:r w:rsidR="001F2716" w:rsidRPr="00EF3D28">
        <w:rPr>
          <w:rFonts w:ascii="Book Antiqua" w:hAnsi="Book Antiqua" w:cs="Arial"/>
        </w:rPr>
        <w:t>Date</w:t>
      </w:r>
      <w:r w:rsidR="00E86D22">
        <w:rPr>
          <w:rFonts w:ascii="Book Antiqua" w:hAnsi="Book Antiqua" w:cs="Arial"/>
        </w:rPr>
        <w:t>: 31 July 2018</w:t>
      </w:r>
    </w:p>
    <w:p w14:paraId="7AC4E573" w14:textId="7E32DA34" w:rsidR="001F2716" w:rsidRPr="00EF3D28" w:rsidRDefault="00627ECC"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284D349E" wp14:editId="6201E81F">
            <wp:extent cx="1716405" cy="509905"/>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6405" cy="509905"/>
                    </a:xfrm>
                    <a:prstGeom prst="rect">
                      <a:avLst/>
                    </a:prstGeom>
                    <a:noFill/>
                    <a:ln>
                      <a:noFill/>
                    </a:ln>
                  </pic:spPr>
                </pic:pic>
              </a:graphicData>
            </a:graphic>
          </wp:inline>
        </w:drawing>
      </w:r>
    </w:p>
    <w:p w14:paraId="6EA37418" w14:textId="77777777" w:rsidR="001F2716" w:rsidRPr="00EF3D28" w:rsidRDefault="001F2716" w:rsidP="00402B9E">
      <w:pPr>
        <w:tabs>
          <w:tab w:val="left" w:pos="2520"/>
        </w:tabs>
        <w:ind w:left="540" w:hanging="540"/>
        <w:jc w:val="both"/>
        <w:rPr>
          <w:rFonts w:ascii="Book Antiqua" w:hAnsi="Book Antiqua" w:cs="Arial"/>
        </w:rPr>
      </w:pPr>
    </w:p>
    <w:p w14:paraId="0FA9BEB9" w14:textId="77777777" w:rsidR="00A9409A" w:rsidRPr="00EF3D28" w:rsidRDefault="00A9409A" w:rsidP="007702DD">
      <w:pPr>
        <w:tabs>
          <w:tab w:val="left" w:pos="2520"/>
        </w:tabs>
        <w:ind w:left="540" w:hanging="540"/>
        <w:jc w:val="both"/>
        <w:rPr>
          <w:rFonts w:ascii="Book Antiqua" w:hAnsi="Book Antiqua" w:cs="Arial"/>
          <w:color w:val="000000"/>
        </w:rPr>
      </w:pPr>
      <w:r w:rsidRPr="00EF3D28">
        <w:rPr>
          <w:rFonts w:ascii="Book Antiqua" w:hAnsi="Book Antiqua" w:cs="Arial"/>
          <w:color w:val="000000"/>
        </w:rPr>
        <w:t xml:space="preserve">Dr H </w:t>
      </w:r>
      <w:proofErr w:type="spellStart"/>
      <w:r w:rsidRPr="00EF3D28">
        <w:rPr>
          <w:rFonts w:ascii="Book Antiqua" w:hAnsi="Book Antiqua" w:cs="Arial"/>
          <w:color w:val="000000"/>
        </w:rPr>
        <w:t>H</w:t>
      </w:r>
      <w:proofErr w:type="spellEnd"/>
      <w:r w:rsidRPr="00EF3D28">
        <w:rPr>
          <w:rFonts w:ascii="Book Antiqua" w:hAnsi="Book Antiqua" w:cs="Arial"/>
          <w:color w:val="000000"/>
        </w:rPr>
        <w:t xml:space="preserve"> Storey</w:t>
      </w:r>
    </w:p>
    <w:p w14:paraId="13189EA0" w14:textId="68207135" w:rsidR="00B95326" w:rsidRPr="00B57D66" w:rsidRDefault="00A9409A" w:rsidP="003D70B4">
      <w:pPr>
        <w:tabs>
          <w:tab w:val="left" w:pos="2520"/>
        </w:tabs>
        <w:ind w:left="540" w:hanging="540"/>
        <w:jc w:val="both"/>
        <w:rPr>
          <w:rFonts w:ascii="Book Antiqua" w:hAnsi="Book Antiqua" w:cs="Arial"/>
        </w:rPr>
      </w:pPr>
      <w:r w:rsidRPr="00EF3D28">
        <w:rPr>
          <w:rFonts w:ascii="Book Antiqua" w:hAnsi="Book Antiqua" w:cs="Arial"/>
          <w:color w:val="000000"/>
        </w:rPr>
        <w:t xml:space="preserve">Judge of the </w:t>
      </w:r>
      <w:r w:rsidR="003F367D" w:rsidRPr="00EF3D28">
        <w:rPr>
          <w:rFonts w:ascii="Book Antiqua" w:hAnsi="Book Antiqua" w:cs="Arial"/>
          <w:color w:val="000000"/>
        </w:rPr>
        <w:t>Upper Tribunal</w:t>
      </w:r>
      <w:r w:rsidRPr="00EF3D28">
        <w:rPr>
          <w:rFonts w:ascii="Book Antiqua" w:hAnsi="Book Antiqua" w:cs="Arial"/>
          <w:color w:val="000000"/>
        </w:rPr>
        <w:t xml:space="preserve"> </w:t>
      </w: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1546F" w14:textId="77777777" w:rsidR="00AF0CA8" w:rsidRDefault="00AF0CA8">
      <w:r>
        <w:separator/>
      </w:r>
    </w:p>
  </w:endnote>
  <w:endnote w:type="continuationSeparator" w:id="0">
    <w:p w14:paraId="6486443E" w14:textId="77777777" w:rsidR="00AF0CA8" w:rsidRDefault="00AF0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E477B" w14:textId="4B1AD195"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F05318">
      <w:rPr>
        <w:rStyle w:val="PageNumber"/>
        <w:rFonts w:ascii="Book Antiqua" w:hAnsi="Book Antiqua" w:cs="Arial"/>
        <w:noProof/>
        <w:sz w:val="16"/>
        <w:szCs w:val="16"/>
      </w:rPr>
      <w:t>2</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5E9A0"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2C227" w14:textId="77777777" w:rsidR="00AF0CA8" w:rsidRDefault="00AF0CA8">
      <w:r>
        <w:separator/>
      </w:r>
    </w:p>
  </w:footnote>
  <w:footnote w:type="continuationSeparator" w:id="0">
    <w:p w14:paraId="0E66D0C6" w14:textId="77777777" w:rsidR="00AF0CA8" w:rsidRDefault="00AF0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C1FF"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D611F2" w:rsidRPr="00D611F2">
      <w:rPr>
        <w:rFonts w:ascii="Book Antiqua" w:hAnsi="Book Antiqua" w:cs="Arial"/>
        <w:sz w:val="16"/>
        <w:szCs w:val="16"/>
      </w:rPr>
      <w:t>EA/04344/2017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45108"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F2"/>
    <w:rsid w:val="00000621"/>
    <w:rsid w:val="000036C2"/>
    <w:rsid w:val="00010CF2"/>
    <w:rsid w:val="00033D3D"/>
    <w:rsid w:val="00041A05"/>
    <w:rsid w:val="0005373E"/>
    <w:rsid w:val="00062F02"/>
    <w:rsid w:val="00071A7E"/>
    <w:rsid w:val="000746C0"/>
    <w:rsid w:val="00074D1D"/>
    <w:rsid w:val="00082E32"/>
    <w:rsid w:val="00092580"/>
    <w:rsid w:val="00093D4D"/>
    <w:rsid w:val="000A2820"/>
    <w:rsid w:val="000A383D"/>
    <w:rsid w:val="000B6162"/>
    <w:rsid w:val="000D326A"/>
    <w:rsid w:val="000D5D94"/>
    <w:rsid w:val="000F1A0E"/>
    <w:rsid w:val="001165A7"/>
    <w:rsid w:val="001243BB"/>
    <w:rsid w:val="00152059"/>
    <w:rsid w:val="00167D3A"/>
    <w:rsid w:val="00173CC6"/>
    <w:rsid w:val="001A3082"/>
    <w:rsid w:val="001B186A"/>
    <w:rsid w:val="001B2F75"/>
    <w:rsid w:val="001D4DD2"/>
    <w:rsid w:val="001E3FAE"/>
    <w:rsid w:val="001F2716"/>
    <w:rsid w:val="00200F1B"/>
    <w:rsid w:val="00207617"/>
    <w:rsid w:val="002310D8"/>
    <w:rsid w:val="0023134B"/>
    <w:rsid w:val="002666D3"/>
    <w:rsid w:val="00277CB5"/>
    <w:rsid w:val="00283659"/>
    <w:rsid w:val="00291492"/>
    <w:rsid w:val="002C6BD4"/>
    <w:rsid w:val="002D68BF"/>
    <w:rsid w:val="002E476B"/>
    <w:rsid w:val="002F6B98"/>
    <w:rsid w:val="00307FF9"/>
    <w:rsid w:val="00327658"/>
    <w:rsid w:val="00336CBF"/>
    <w:rsid w:val="00343FE3"/>
    <w:rsid w:val="003546C8"/>
    <w:rsid w:val="003A7CF2"/>
    <w:rsid w:val="003C5CE5"/>
    <w:rsid w:val="003D70B4"/>
    <w:rsid w:val="003E267B"/>
    <w:rsid w:val="003E7CD1"/>
    <w:rsid w:val="003F367D"/>
    <w:rsid w:val="00402B9E"/>
    <w:rsid w:val="004249CB"/>
    <w:rsid w:val="00426616"/>
    <w:rsid w:val="0044127D"/>
    <w:rsid w:val="004448DB"/>
    <w:rsid w:val="00446C9A"/>
    <w:rsid w:val="00452F2B"/>
    <w:rsid w:val="00454886"/>
    <w:rsid w:val="0046454F"/>
    <w:rsid w:val="00471B09"/>
    <w:rsid w:val="00477193"/>
    <w:rsid w:val="004A1848"/>
    <w:rsid w:val="004A6F4A"/>
    <w:rsid w:val="004A7CA3"/>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C3AFC"/>
    <w:rsid w:val="005D10AB"/>
    <w:rsid w:val="005F7FA2"/>
    <w:rsid w:val="00601D8F"/>
    <w:rsid w:val="00603BB6"/>
    <w:rsid w:val="00603F05"/>
    <w:rsid w:val="006215B3"/>
    <w:rsid w:val="00627ECC"/>
    <w:rsid w:val="00653E97"/>
    <w:rsid w:val="00676CAF"/>
    <w:rsid w:val="00684A74"/>
    <w:rsid w:val="00690B8A"/>
    <w:rsid w:val="00693C03"/>
    <w:rsid w:val="006B210D"/>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1BB"/>
    <w:rsid w:val="007A4FEE"/>
    <w:rsid w:val="007B0824"/>
    <w:rsid w:val="007B5D3C"/>
    <w:rsid w:val="007C1919"/>
    <w:rsid w:val="007F3A77"/>
    <w:rsid w:val="00821B72"/>
    <w:rsid w:val="00823EF2"/>
    <w:rsid w:val="008303B8"/>
    <w:rsid w:val="00833DCE"/>
    <w:rsid w:val="00842F3A"/>
    <w:rsid w:val="00871D34"/>
    <w:rsid w:val="00872D99"/>
    <w:rsid w:val="00887DA7"/>
    <w:rsid w:val="008A01DD"/>
    <w:rsid w:val="008A151B"/>
    <w:rsid w:val="008B270C"/>
    <w:rsid w:val="008B4F43"/>
    <w:rsid w:val="008B5078"/>
    <w:rsid w:val="008C24A9"/>
    <w:rsid w:val="008C3D3D"/>
    <w:rsid w:val="008D4131"/>
    <w:rsid w:val="008F0203"/>
    <w:rsid w:val="008F051F"/>
    <w:rsid w:val="008F1932"/>
    <w:rsid w:val="008F1BC2"/>
    <w:rsid w:val="00921062"/>
    <w:rsid w:val="009407F7"/>
    <w:rsid w:val="009722BC"/>
    <w:rsid w:val="009727A3"/>
    <w:rsid w:val="00975893"/>
    <w:rsid w:val="00987774"/>
    <w:rsid w:val="009A11E8"/>
    <w:rsid w:val="009B4673"/>
    <w:rsid w:val="009B555E"/>
    <w:rsid w:val="009F5220"/>
    <w:rsid w:val="00A15234"/>
    <w:rsid w:val="00A15A12"/>
    <w:rsid w:val="00A201AB"/>
    <w:rsid w:val="00A2306E"/>
    <w:rsid w:val="00A31C8B"/>
    <w:rsid w:val="00A50368"/>
    <w:rsid w:val="00A509FA"/>
    <w:rsid w:val="00A813EB"/>
    <w:rsid w:val="00A845DC"/>
    <w:rsid w:val="00A86A76"/>
    <w:rsid w:val="00A9409A"/>
    <w:rsid w:val="00AD17CF"/>
    <w:rsid w:val="00AF0CA8"/>
    <w:rsid w:val="00B26AA2"/>
    <w:rsid w:val="00B3524D"/>
    <w:rsid w:val="00B40F69"/>
    <w:rsid w:val="00B448D5"/>
    <w:rsid w:val="00B46616"/>
    <w:rsid w:val="00B56E4A"/>
    <w:rsid w:val="00B57D66"/>
    <w:rsid w:val="00B6273B"/>
    <w:rsid w:val="00B7040A"/>
    <w:rsid w:val="00B83391"/>
    <w:rsid w:val="00B91577"/>
    <w:rsid w:val="00B95326"/>
    <w:rsid w:val="00BB45A9"/>
    <w:rsid w:val="00BD1399"/>
    <w:rsid w:val="00BD4196"/>
    <w:rsid w:val="00BE2F3A"/>
    <w:rsid w:val="00BF22CA"/>
    <w:rsid w:val="00BF23BB"/>
    <w:rsid w:val="00C26032"/>
    <w:rsid w:val="00C345E1"/>
    <w:rsid w:val="00C43BFD"/>
    <w:rsid w:val="00C816AD"/>
    <w:rsid w:val="00CB6E35"/>
    <w:rsid w:val="00CC26E8"/>
    <w:rsid w:val="00CD4CBE"/>
    <w:rsid w:val="00CE1A46"/>
    <w:rsid w:val="00CE7550"/>
    <w:rsid w:val="00D015C1"/>
    <w:rsid w:val="00D20757"/>
    <w:rsid w:val="00D22636"/>
    <w:rsid w:val="00D40973"/>
    <w:rsid w:val="00D40FD9"/>
    <w:rsid w:val="00D53769"/>
    <w:rsid w:val="00D611F2"/>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2707"/>
    <w:rsid w:val="00E453D8"/>
    <w:rsid w:val="00E500B2"/>
    <w:rsid w:val="00E50BCE"/>
    <w:rsid w:val="00E556B8"/>
    <w:rsid w:val="00E574BF"/>
    <w:rsid w:val="00E61292"/>
    <w:rsid w:val="00E77C4D"/>
    <w:rsid w:val="00E81D01"/>
    <w:rsid w:val="00E82519"/>
    <w:rsid w:val="00E86D22"/>
    <w:rsid w:val="00ED6E0E"/>
    <w:rsid w:val="00EE0238"/>
    <w:rsid w:val="00EE45D8"/>
    <w:rsid w:val="00EF3D28"/>
    <w:rsid w:val="00F05318"/>
    <w:rsid w:val="00F17123"/>
    <w:rsid w:val="00F22EDA"/>
    <w:rsid w:val="00F235B3"/>
    <w:rsid w:val="00F35C16"/>
    <w:rsid w:val="00F465D5"/>
    <w:rsid w:val="00F47952"/>
    <w:rsid w:val="00F93ABB"/>
    <w:rsid w:val="00F95BB7"/>
    <w:rsid w:val="00FA6AA3"/>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04A5F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2333</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2018-09-25T10:07:00Z</dcterms:created>
  <dcterms:modified xsi:type="dcterms:W3CDTF">2018-09-25T10:07:00Z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