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A537" w14:textId="26C8388D" w:rsidR="00301C45" w:rsidRDefault="00301C45" w:rsidP="00301C45">
      <w:pPr>
        <w:tabs>
          <w:tab w:val="right" w:pos="9720"/>
        </w:tabs>
        <w:ind w:right="-82"/>
        <w:jc w:val="center"/>
        <w:rPr>
          <w:rFonts w:ascii="Book Antiqua" w:hAnsi="Book Antiqua" w:cs="Arial"/>
          <w:b/>
          <w:color w:val="000000"/>
        </w:rPr>
      </w:pPr>
      <w:r w:rsidRPr="00550AEA">
        <w:rPr>
          <w:rFonts w:ascii="Book Antiqua" w:hAnsi="Book Antiqua" w:cs="Arial"/>
          <w:noProof/>
          <w:sz w:val="24"/>
          <w:szCs w:val="24"/>
        </w:rPr>
        <w:drawing>
          <wp:inline distT="0" distB="0" distL="0" distR="0" wp14:anchorId="6A2E3F94" wp14:editId="2585C209">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12C7C581" w14:textId="16FFD3F9" w:rsidR="00F35BC4" w:rsidRPr="00EB20D6" w:rsidRDefault="00F35BC4" w:rsidP="00460A14">
      <w:pPr>
        <w:tabs>
          <w:tab w:val="right" w:pos="9720"/>
        </w:tabs>
        <w:spacing w:after="0"/>
        <w:ind w:right="-82"/>
        <w:rPr>
          <w:rFonts w:ascii="Book Antiqua" w:hAnsi="Book Antiqua" w:cs="Arial"/>
          <w:b/>
          <w:color w:val="000000"/>
          <w:sz w:val="24"/>
          <w:szCs w:val="24"/>
          <w:lang w:eastAsia="en-GB"/>
        </w:rPr>
      </w:pPr>
      <w:r w:rsidRPr="00EB20D6">
        <w:rPr>
          <w:rFonts w:ascii="Book Antiqua" w:hAnsi="Book Antiqua" w:cs="Arial"/>
          <w:b/>
          <w:color w:val="000000"/>
          <w:sz w:val="24"/>
          <w:szCs w:val="24"/>
        </w:rPr>
        <w:t xml:space="preserve">Upper Tribunal </w:t>
      </w:r>
      <w:r w:rsidR="008344E5" w:rsidRPr="00EB20D6">
        <w:rPr>
          <w:rFonts w:ascii="Book Antiqua" w:hAnsi="Book Antiqua" w:cs="Arial"/>
          <w:b/>
          <w:color w:val="000000"/>
          <w:sz w:val="24"/>
          <w:szCs w:val="24"/>
        </w:rPr>
        <w:tab/>
      </w:r>
    </w:p>
    <w:p w14:paraId="53823427" w14:textId="5775C7B9" w:rsidR="00F35BC4" w:rsidRDefault="00F35BC4" w:rsidP="001B7E2B">
      <w:pPr>
        <w:tabs>
          <w:tab w:val="right" w:pos="9720"/>
        </w:tabs>
        <w:ind w:right="-82"/>
        <w:rPr>
          <w:rFonts w:ascii="Book Antiqua" w:hAnsi="Book Antiqua" w:cs="Arial"/>
          <w:b/>
          <w:bCs/>
          <w:color w:val="000000"/>
        </w:rPr>
      </w:pPr>
      <w:r w:rsidRPr="00EB20D6">
        <w:rPr>
          <w:rFonts w:ascii="Book Antiqua" w:hAnsi="Book Antiqua" w:cs="Arial"/>
          <w:b/>
          <w:color w:val="000000"/>
          <w:sz w:val="24"/>
          <w:szCs w:val="24"/>
        </w:rPr>
        <w:t xml:space="preserve">(Immigration and Asylum </w:t>
      </w:r>
      <w:proofErr w:type="gramStart"/>
      <w:r w:rsidRPr="00EB20D6">
        <w:rPr>
          <w:rFonts w:ascii="Book Antiqua" w:hAnsi="Book Antiqua" w:cs="Arial"/>
          <w:b/>
          <w:color w:val="000000"/>
          <w:sz w:val="24"/>
          <w:szCs w:val="24"/>
        </w:rPr>
        <w:t>Chamber)</w:t>
      </w:r>
      <w:r w:rsidR="00EB20D6" w:rsidRPr="00EB20D6">
        <w:rPr>
          <w:rFonts w:ascii="Book Antiqua" w:hAnsi="Book Antiqua" w:cs="Arial"/>
          <w:b/>
          <w:color w:val="000000"/>
          <w:sz w:val="24"/>
          <w:szCs w:val="24"/>
        </w:rPr>
        <w:t xml:space="preserve">   </w:t>
      </w:r>
      <w:proofErr w:type="gramEnd"/>
      <w:r w:rsidR="00EB20D6" w:rsidRPr="00EB20D6">
        <w:rPr>
          <w:rFonts w:ascii="Book Antiqua" w:hAnsi="Book Antiqua" w:cs="Arial"/>
          <w:b/>
          <w:color w:val="000000"/>
          <w:sz w:val="24"/>
          <w:szCs w:val="24"/>
        </w:rPr>
        <w:t xml:space="preserve">                     </w:t>
      </w:r>
      <w:r w:rsidR="00EB20D6" w:rsidRPr="00EB20D6">
        <w:rPr>
          <w:rFonts w:ascii="Book Antiqua" w:hAnsi="Book Antiqua" w:cs="Arial"/>
          <w:b/>
          <w:color w:val="000000"/>
          <w:sz w:val="24"/>
          <w:szCs w:val="24"/>
        </w:rPr>
        <w:t>Appeal number: EA/04616/2019 (P)</w:t>
      </w:r>
      <w:r>
        <w:rPr>
          <w:rFonts w:ascii="Book Antiqua" w:hAnsi="Book Antiqua" w:cs="Arial"/>
          <w:b/>
          <w:color w:val="000000"/>
        </w:rPr>
        <w:tab/>
      </w:r>
    </w:p>
    <w:p w14:paraId="7041DA82" w14:textId="4371331F" w:rsidR="001B7E2B" w:rsidRDefault="00F35BC4" w:rsidP="00460A14">
      <w:pPr>
        <w:jc w:val="center"/>
        <w:rPr>
          <w:rFonts w:ascii="Book Antiqua" w:hAnsi="Book Antiqua" w:cs="Arial"/>
          <w:b/>
          <w:color w:val="000000"/>
          <w:sz w:val="24"/>
          <w:szCs w:val="24"/>
          <w:u w:val="single"/>
        </w:rPr>
      </w:pPr>
      <w:r w:rsidRPr="00EB20D6">
        <w:rPr>
          <w:rFonts w:ascii="Book Antiqua" w:hAnsi="Book Antiqua" w:cs="Arial"/>
          <w:b/>
          <w:color w:val="000000"/>
          <w:sz w:val="24"/>
          <w:szCs w:val="24"/>
          <w:u w:val="single"/>
        </w:rPr>
        <w:t>THE IMMIGRATION ACTS</w:t>
      </w:r>
    </w:p>
    <w:p w14:paraId="68C300C7" w14:textId="77777777" w:rsidR="00EB20D6" w:rsidRPr="00EB20D6" w:rsidRDefault="00EB20D6" w:rsidP="00EB20D6">
      <w:pPr>
        <w:spacing w:after="0" w:line="240" w:lineRule="auto"/>
        <w:jc w:val="center"/>
        <w:rPr>
          <w:rFonts w:ascii="Book Antiqua" w:hAnsi="Book Antiqua" w:cs="Arial"/>
          <w:b/>
          <w:color w:val="000000"/>
          <w:sz w:val="24"/>
          <w:szCs w:val="24"/>
          <w:u w:val="single"/>
        </w:rPr>
      </w:pPr>
    </w:p>
    <w:tbl>
      <w:tblPr>
        <w:tblW w:w="10307" w:type="dxa"/>
        <w:tblLook w:val="01E0" w:firstRow="1" w:lastRow="1" w:firstColumn="1" w:lastColumn="1" w:noHBand="0" w:noVBand="0"/>
      </w:tblPr>
      <w:tblGrid>
        <w:gridCol w:w="5387"/>
        <w:gridCol w:w="4920"/>
      </w:tblGrid>
      <w:tr w:rsidR="00F35BC4" w:rsidRPr="0037782A" w14:paraId="1C1329C0" w14:textId="77777777" w:rsidTr="00EB20D6">
        <w:trPr>
          <w:trHeight w:val="737"/>
        </w:trPr>
        <w:tc>
          <w:tcPr>
            <w:tcW w:w="5387" w:type="dxa"/>
            <w:hideMark/>
          </w:tcPr>
          <w:p w14:paraId="2F49D7C7" w14:textId="77777777" w:rsidR="00F35BC4" w:rsidRDefault="00996DC5" w:rsidP="00460A14">
            <w:pPr>
              <w:spacing w:after="0" w:line="240" w:lineRule="auto"/>
              <w:jc w:val="both"/>
              <w:rPr>
                <w:rFonts w:ascii="Book Antiqua" w:hAnsi="Book Antiqua" w:cs="Arial"/>
                <w:b/>
                <w:sz w:val="24"/>
                <w:szCs w:val="24"/>
              </w:rPr>
            </w:pPr>
            <w:r>
              <w:rPr>
                <w:rFonts w:ascii="Book Antiqua" w:hAnsi="Book Antiqua" w:cs="Arial"/>
                <w:b/>
                <w:sz w:val="24"/>
                <w:szCs w:val="24"/>
              </w:rPr>
              <w:t>Heard Remotely</w:t>
            </w:r>
            <w:r w:rsidR="00F35BC4" w:rsidRPr="0037782A">
              <w:rPr>
                <w:rFonts w:ascii="Book Antiqua" w:hAnsi="Book Antiqua" w:cs="Arial"/>
                <w:b/>
                <w:sz w:val="24"/>
                <w:szCs w:val="24"/>
              </w:rPr>
              <w:t xml:space="preserve"> </w:t>
            </w:r>
            <w:r w:rsidR="00E7214E">
              <w:rPr>
                <w:rFonts w:ascii="Book Antiqua" w:hAnsi="Book Antiqua" w:cs="Arial"/>
                <w:b/>
                <w:sz w:val="24"/>
                <w:szCs w:val="24"/>
              </w:rPr>
              <w:t xml:space="preserve">at </w:t>
            </w:r>
            <w:r w:rsidR="00BF6ED3">
              <w:rPr>
                <w:rFonts w:ascii="Book Antiqua" w:hAnsi="Book Antiqua" w:cs="Arial"/>
                <w:b/>
                <w:sz w:val="24"/>
                <w:szCs w:val="24"/>
              </w:rPr>
              <w:t>Manchester CJC</w:t>
            </w:r>
          </w:p>
          <w:p w14:paraId="5322890C" w14:textId="1E8D2786" w:rsidR="00460A14" w:rsidRPr="0037782A" w:rsidRDefault="00460A14" w:rsidP="00460A14">
            <w:pPr>
              <w:spacing w:after="0" w:line="240" w:lineRule="auto"/>
              <w:jc w:val="both"/>
              <w:rPr>
                <w:rFonts w:ascii="Book Antiqua" w:hAnsi="Book Antiqua" w:cs="Arial"/>
                <w:b/>
                <w:sz w:val="24"/>
                <w:szCs w:val="24"/>
              </w:rPr>
            </w:pPr>
            <w:r w:rsidRPr="0037782A">
              <w:rPr>
                <w:rFonts w:ascii="Book Antiqua" w:hAnsi="Book Antiqua" w:cs="Arial"/>
                <w:b/>
                <w:sz w:val="24"/>
                <w:szCs w:val="24"/>
              </w:rPr>
              <w:t xml:space="preserve">On </w:t>
            </w:r>
            <w:r>
              <w:rPr>
                <w:rFonts w:ascii="Book Antiqua" w:hAnsi="Book Antiqua" w:cs="Arial"/>
                <w:b/>
                <w:sz w:val="24"/>
                <w:szCs w:val="24"/>
              </w:rPr>
              <w:t>13 August 2020</w:t>
            </w:r>
          </w:p>
        </w:tc>
        <w:tc>
          <w:tcPr>
            <w:tcW w:w="4920" w:type="dxa"/>
            <w:hideMark/>
          </w:tcPr>
          <w:p w14:paraId="2A02FC32" w14:textId="77777777" w:rsidR="00F35BC4" w:rsidRDefault="00460A14" w:rsidP="00460A14">
            <w:pPr>
              <w:spacing w:after="0" w:line="240" w:lineRule="auto"/>
              <w:jc w:val="both"/>
              <w:rPr>
                <w:rFonts w:ascii="Book Antiqua" w:hAnsi="Book Antiqua" w:cs="Arial"/>
                <w:b/>
                <w:color w:val="000000"/>
                <w:sz w:val="24"/>
              </w:rPr>
            </w:pPr>
            <w:r w:rsidRPr="00460A14">
              <w:rPr>
                <w:rFonts w:ascii="Book Antiqua" w:hAnsi="Book Antiqua" w:cs="Arial"/>
                <w:b/>
                <w:color w:val="000000"/>
                <w:sz w:val="24"/>
              </w:rPr>
              <w:t>Decision &amp; Reasons Promulgated</w:t>
            </w:r>
          </w:p>
          <w:p w14:paraId="6EF0845F" w14:textId="5CB91E97" w:rsidR="00460A14" w:rsidRPr="0037782A" w:rsidRDefault="00460A14">
            <w:pPr>
              <w:jc w:val="both"/>
              <w:rPr>
                <w:rFonts w:ascii="Book Antiqua" w:hAnsi="Book Antiqua" w:cs="Arial"/>
                <w:b/>
                <w:color w:val="000000"/>
                <w:sz w:val="24"/>
                <w:szCs w:val="24"/>
              </w:rPr>
            </w:pPr>
            <w:r>
              <w:rPr>
                <w:rFonts w:ascii="Book Antiqua" w:hAnsi="Book Antiqua" w:cs="Arial"/>
                <w:b/>
                <w:color w:val="000000"/>
                <w:sz w:val="24"/>
                <w:szCs w:val="24"/>
              </w:rPr>
              <w:t>On 24 August 2020</w:t>
            </w:r>
          </w:p>
        </w:tc>
      </w:tr>
    </w:tbl>
    <w:p w14:paraId="0A7C1835" w14:textId="7214965D" w:rsidR="00F35BC4" w:rsidRDefault="00F35BC4" w:rsidP="001B7E2B">
      <w:pPr>
        <w:rPr>
          <w:rFonts w:ascii="Book Antiqua" w:hAnsi="Book Antiqua" w:cs="Arial"/>
          <w:sz w:val="24"/>
          <w:szCs w:val="24"/>
        </w:rPr>
      </w:pPr>
    </w:p>
    <w:p w14:paraId="55B9596F" w14:textId="1E556303" w:rsidR="00F35BC4" w:rsidRDefault="00F35BC4" w:rsidP="00F35BC4">
      <w:pPr>
        <w:jc w:val="center"/>
        <w:rPr>
          <w:rFonts w:ascii="Book Antiqua" w:hAnsi="Book Antiqua" w:cs="Arial"/>
          <w:b/>
          <w:sz w:val="24"/>
          <w:szCs w:val="24"/>
        </w:rPr>
      </w:pPr>
      <w:r w:rsidRPr="0037782A">
        <w:rPr>
          <w:rFonts w:ascii="Book Antiqua" w:hAnsi="Book Antiqua" w:cs="Arial"/>
          <w:b/>
          <w:sz w:val="24"/>
          <w:szCs w:val="24"/>
        </w:rPr>
        <w:t>Before</w:t>
      </w:r>
    </w:p>
    <w:p w14:paraId="4CC432C5" w14:textId="77777777" w:rsidR="00EB20D6" w:rsidRPr="0037782A" w:rsidRDefault="00EB20D6" w:rsidP="00EB20D6">
      <w:pPr>
        <w:spacing w:after="0" w:line="240" w:lineRule="auto"/>
        <w:jc w:val="center"/>
        <w:rPr>
          <w:rFonts w:ascii="Book Antiqua" w:hAnsi="Book Antiqua" w:cs="Arial"/>
          <w:b/>
          <w:sz w:val="24"/>
          <w:szCs w:val="24"/>
        </w:rPr>
      </w:pPr>
    </w:p>
    <w:p w14:paraId="603F3782" w14:textId="673BC6C3" w:rsidR="00E83510" w:rsidRDefault="00A83977" w:rsidP="001B7E2B">
      <w:pPr>
        <w:jc w:val="center"/>
        <w:rPr>
          <w:rFonts w:ascii="Book Antiqua" w:hAnsi="Book Antiqua" w:cs="Arial"/>
          <w:b/>
          <w:color w:val="000000"/>
          <w:sz w:val="24"/>
          <w:szCs w:val="24"/>
        </w:rPr>
      </w:pPr>
      <w:r w:rsidRPr="0037782A">
        <w:rPr>
          <w:rFonts w:ascii="Book Antiqua" w:hAnsi="Book Antiqua" w:cs="Arial"/>
          <w:b/>
          <w:color w:val="000000"/>
          <w:sz w:val="24"/>
          <w:szCs w:val="24"/>
        </w:rPr>
        <w:t xml:space="preserve">UPPER TRIBUNAL JUDGE </w:t>
      </w:r>
      <w:r w:rsidR="006052E7" w:rsidRPr="0037782A">
        <w:rPr>
          <w:rFonts w:ascii="Book Antiqua" w:hAnsi="Book Antiqua" w:cs="Arial"/>
          <w:b/>
          <w:color w:val="000000"/>
          <w:sz w:val="24"/>
          <w:szCs w:val="24"/>
        </w:rPr>
        <w:t>PICKUP</w:t>
      </w:r>
    </w:p>
    <w:p w14:paraId="7B45271D" w14:textId="77777777" w:rsidR="00EB20D6" w:rsidRPr="0037782A" w:rsidRDefault="00EB20D6" w:rsidP="00EB20D6">
      <w:pPr>
        <w:spacing w:after="0" w:line="240" w:lineRule="auto"/>
        <w:jc w:val="center"/>
        <w:rPr>
          <w:rFonts w:ascii="Book Antiqua" w:hAnsi="Book Antiqua" w:cs="Arial"/>
          <w:b/>
          <w:color w:val="000000"/>
          <w:sz w:val="24"/>
          <w:szCs w:val="24"/>
        </w:rPr>
      </w:pPr>
    </w:p>
    <w:p w14:paraId="74415A54" w14:textId="653F811D" w:rsidR="00F35BC4" w:rsidRDefault="00F35BC4" w:rsidP="00F35BC4">
      <w:pPr>
        <w:jc w:val="center"/>
        <w:rPr>
          <w:rFonts w:ascii="Book Antiqua" w:hAnsi="Book Antiqua" w:cs="Arial"/>
          <w:b/>
          <w:sz w:val="24"/>
          <w:szCs w:val="24"/>
        </w:rPr>
      </w:pPr>
      <w:r w:rsidRPr="0037782A">
        <w:rPr>
          <w:rFonts w:ascii="Book Antiqua" w:hAnsi="Book Antiqua" w:cs="Arial"/>
          <w:b/>
          <w:sz w:val="24"/>
          <w:szCs w:val="24"/>
        </w:rPr>
        <w:t>Between</w:t>
      </w:r>
    </w:p>
    <w:p w14:paraId="50491392" w14:textId="77777777" w:rsidR="00EB20D6" w:rsidRPr="0037782A" w:rsidRDefault="00EB20D6" w:rsidP="00EB20D6">
      <w:pPr>
        <w:spacing w:after="0" w:line="240" w:lineRule="auto"/>
        <w:jc w:val="center"/>
        <w:rPr>
          <w:rFonts w:ascii="Book Antiqua" w:hAnsi="Book Antiqua" w:cs="Arial"/>
          <w:b/>
          <w:sz w:val="24"/>
          <w:szCs w:val="24"/>
        </w:rPr>
      </w:pPr>
    </w:p>
    <w:p w14:paraId="0A333C22" w14:textId="1D58EFE9" w:rsidR="00F35BC4" w:rsidRPr="0037782A" w:rsidRDefault="00BF6ED3" w:rsidP="00EB20D6">
      <w:pPr>
        <w:spacing w:after="0" w:line="240" w:lineRule="auto"/>
        <w:jc w:val="center"/>
        <w:rPr>
          <w:rFonts w:ascii="Book Antiqua" w:hAnsi="Book Antiqua" w:cs="Arial"/>
          <w:b/>
          <w:sz w:val="24"/>
          <w:szCs w:val="24"/>
        </w:rPr>
      </w:pPr>
      <w:r>
        <w:rPr>
          <w:rFonts w:ascii="Book Antiqua" w:hAnsi="Book Antiqua" w:cs="Arial"/>
          <w:b/>
          <w:sz w:val="24"/>
          <w:szCs w:val="24"/>
        </w:rPr>
        <w:t>ALI ASIF KHAN</w:t>
      </w:r>
    </w:p>
    <w:p w14:paraId="2FDDDF95" w14:textId="73517E68" w:rsidR="00F35BC4" w:rsidRPr="00B70D2E" w:rsidRDefault="00F35BC4" w:rsidP="00EB20D6">
      <w:pPr>
        <w:spacing w:after="0" w:line="240" w:lineRule="auto"/>
        <w:jc w:val="center"/>
        <w:rPr>
          <w:rFonts w:ascii="Book Antiqua" w:hAnsi="Book Antiqua" w:cs="Arial"/>
          <w:caps/>
          <w:sz w:val="24"/>
          <w:szCs w:val="24"/>
        </w:rPr>
      </w:pPr>
      <w:r w:rsidRPr="00B70D2E">
        <w:rPr>
          <w:rFonts w:ascii="Book Antiqua" w:hAnsi="Book Antiqua" w:cs="Arial"/>
          <w:caps/>
          <w:sz w:val="24"/>
          <w:szCs w:val="24"/>
        </w:rPr>
        <w:t xml:space="preserve"> (</w:t>
      </w:r>
      <w:r w:rsidR="00A83977" w:rsidRPr="00B70D2E">
        <w:rPr>
          <w:rFonts w:ascii="Book Antiqua" w:hAnsi="Book Antiqua" w:cs="Arial"/>
          <w:caps/>
          <w:sz w:val="24"/>
          <w:szCs w:val="24"/>
        </w:rPr>
        <w:t xml:space="preserve">ANONYMITY ORDER </w:t>
      </w:r>
      <w:r w:rsidR="00BF6ED3" w:rsidRPr="00B70D2E">
        <w:rPr>
          <w:rFonts w:ascii="Book Antiqua" w:hAnsi="Book Antiqua" w:cs="Arial"/>
          <w:caps/>
          <w:sz w:val="24"/>
          <w:szCs w:val="24"/>
        </w:rPr>
        <w:t xml:space="preserve">NOT </w:t>
      </w:r>
      <w:r w:rsidR="00A83977" w:rsidRPr="00B70D2E">
        <w:rPr>
          <w:rFonts w:ascii="Book Antiqua" w:hAnsi="Book Antiqua" w:cs="Arial"/>
          <w:caps/>
          <w:sz w:val="24"/>
          <w:szCs w:val="24"/>
        </w:rPr>
        <w:t>MADE</w:t>
      </w:r>
      <w:r w:rsidRPr="00B70D2E">
        <w:rPr>
          <w:rFonts w:ascii="Book Antiqua" w:hAnsi="Book Antiqua" w:cs="Arial"/>
          <w:caps/>
          <w:sz w:val="24"/>
          <w:szCs w:val="24"/>
        </w:rPr>
        <w:t>)</w:t>
      </w:r>
    </w:p>
    <w:p w14:paraId="6DD72F04" w14:textId="77777777" w:rsidR="00F35BC4" w:rsidRPr="0037782A" w:rsidRDefault="00F35BC4" w:rsidP="00F35BC4">
      <w:pPr>
        <w:jc w:val="right"/>
        <w:rPr>
          <w:rFonts w:ascii="Book Antiqua" w:hAnsi="Book Antiqua" w:cs="Arial"/>
          <w:sz w:val="24"/>
          <w:szCs w:val="24"/>
          <w:u w:val="single"/>
        </w:rPr>
      </w:pPr>
      <w:r w:rsidRPr="0037782A">
        <w:rPr>
          <w:rFonts w:ascii="Book Antiqua" w:hAnsi="Book Antiqua" w:cs="Arial"/>
          <w:sz w:val="24"/>
          <w:szCs w:val="24"/>
          <w:u w:val="single"/>
        </w:rPr>
        <w:t>Appellant</w:t>
      </w:r>
    </w:p>
    <w:p w14:paraId="20D25670" w14:textId="366D122F" w:rsidR="00F35BC4" w:rsidRPr="0037782A" w:rsidRDefault="00F35BC4" w:rsidP="001B7E2B">
      <w:pPr>
        <w:jc w:val="center"/>
        <w:rPr>
          <w:rFonts w:ascii="Book Antiqua" w:hAnsi="Book Antiqua" w:cs="Arial"/>
          <w:b/>
          <w:sz w:val="24"/>
          <w:szCs w:val="24"/>
        </w:rPr>
      </w:pPr>
      <w:r w:rsidRPr="0037782A">
        <w:rPr>
          <w:rFonts w:ascii="Book Antiqua" w:hAnsi="Book Antiqua" w:cs="Arial"/>
          <w:b/>
          <w:sz w:val="24"/>
          <w:szCs w:val="24"/>
        </w:rPr>
        <w:t>and</w:t>
      </w:r>
    </w:p>
    <w:p w14:paraId="404ACB3F" w14:textId="77777777" w:rsidR="00F35BC4" w:rsidRPr="0037782A" w:rsidRDefault="00F35BC4" w:rsidP="00F35BC4">
      <w:pPr>
        <w:jc w:val="center"/>
        <w:rPr>
          <w:rFonts w:ascii="Book Antiqua" w:hAnsi="Book Antiqua" w:cs="Arial"/>
          <w:b/>
          <w:sz w:val="24"/>
          <w:szCs w:val="24"/>
        </w:rPr>
      </w:pPr>
      <w:r w:rsidRPr="0037782A">
        <w:rPr>
          <w:rFonts w:ascii="Book Antiqua" w:hAnsi="Book Antiqua" w:cs="Arial"/>
          <w:b/>
          <w:sz w:val="24"/>
          <w:szCs w:val="24"/>
        </w:rPr>
        <w:t>SECRETARY OF STATE FOR THE HOME DEPARTMENT</w:t>
      </w:r>
    </w:p>
    <w:p w14:paraId="5DA5BEF4" w14:textId="65216561" w:rsidR="009D2B85" w:rsidRPr="0037782A" w:rsidRDefault="00F35BC4" w:rsidP="001B7E2B">
      <w:pPr>
        <w:jc w:val="right"/>
        <w:rPr>
          <w:rFonts w:ascii="Book Antiqua" w:hAnsi="Book Antiqua" w:cs="Arial"/>
          <w:b/>
          <w:sz w:val="24"/>
          <w:szCs w:val="24"/>
          <w:u w:val="single"/>
        </w:rPr>
      </w:pPr>
      <w:r w:rsidRPr="0037782A">
        <w:rPr>
          <w:rFonts w:ascii="Book Antiqua" w:hAnsi="Book Antiqua" w:cs="Arial"/>
          <w:sz w:val="24"/>
          <w:szCs w:val="24"/>
          <w:u w:val="single"/>
        </w:rPr>
        <w:t>Respondent</w:t>
      </w:r>
    </w:p>
    <w:p w14:paraId="26438A16" w14:textId="77B379D2" w:rsidR="00B70D2E" w:rsidRPr="00B70D2E" w:rsidRDefault="00B70D2E" w:rsidP="000E0EC3">
      <w:pPr>
        <w:jc w:val="both"/>
        <w:rPr>
          <w:rFonts w:ascii="Book Antiqua" w:hAnsi="Book Antiqua"/>
          <w:b/>
          <w:sz w:val="24"/>
          <w:szCs w:val="24"/>
          <w:u w:val="single"/>
        </w:rPr>
      </w:pPr>
      <w:r>
        <w:rPr>
          <w:rFonts w:ascii="Book Antiqua" w:hAnsi="Book Antiqua"/>
          <w:b/>
          <w:sz w:val="24"/>
          <w:szCs w:val="24"/>
          <w:u w:val="single"/>
        </w:rPr>
        <w:t>Representation:</w:t>
      </w:r>
    </w:p>
    <w:p w14:paraId="45181053" w14:textId="77777777" w:rsidR="00B70D2E" w:rsidRDefault="00B70D2E" w:rsidP="00B70D2E">
      <w:pPr>
        <w:spacing w:after="0" w:line="240" w:lineRule="auto"/>
        <w:jc w:val="both"/>
        <w:rPr>
          <w:rFonts w:ascii="Book Antiqua" w:hAnsi="Book Antiqua"/>
          <w:sz w:val="24"/>
          <w:szCs w:val="24"/>
        </w:rPr>
      </w:pPr>
    </w:p>
    <w:p w14:paraId="6BAE5564" w14:textId="6549C907" w:rsidR="000E0EC3" w:rsidRDefault="000E0EC3" w:rsidP="00B70D2E">
      <w:pPr>
        <w:spacing w:after="0" w:line="240" w:lineRule="auto"/>
        <w:jc w:val="both"/>
        <w:rPr>
          <w:rFonts w:ascii="Book Antiqua" w:hAnsi="Book Antiqua"/>
          <w:sz w:val="24"/>
          <w:szCs w:val="24"/>
        </w:rPr>
      </w:pPr>
      <w:r>
        <w:rPr>
          <w:rFonts w:ascii="Book Antiqua" w:hAnsi="Book Antiqua"/>
          <w:sz w:val="24"/>
          <w:szCs w:val="24"/>
        </w:rPr>
        <w:t>For the appellant</w:t>
      </w:r>
      <w:r w:rsidR="00662D4B">
        <w:rPr>
          <w:rFonts w:ascii="Book Antiqua" w:hAnsi="Book Antiqua"/>
          <w:sz w:val="24"/>
          <w:szCs w:val="24"/>
        </w:rPr>
        <w:t>:</w:t>
      </w:r>
      <w:r>
        <w:rPr>
          <w:rFonts w:ascii="Book Antiqua" w:hAnsi="Book Antiqua"/>
          <w:sz w:val="24"/>
          <w:szCs w:val="24"/>
        </w:rPr>
        <w:t xml:space="preserve"> </w:t>
      </w:r>
      <w:r w:rsidR="00B70D2E">
        <w:rPr>
          <w:rFonts w:ascii="Book Antiqua" w:hAnsi="Book Antiqua"/>
          <w:sz w:val="24"/>
          <w:szCs w:val="24"/>
        </w:rPr>
        <w:t xml:space="preserve">       </w:t>
      </w:r>
      <w:r>
        <w:rPr>
          <w:rFonts w:ascii="Book Antiqua" w:hAnsi="Book Antiqua"/>
          <w:sz w:val="24"/>
          <w:szCs w:val="24"/>
        </w:rPr>
        <w:t>Mr</w:t>
      </w:r>
      <w:r w:rsidR="005D5755">
        <w:rPr>
          <w:rFonts w:ascii="Book Antiqua" w:hAnsi="Book Antiqua"/>
          <w:sz w:val="24"/>
          <w:szCs w:val="24"/>
        </w:rPr>
        <w:t xml:space="preserve"> Z Malik, instructed by Chauhan Solicitors</w:t>
      </w:r>
    </w:p>
    <w:p w14:paraId="179FCF70" w14:textId="35F19C6C" w:rsidR="00EB20D6" w:rsidRDefault="000E0EC3" w:rsidP="00B70D2E">
      <w:pPr>
        <w:tabs>
          <w:tab w:val="left" w:pos="2520"/>
        </w:tabs>
        <w:spacing w:after="0" w:line="240" w:lineRule="auto"/>
        <w:rPr>
          <w:rFonts w:ascii="Book Antiqua" w:hAnsi="Book Antiqua" w:cs="Arial"/>
          <w:b/>
          <w:sz w:val="24"/>
          <w:szCs w:val="24"/>
          <w:u w:val="single"/>
        </w:rPr>
      </w:pPr>
      <w:r>
        <w:rPr>
          <w:rFonts w:ascii="Book Antiqua" w:hAnsi="Book Antiqua"/>
          <w:sz w:val="24"/>
          <w:szCs w:val="24"/>
        </w:rPr>
        <w:t>For the Respondent</w:t>
      </w:r>
      <w:r w:rsidR="00662D4B">
        <w:rPr>
          <w:rFonts w:ascii="Book Antiqua" w:hAnsi="Book Antiqua"/>
          <w:sz w:val="24"/>
          <w:szCs w:val="24"/>
        </w:rPr>
        <w:t>:</w:t>
      </w:r>
      <w:r>
        <w:rPr>
          <w:rFonts w:ascii="Book Antiqua" w:hAnsi="Book Antiqua"/>
          <w:sz w:val="24"/>
          <w:szCs w:val="24"/>
        </w:rPr>
        <w:t xml:space="preserve"> </w:t>
      </w:r>
      <w:r w:rsidR="00B70D2E">
        <w:rPr>
          <w:rFonts w:ascii="Book Antiqua" w:hAnsi="Book Antiqua"/>
          <w:sz w:val="24"/>
          <w:szCs w:val="24"/>
        </w:rPr>
        <w:t xml:space="preserve">  </w:t>
      </w:r>
      <w:r>
        <w:rPr>
          <w:rFonts w:ascii="Book Antiqua" w:hAnsi="Book Antiqua"/>
          <w:sz w:val="24"/>
          <w:szCs w:val="24"/>
        </w:rPr>
        <w:t>M</w:t>
      </w:r>
      <w:r w:rsidR="0021144E">
        <w:rPr>
          <w:rFonts w:ascii="Book Antiqua" w:hAnsi="Book Antiqua"/>
          <w:sz w:val="24"/>
          <w:szCs w:val="24"/>
        </w:rPr>
        <w:t>s R Pettersen</w:t>
      </w:r>
      <w:r w:rsidR="005D5755">
        <w:rPr>
          <w:rFonts w:ascii="Book Antiqua" w:hAnsi="Book Antiqua"/>
          <w:sz w:val="24"/>
          <w:szCs w:val="24"/>
        </w:rPr>
        <w:t>, Senior Presenting Officer</w:t>
      </w:r>
      <w:r w:rsidR="00EB20D6" w:rsidRPr="00EB20D6">
        <w:rPr>
          <w:rFonts w:ascii="Book Antiqua" w:hAnsi="Book Antiqua" w:cs="Arial"/>
          <w:b/>
          <w:sz w:val="24"/>
          <w:szCs w:val="24"/>
          <w:u w:val="single"/>
        </w:rPr>
        <w:t xml:space="preserve"> </w:t>
      </w:r>
    </w:p>
    <w:p w14:paraId="1201E8BB" w14:textId="77777777" w:rsidR="00B70D2E" w:rsidRDefault="00B70D2E" w:rsidP="00B70D2E">
      <w:pPr>
        <w:tabs>
          <w:tab w:val="left" w:pos="2520"/>
        </w:tabs>
        <w:spacing w:after="0" w:line="240" w:lineRule="auto"/>
        <w:jc w:val="center"/>
        <w:rPr>
          <w:rFonts w:ascii="Book Antiqua" w:hAnsi="Book Antiqua" w:cs="Arial"/>
          <w:b/>
          <w:sz w:val="24"/>
          <w:szCs w:val="24"/>
          <w:u w:val="single"/>
        </w:rPr>
      </w:pPr>
      <w:bookmarkStart w:id="0" w:name="_GoBack"/>
      <w:bookmarkEnd w:id="0"/>
    </w:p>
    <w:p w14:paraId="032A9812" w14:textId="50E8E765" w:rsidR="00EB20D6" w:rsidRPr="0037782A" w:rsidRDefault="00EB20D6" w:rsidP="00EB20D6">
      <w:pPr>
        <w:tabs>
          <w:tab w:val="left" w:pos="2520"/>
        </w:tabs>
        <w:jc w:val="center"/>
        <w:rPr>
          <w:rFonts w:ascii="Book Antiqua" w:hAnsi="Book Antiqua" w:cs="Arial"/>
          <w:b/>
          <w:sz w:val="24"/>
          <w:szCs w:val="24"/>
          <w:u w:val="single"/>
        </w:rPr>
      </w:pPr>
      <w:r w:rsidRPr="0037782A">
        <w:rPr>
          <w:rFonts w:ascii="Book Antiqua" w:hAnsi="Book Antiqua" w:cs="Arial"/>
          <w:b/>
          <w:sz w:val="24"/>
          <w:szCs w:val="24"/>
          <w:u w:val="single"/>
        </w:rPr>
        <w:t>DECISION AND REASONS (P)</w:t>
      </w:r>
    </w:p>
    <w:p w14:paraId="38542726" w14:textId="158DB098" w:rsidR="0023211E" w:rsidRDefault="009E207A" w:rsidP="0023211E">
      <w:pPr>
        <w:jc w:val="both"/>
        <w:rPr>
          <w:rFonts w:ascii="Book Antiqua" w:hAnsi="Book Antiqua"/>
          <w:sz w:val="24"/>
          <w:szCs w:val="24"/>
        </w:rPr>
      </w:pPr>
      <w:r w:rsidRPr="00662D4B">
        <w:rPr>
          <w:rFonts w:ascii="Book Antiqua" w:eastAsia="Times New Roman" w:hAnsi="Book Antiqua"/>
          <w:color w:val="000000"/>
          <w:sz w:val="24"/>
          <w:szCs w:val="24"/>
          <w:lang w:eastAsia="en-GB"/>
        </w:rPr>
        <w:t>This has been a remote hearing which has been consented to by the parties. The form of remote hearing was video by Skype (V). A face to face hearing was not held because it was not practicable and all issues could be determined in a remote hearing. The order made is described at the end of these reasons. </w:t>
      </w:r>
    </w:p>
    <w:p w14:paraId="6C217E13" w14:textId="372F1466" w:rsidR="00734691" w:rsidRPr="0023211E" w:rsidRDefault="00734691" w:rsidP="0023211E">
      <w:pPr>
        <w:pStyle w:val="ListParagraph"/>
        <w:numPr>
          <w:ilvl w:val="0"/>
          <w:numId w:val="1"/>
        </w:numPr>
        <w:jc w:val="both"/>
        <w:rPr>
          <w:rFonts w:ascii="Book Antiqua" w:hAnsi="Book Antiqua"/>
          <w:sz w:val="24"/>
          <w:szCs w:val="24"/>
        </w:rPr>
      </w:pPr>
      <w:r w:rsidRPr="0023211E">
        <w:rPr>
          <w:rFonts w:ascii="Book Antiqua" w:hAnsi="Book Antiqua"/>
          <w:sz w:val="24"/>
          <w:szCs w:val="24"/>
        </w:rPr>
        <w:t>The appellant</w:t>
      </w:r>
      <w:r w:rsidR="00032087" w:rsidRPr="0023211E">
        <w:rPr>
          <w:rFonts w:ascii="Book Antiqua" w:hAnsi="Book Antiqua"/>
          <w:sz w:val="24"/>
          <w:szCs w:val="24"/>
        </w:rPr>
        <w:t xml:space="preserve">, </w:t>
      </w:r>
      <w:r w:rsidR="00E65F56" w:rsidRPr="0023211E">
        <w:rPr>
          <w:rFonts w:ascii="Book Antiqua" w:hAnsi="Book Antiqua"/>
          <w:sz w:val="24"/>
          <w:szCs w:val="24"/>
        </w:rPr>
        <w:t xml:space="preserve">who </w:t>
      </w:r>
      <w:r w:rsidR="0053231A">
        <w:rPr>
          <w:rFonts w:ascii="Book Antiqua" w:hAnsi="Book Antiqua"/>
          <w:sz w:val="24"/>
          <w:szCs w:val="24"/>
        </w:rPr>
        <w:t xml:space="preserve">is </w:t>
      </w:r>
      <w:r w:rsidR="00E65F56" w:rsidRPr="0023211E">
        <w:rPr>
          <w:rFonts w:ascii="Book Antiqua" w:hAnsi="Book Antiqua"/>
          <w:sz w:val="24"/>
          <w:szCs w:val="24"/>
        </w:rPr>
        <w:t xml:space="preserve">a </w:t>
      </w:r>
      <w:r w:rsidR="00BF6D68">
        <w:rPr>
          <w:rFonts w:ascii="Book Antiqua" w:hAnsi="Book Antiqua"/>
          <w:sz w:val="24"/>
          <w:szCs w:val="24"/>
        </w:rPr>
        <w:t>Pakistan</w:t>
      </w:r>
      <w:r w:rsidR="000E7299">
        <w:rPr>
          <w:rFonts w:ascii="Book Antiqua" w:hAnsi="Book Antiqua"/>
          <w:sz w:val="24"/>
          <w:szCs w:val="24"/>
        </w:rPr>
        <w:t>i</w:t>
      </w:r>
      <w:r w:rsidR="0053231A">
        <w:rPr>
          <w:rFonts w:ascii="Book Antiqua" w:hAnsi="Book Antiqua"/>
          <w:sz w:val="24"/>
          <w:szCs w:val="24"/>
        </w:rPr>
        <w:t xml:space="preserve"> </w:t>
      </w:r>
      <w:r w:rsidR="00E65F56" w:rsidRPr="0023211E">
        <w:rPr>
          <w:rFonts w:ascii="Book Antiqua" w:hAnsi="Book Antiqua"/>
          <w:sz w:val="24"/>
          <w:szCs w:val="24"/>
        </w:rPr>
        <w:t>national bor</w:t>
      </w:r>
      <w:r w:rsidR="00F023EA" w:rsidRPr="0023211E">
        <w:rPr>
          <w:rFonts w:ascii="Book Antiqua" w:hAnsi="Book Antiqua"/>
          <w:sz w:val="24"/>
          <w:szCs w:val="24"/>
        </w:rPr>
        <w:t xml:space="preserve">n on </w:t>
      </w:r>
      <w:r w:rsidR="00BF6D68">
        <w:rPr>
          <w:rFonts w:ascii="Book Antiqua" w:hAnsi="Book Antiqua"/>
          <w:sz w:val="24"/>
          <w:szCs w:val="24"/>
        </w:rPr>
        <w:t>14.1.75</w:t>
      </w:r>
      <w:r w:rsidR="00F023EA" w:rsidRPr="0023211E">
        <w:rPr>
          <w:rFonts w:ascii="Book Antiqua" w:hAnsi="Book Antiqua"/>
          <w:sz w:val="24"/>
          <w:szCs w:val="24"/>
        </w:rPr>
        <w:t xml:space="preserve">, </w:t>
      </w:r>
      <w:r w:rsidRPr="0023211E">
        <w:rPr>
          <w:rFonts w:ascii="Book Antiqua" w:hAnsi="Book Antiqua"/>
          <w:sz w:val="24"/>
          <w:szCs w:val="24"/>
        </w:rPr>
        <w:t>has appealed</w:t>
      </w:r>
      <w:r w:rsidR="00BF6D68">
        <w:rPr>
          <w:rFonts w:ascii="Book Antiqua" w:hAnsi="Book Antiqua"/>
          <w:sz w:val="24"/>
          <w:szCs w:val="24"/>
        </w:rPr>
        <w:t xml:space="preserve"> with permission</w:t>
      </w:r>
      <w:r w:rsidRPr="0023211E">
        <w:rPr>
          <w:rFonts w:ascii="Book Antiqua" w:hAnsi="Book Antiqua"/>
          <w:sz w:val="24"/>
          <w:szCs w:val="24"/>
        </w:rPr>
        <w:t xml:space="preserve"> to the Upper Tribunal against the decision of the First-tier Tribunal </w:t>
      </w:r>
      <w:r w:rsidR="00E73154" w:rsidRPr="0023211E">
        <w:rPr>
          <w:rFonts w:ascii="Book Antiqua" w:hAnsi="Book Antiqua"/>
          <w:sz w:val="24"/>
          <w:szCs w:val="24"/>
        </w:rPr>
        <w:t xml:space="preserve">promulgated </w:t>
      </w:r>
      <w:r w:rsidR="00BF6D68">
        <w:rPr>
          <w:rFonts w:ascii="Book Antiqua" w:hAnsi="Book Antiqua"/>
          <w:sz w:val="24"/>
          <w:szCs w:val="24"/>
        </w:rPr>
        <w:t>5.2.20</w:t>
      </w:r>
      <w:r w:rsidR="00617657" w:rsidRPr="0023211E">
        <w:rPr>
          <w:rFonts w:ascii="Book Antiqua" w:hAnsi="Book Antiqua"/>
          <w:sz w:val="24"/>
          <w:szCs w:val="24"/>
        </w:rPr>
        <w:t>, dismissing</w:t>
      </w:r>
      <w:r w:rsidR="00BE7A4A">
        <w:rPr>
          <w:rFonts w:ascii="Book Antiqua" w:hAnsi="Book Antiqua"/>
          <w:sz w:val="24"/>
          <w:szCs w:val="24"/>
        </w:rPr>
        <w:t xml:space="preserve"> </w:t>
      </w:r>
      <w:r w:rsidR="00617657" w:rsidRPr="0023211E">
        <w:rPr>
          <w:rFonts w:ascii="Book Antiqua" w:hAnsi="Book Antiqua"/>
          <w:sz w:val="24"/>
          <w:szCs w:val="24"/>
        </w:rPr>
        <w:t xml:space="preserve">his appeal against the decision of the Secretary of State, dated </w:t>
      </w:r>
      <w:r w:rsidR="00BE7A4A">
        <w:rPr>
          <w:rFonts w:ascii="Book Antiqua" w:hAnsi="Book Antiqua"/>
          <w:sz w:val="24"/>
          <w:szCs w:val="24"/>
        </w:rPr>
        <w:t>20.8.19</w:t>
      </w:r>
      <w:r w:rsidR="00617657" w:rsidRPr="0023211E">
        <w:rPr>
          <w:rFonts w:ascii="Book Antiqua" w:hAnsi="Book Antiqua"/>
          <w:sz w:val="24"/>
          <w:szCs w:val="24"/>
        </w:rPr>
        <w:t xml:space="preserve">, to refuse his </w:t>
      </w:r>
      <w:r w:rsidR="00BE7A4A">
        <w:rPr>
          <w:rFonts w:ascii="Book Antiqua" w:hAnsi="Book Antiqua"/>
          <w:sz w:val="24"/>
          <w:szCs w:val="24"/>
        </w:rPr>
        <w:t xml:space="preserve">application made on 20.5.19 for a Derivative Residence Card as the primary </w:t>
      </w:r>
      <w:r w:rsidR="00BE7A4A">
        <w:rPr>
          <w:rFonts w:ascii="Book Antiqua" w:hAnsi="Book Antiqua"/>
          <w:sz w:val="24"/>
          <w:szCs w:val="24"/>
        </w:rPr>
        <w:lastRenderedPageBreak/>
        <w:t xml:space="preserve">carer of his British citizen mother, pursuant to </w:t>
      </w:r>
      <w:r w:rsidR="00952320">
        <w:rPr>
          <w:rFonts w:ascii="Book Antiqua" w:hAnsi="Book Antiqua"/>
          <w:sz w:val="24"/>
          <w:szCs w:val="24"/>
        </w:rPr>
        <w:t>Regulation 16</w:t>
      </w:r>
      <w:r w:rsidR="00286963">
        <w:rPr>
          <w:rFonts w:ascii="Book Antiqua" w:hAnsi="Book Antiqua"/>
          <w:sz w:val="24"/>
          <w:szCs w:val="24"/>
        </w:rPr>
        <w:t>(5)</w:t>
      </w:r>
      <w:r w:rsidR="00952320">
        <w:rPr>
          <w:rFonts w:ascii="Book Antiqua" w:hAnsi="Book Antiqua"/>
          <w:sz w:val="24"/>
          <w:szCs w:val="24"/>
        </w:rPr>
        <w:t xml:space="preserve"> of </w:t>
      </w:r>
      <w:r w:rsidR="00BE7A4A">
        <w:rPr>
          <w:rFonts w:ascii="Book Antiqua" w:hAnsi="Book Antiqua"/>
          <w:sz w:val="24"/>
          <w:szCs w:val="24"/>
        </w:rPr>
        <w:t xml:space="preserve">the Immigration (EEA) Regulations 2016. </w:t>
      </w:r>
    </w:p>
    <w:p w14:paraId="1BF43C8A" w14:textId="739682E1" w:rsidR="001B458D" w:rsidRDefault="00E36FE7" w:rsidP="00734691">
      <w:pPr>
        <w:numPr>
          <w:ilvl w:val="0"/>
          <w:numId w:val="1"/>
        </w:numPr>
        <w:jc w:val="both"/>
        <w:rPr>
          <w:rFonts w:ascii="Book Antiqua" w:hAnsi="Book Antiqua"/>
          <w:sz w:val="24"/>
          <w:szCs w:val="24"/>
        </w:rPr>
      </w:pPr>
      <w:r>
        <w:rPr>
          <w:rFonts w:ascii="Book Antiqua" w:hAnsi="Book Antiqua"/>
          <w:sz w:val="24"/>
          <w:szCs w:val="24"/>
        </w:rPr>
        <w:t xml:space="preserve">The </w:t>
      </w:r>
      <w:r w:rsidR="001B458D">
        <w:rPr>
          <w:rFonts w:ascii="Book Antiqua" w:hAnsi="Book Antiqua"/>
          <w:sz w:val="24"/>
          <w:szCs w:val="24"/>
        </w:rPr>
        <w:t xml:space="preserve">specific </w:t>
      </w:r>
      <w:r>
        <w:rPr>
          <w:rFonts w:ascii="Book Antiqua" w:hAnsi="Book Antiqua"/>
          <w:sz w:val="24"/>
          <w:szCs w:val="24"/>
        </w:rPr>
        <w:t xml:space="preserve">requirements </w:t>
      </w:r>
      <w:r w:rsidR="004E134C">
        <w:rPr>
          <w:rFonts w:ascii="Book Antiqua" w:hAnsi="Book Antiqua"/>
          <w:sz w:val="24"/>
          <w:szCs w:val="24"/>
        </w:rPr>
        <w:t xml:space="preserve">for a derivative right to reside under the Regulations </w:t>
      </w:r>
      <w:r>
        <w:rPr>
          <w:rFonts w:ascii="Book Antiqua" w:hAnsi="Book Antiqua"/>
          <w:sz w:val="24"/>
          <w:szCs w:val="24"/>
        </w:rPr>
        <w:t xml:space="preserve">are (a) that the appellant is the primary carer of a British citizen; (b) that the British citizen is residing in the UK; and </w:t>
      </w:r>
      <w:r w:rsidR="001B458D">
        <w:rPr>
          <w:rFonts w:ascii="Book Antiqua" w:hAnsi="Book Antiqua"/>
          <w:sz w:val="24"/>
          <w:szCs w:val="24"/>
        </w:rPr>
        <w:t xml:space="preserve">(c) that the British citizen </w:t>
      </w:r>
      <w:r w:rsidR="004410C0">
        <w:rPr>
          <w:rFonts w:ascii="Book Antiqua" w:hAnsi="Book Antiqua"/>
          <w:sz w:val="24"/>
          <w:szCs w:val="24"/>
        </w:rPr>
        <w:t xml:space="preserve">would be unable to reside in the UK or in another EEA State if the appellant left the UK for an indefinite period. </w:t>
      </w:r>
    </w:p>
    <w:p w14:paraId="47CB756E" w14:textId="5F7D53DE" w:rsidR="00682B9E" w:rsidRDefault="00FA7332" w:rsidP="00734691">
      <w:pPr>
        <w:numPr>
          <w:ilvl w:val="0"/>
          <w:numId w:val="1"/>
        </w:numPr>
        <w:jc w:val="both"/>
        <w:rPr>
          <w:rFonts w:ascii="Book Antiqua" w:hAnsi="Book Antiqua"/>
          <w:sz w:val="24"/>
          <w:szCs w:val="24"/>
        </w:rPr>
      </w:pPr>
      <w:r>
        <w:rPr>
          <w:rFonts w:ascii="Book Antiqua" w:hAnsi="Book Antiqua"/>
          <w:sz w:val="24"/>
          <w:szCs w:val="24"/>
        </w:rPr>
        <w:t>For the reasons set out in the decision,</w:t>
      </w:r>
      <w:r w:rsidR="00622342">
        <w:rPr>
          <w:rFonts w:ascii="Book Antiqua" w:hAnsi="Book Antiqua"/>
          <w:sz w:val="24"/>
          <w:szCs w:val="24"/>
        </w:rPr>
        <w:t xml:space="preserve"> at [46]</w:t>
      </w:r>
      <w:r>
        <w:rPr>
          <w:rFonts w:ascii="Book Antiqua" w:hAnsi="Book Antiqua"/>
          <w:sz w:val="24"/>
          <w:szCs w:val="24"/>
        </w:rPr>
        <w:t xml:space="preserve"> the First-tier Tribunal Judge rejected </w:t>
      </w:r>
      <w:r w:rsidR="00622342">
        <w:rPr>
          <w:rFonts w:ascii="Book Antiqua" w:hAnsi="Book Antiqua"/>
          <w:sz w:val="24"/>
          <w:szCs w:val="24"/>
        </w:rPr>
        <w:t xml:space="preserve">as totally implausible </w:t>
      </w:r>
      <w:r>
        <w:rPr>
          <w:rFonts w:ascii="Book Antiqua" w:hAnsi="Book Antiqua"/>
          <w:sz w:val="24"/>
          <w:szCs w:val="24"/>
        </w:rPr>
        <w:t xml:space="preserve">the claim that </w:t>
      </w:r>
      <w:r w:rsidR="00267BB1">
        <w:rPr>
          <w:rFonts w:ascii="Book Antiqua" w:hAnsi="Book Antiqua"/>
          <w:sz w:val="24"/>
          <w:szCs w:val="24"/>
        </w:rPr>
        <w:t xml:space="preserve">if the appellant had to return to Pakistan his mother would go with him. </w:t>
      </w:r>
      <w:r w:rsidR="00F15B6D">
        <w:rPr>
          <w:rFonts w:ascii="Book Antiqua" w:hAnsi="Book Antiqua"/>
          <w:sz w:val="24"/>
          <w:szCs w:val="24"/>
        </w:rPr>
        <w:t>At [4</w:t>
      </w:r>
      <w:r w:rsidR="00A93D78">
        <w:rPr>
          <w:rFonts w:ascii="Book Antiqua" w:hAnsi="Book Antiqua"/>
          <w:sz w:val="24"/>
          <w:szCs w:val="24"/>
        </w:rPr>
        <w:t xml:space="preserve">8] </w:t>
      </w:r>
      <w:r w:rsidR="00F15B6D">
        <w:rPr>
          <w:rFonts w:ascii="Book Antiqua" w:hAnsi="Book Antiqua"/>
          <w:sz w:val="24"/>
          <w:szCs w:val="24"/>
        </w:rPr>
        <w:t xml:space="preserve">the judge concluded, for the reasons </w:t>
      </w:r>
      <w:r w:rsidR="000D31F4">
        <w:rPr>
          <w:rFonts w:ascii="Book Antiqua" w:hAnsi="Book Antiqua"/>
          <w:sz w:val="24"/>
          <w:szCs w:val="24"/>
        </w:rPr>
        <w:t>given</w:t>
      </w:r>
      <w:r w:rsidR="00A93D78">
        <w:rPr>
          <w:rFonts w:ascii="Book Antiqua" w:hAnsi="Book Antiqua"/>
          <w:sz w:val="24"/>
          <w:szCs w:val="24"/>
        </w:rPr>
        <w:t xml:space="preserve"> at [47],</w:t>
      </w:r>
      <w:r w:rsidR="00F15B6D">
        <w:rPr>
          <w:rFonts w:ascii="Book Antiqua" w:hAnsi="Book Antiqua"/>
          <w:sz w:val="24"/>
          <w:szCs w:val="24"/>
        </w:rPr>
        <w:t xml:space="preserve"> that </w:t>
      </w:r>
      <w:r w:rsidR="00A93D78">
        <w:rPr>
          <w:rFonts w:ascii="Book Antiqua" w:hAnsi="Book Antiqua"/>
          <w:sz w:val="24"/>
          <w:szCs w:val="24"/>
        </w:rPr>
        <w:t xml:space="preserve">the </w:t>
      </w:r>
      <w:r w:rsidR="00F4704E">
        <w:rPr>
          <w:rFonts w:ascii="Book Antiqua" w:hAnsi="Book Antiqua"/>
          <w:sz w:val="24"/>
          <w:szCs w:val="24"/>
        </w:rPr>
        <w:t>appellant had failed to establish on the balance of probabilities that his</w:t>
      </w:r>
      <w:r w:rsidR="00A93D78">
        <w:rPr>
          <w:rFonts w:ascii="Book Antiqua" w:hAnsi="Book Antiqua"/>
          <w:sz w:val="24"/>
          <w:szCs w:val="24"/>
        </w:rPr>
        <w:t xml:space="preserve"> mother would be </w:t>
      </w:r>
      <w:r w:rsidR="00F4704E">
        <w:rPr>
          <w:rFonts w:ascii="Book Antiqua" w:hAnsi="Book Antiqua"/>
          <w:sz w:val="24"/>
          <w:szCs w:val="24"/>
        </w:rPr>
        <w:t>un</w:t>
      </w:r>
      <w:r w:rsidR="00A93D78">
        <w:rPr>
          <w:rFonts w:ascii="Book Antiqua" w:hAnsi="Book Antiqua"/>
          <w:sz w:val="24"/>
          <w:szCs w:val="24"/>
        </w:rPr>
        <w:t xml:space="preserve">able to continue residing </w:t>
      </w:r>
      <w:r w:rsidR="00F4704E">
        <w:rPr>
          <w:rFonts w:ascii="Book Antiqua" w:hAnsi="Book Antiqua"/>
          <w:sz w:val="24"/>
          <w:szCs w:val="24"/>
        </w:rPr>
        <w:t xml:space="preserve">in the UK if </w:t>
      </w:r>
      <w:r w:rsidR="00682B9E">
        <w:rPr>
          <w:rFonts w:ascii="Book Antiqua" w:hAnsi="Book Antiqua"/>
          <w:sz w:val="24"/>
          <w:szCs w:val="24"/>
        </w:rPr>
        <w:t>he</w:t>
      </w:r>
      <w:r w:rsidR="00F4704E">
        <w:rPr>
          <w:rFonts w:ascii="Book Antiqua" w:hAnsi="Book Antiqua"/>
          <w:sz w:val="24"/>
          <w:szCs w:val="24"/>
        </w:rPr>
        <w:t xml:space="preserve"> were removed</w:t>
      </w:r>
      <w:r w:rsidR="00682B9E">
        <w:rPr>
          <w:rFonts w:ascii="Book Antiqua" w:hAnsi="Book Antiqua"/>
          <w:sz w:val="24"/>
          <w:szCs w:val="24"/>
        </w:rPr>
        <w:t xml:space="preserve"> for an indefinite period</w:t>
      </w:r>
      <w:r w:rsidR="00F4704E">
        <w:rPr>
          <w:rFonts w:ascii="Book Antiqua" w:hAnsi="Book Antiqua"/>
          <w:sz w:val="24"/>
          <w:szCs w:val="24"/>
        </w:rPr>
        <w:t>.</w:t>
      </w:r>
    </w:p>
    <w:p w14:paraId="1FFA00A7" w14:textId="4D7DA293" w:rsidR="00225E50" w:rsidRDefault="008E07B0" w:rsidP="00734691">
      <w:pPr>
        <w:numPr>
          <w:ilvl w:val="0"/>
          <w:numId w:val="1"/>
        </w:numPr>
        <w:jc w:val="both"/>
        <w:rPr>
          <w:rFonts w:ascii="Book Antiqua" w:hAnsi="Book Antiqua"/>
          <w:sz w:val="24"/>
          <w:szCs w:val="24"/>
        </w:rPr>
      </w:pPr>
      <w:r>
        <w:rPr>
          <w:rFonts w:ascii="Book Antiqua" w:hAnsi="Book Antiqua"/>
          <w:sz w:val="24"/>
          <w:szCs w:val="24"/>
        </w:rPr>
        <w:t xml:space="preserve">The grounds </w:t>
      </w:r>
      <w:r w:rsidR="00225E50">
        <w:rPr>
          <w:rFonts w:ascii="Book Antiqua" w:hAnsi="Book Antiqua"/>
          <w:sz w:val="24"/>
          <w:szCs w:val="24"/>
        </w:rPr>
        <w:t xml:space="preserve">as drafted </w:t>
      </w:r>
      <w:r w:rsidR="00982309">
        <w:rPr>
          <w:rFonts w:ascii="Book Antiqua" w:hAnsi="Book Antiqua"/>
          <w:sz w:val="24"/>
          <w:szCs w:val="24"/>
        </w:rPr>
        <w:t xml:space="preserve">first </w:t>
      </w:r>
      <w:r>
        <w:rPr>
          <w:rFonts w:ascii="Book Antiqua" w:hAnsi="Book Antiqua"/>
          <w:sz w:val="24"/>
          <w:szCs w:val="24"/>
        </w:rPr>
        <w:t>assert</w:t>
      </w:r>
      <w:r w:rsidR="00225E50">
        <w:rPr>
          <w:rFonts w:ascii="Book Antiqua" w:hAnsi="Book Antiqua"/>
          <w:sz w:val="24"/>
          <w:szCs w:val="24"/>
        </w:rPr>
        <w:t>ed</w:t>
      </w:r>
      <w:r>
        <w:rPr>
          <w:rFonts w:ascii="Book Antiqua" w:hAnsi="Book Antiqua"/>
          <w:sz w:val="24"/>
          <w:szCs w:val="24"/>
        </w:rPr>
        <w:t xml:space="preserve"> that the judge erred </w:t>
      </w:r>
      <w:r w:rsidR="00982309">
        <w:rPr>
          <w:rFonts w:ascii="Book Antiqua" w:hAnsi="Book Antiqua"/>
          <w:sz w:val="24"/>
          <w:szCs w:val="24"/>
        </w:rPr>
        <w:t>in taking into account the appellant’s immigration history, and that of his mother and siblings, “</w:t>
      </w:r>
      <w:r w:rsidR="00982309" w:rsidRPr="000573D1">
        <w:rPr>
          <w:rFonts w:ascii="Book Antiqua" w:hAnsi="Book Antiqua"/>
          <w:i/>
          <w:iCs/>
          <w:sz w:val="24"/>
          <w:szCs w:val="24"/>
        </w:rPr>
        <w:t>despite agreeing in open court that it was not relevant</w:t>
      </w:r>
      <w:r w:rsidR="00982309">
        <w:rPr>
          <w:rFonts w:ascii="Book Antiqua" w:hAnsi="Book Antiqua"/>
          <w:sz w:val="24"/>
          <w:szCs w:val="24"/>
        </w:rPr>
        <w:t>.”</w:t>
      </w:r>
      <w:r w:rsidR="00391928">
        <w:rPr>
          <w:rFonts w:ascii="Book Antiqua" w:hAnsi="Book Antiqua"/>
          <w:sz w:val="24"/>
          <w:szCs w:val="24"/>
        </w:rPr>
        <w:t xml:space="preserve"> </w:t>
      </w:r>
      <w:r w:rsidR="00225E50">
        <w:rPr>
          <w:rFonts w:ascii="Book Antiqua" w:hAnsi="Book Antiqua"/>
          <w:sz w:val="24"/>
          <w:szCs w:val="24"/>
        </w:rPr>
        <w:t>I was concerned that there was no evidence to support this assertion and note that it was Mr Malik himself who represented the appellant at the First-tier Tribunal. However, at the outset of the hearing Mr Malik advised tha</w:t>
      </w:r>
      <w:r w:rsidR="00420E00">
        <w:rPr>
          <w:rFonts w:ascii="Book Antiqua" w:hAnsi="Book Antiqua"/>
          <w:sz w:val="24"/>
          <w:szCs w:val="24"/>
        </w:rPr>
        <w:t>t he had not drafted the grounds and was not pursuing this point.</w:t>
      </w:r>
    </w:p>
    <w:p w14:paraId="5ED8411F" w14:textId="44FCAB07" w:rsidR="008E07B0" w:rsidRDefault="00225E50" w:rsidP="00734691">
      <w:pPr>
        <w:numPr>
          <w:ilvl w:val="0"/>
          <w:numId w:val="1"/>
        </w:numPr>
        <w:jc w:val="both"/>
        <w:rPr>
          <w:rFonts w:ascii="Book Antiqua" w:hAnsi="Book Antiqua"/>
          <w:sz w:val="24"/>
          <w:szCs w:val="24"/>
        </w:rPr>
      </w:pPr>
      <w:r>
        <w:rPr>
          <w:rFonts w:ascii="Book Antiqua" w:hAnsi="Book Antiqua"/>
          <w:sz w:val="24"/>
          <w:szCs w:val="24"/>
        </w:rPr>
        <w:t xml:space="preserve">The </w:t>
      </w:r>
      <w:r w:rsidR="00420E00">
        <w:rPr>
          <w:rFonts w:ascii="Book Antiqua" w:hAnsi="Book Antiqua"/>
          <w:sz w:val="24"/>
          <w:szCs w:val="24"/>
        </w:rPr>
        <w:t xml:space="preserve">other </w:t>
      </w:r>
      <w:r>
        <w:rPr>
          <w:rFonts w:ascii="Book Antiqua" w:hAnsi="Book Antiqua"/>
          <w:sz w:val="24"/>
          <w:szCs w:val="24"/>
        </w:rPr>
        <w:t>grounds</w:t>
      </w:r>
      <w:r w:rsidR="00420E00">
        <w:rPr>
          <w:rFonts w:ascii="Book Antiqua" w:hAnsi="Book Antiqua"/>
          <w:sz w:val="24"/>
          <w:szCs w:val="24"/>
        </w:rPr>
        <w:t>,</w:t>
      </w:r>
      <w:r>
        <w:rPr>
          <w:rFonts w:ascii="Book Antiqua" w:hAnsi="Book Antiqua"/>
          <w:sz w:val="24"/>
          <w:szCs w:val="24"/>
        </w:rPr>
        <w:t xml:space="preserve"> as drafted</w:t>
      </w:r>
      <w:r w:rsidR="00420E00">
        <w:rPr>
          <w:rFonts w:ascii="Book Antiqua" w:hAnsi="Book Antiqua"/>
          <w:sz w:val="24"/>
          <w:szCs w:val="24"/>
        </w:rPr>
        <w:t>,</w:t>
      </w:r>
      <w:r w:rsidR="00391928">
        <w:rPr>
          <w:rFonts w:ascii="Book Antiqua" w:hAnsi="Book Antiqua"/>
          <w:sz w:val="24"/>
          <w:szCs w:val="24"/>
        </w:rPr>
        <w:t xml:space="preserve"> argued that the judge erred in overlooking significant evidence including the expert’s report, the GP’s letter of 7.11.19, and the sibling witness statement</w:t>
      </w:r>
      <w:r w:rsidR="003659BC">
        <w:rPr>
          <w:rFonts w:ascii="Book Antiqua" w:hAnsi="Book Antiqua"/>
          <w:sz w:val="24"/>
          <w:szCs w:val="24"/>
        </w:rPr>
        <w:t xml:space="preserve">, and failed to note that the sponsor did not require Social Services help when she was living with her son, daughter-in-law, and daughter. </w:t>
      </w:r>
    </w:p>
    <w:p w14:paraId="2F3B6280" w14:textId="56901784" w:rsidR="007C2683" w:rsidRDefault="00D806A7" w:rsidP="00734691">
      <w:pPr>
        <w:numPr>
          <w:ilvl w:val="0"/>
          <w:numId w:val="1"/>
        </w:numPr>
        <w:jc w:val="both"/>
        <w:rPr>
          <w:rFonts w:ascii="Book Antiqua" w:hAnsi="Book Antiqua"/>
          <w:sz w:val="24"/>
          <w:szCs w:val="24"/>
        </w:rPr>
      </w:pPr>
      <w:r>
        <w:rPr>
          <w:rFonts w:ascii="Book Antiqua" w:hAnsi="Book Antiqua"/>
          <w:sz w:val="24"/>
          <w:szCs w:val="24"/>
        </w:rPr>
        <w:t>In granting permission to appeal</w:t>
      </w:r>
      <w:r w:rsidR="007C2683">
        <w:rPr>
          <w:rFonts w:ascii="Book Antiqua" w:hAnsi="Book Antiqua"/>
          <w:sz w:val="24"/>
          <w:szCs w:val="24"/>
        </w:rPr>
        <w:t xml:space="preserve"> on all grounds</w:t>
      </w:r>
      <w:r>
        <w:rPr>
          <w:rFonts w:ascii="Book Antiqua" w:hAnsi="Book Antiqua"/>
          <w:sz w:val="24"/>
          <w:szCs w:val="24"/>
        </w:rPr>
        <w:t xml:space="preserve">, First-tier Tribunal Judge </w:t>
      </w:r>
      <w:proofErr w:type="spellStart"/>
      <w:r>
        <w:rPr>
          <w:rFonts w:ascii="Book Antiqua" w:hAnsi="Book Antiqua"/>
          <w:sz w:val="24"/>
          <w:szCs w:val="24"/>
        </w:rPr>
        <w:t>Haria</w:t>
      </w:r>
      <w:proofErr w:type="spellEnd"/>
      <w:r>
        <w:rPr>
          <w:rFonts w:ascii="Book Antiqua" w:hAnsi="Book Antiqua"/>
          <w:sz w:val="24"/>
          <w:szCs w:val="24"/>
        </w:rPr>
        <w:t xml:space="preserve"> considered it </w:t>
      </w:r>
      <w:r w:rsidR="007C2683">
        <w:rPr>
          <w:rFonts w:ascii="Book Antiqua" w:hAnsi="Book Antiqua"/>
          <w:sz w:val="24"/>
          <w:szCs w:val="24"/>
        </w:rPr>
        <w:t>“</w:t>
      </w:r>
      <w:r w:rsidRPr="007C2683">
        <w:rPr>
          <w:rFonts w:ascii="Book Antiqua" w:hAnsi="Book Antiqua"/>
          <w:i/>
          <w:iCs/>
          <w:sz w:val="24"/>
          <w:szCs w:val="24"/>
        </w:rPr>
        <w:t>arguable that although the judge noted the expert’s report [31], the judge erred as asserted and failed to consider the expert’s report and the GP’s letter dated 7 November 2019 and thus failed to correctly apply the test of compulsion.</w:t>
      </w:r>
      <w:r w:rsidR="007C2683">
        <w:rPr>
          <w:rFonts w:ascii="Book Antiqua" w:hAnsi="Book Antiqua"/>
          <w:sz w:val="24"/>
          <w:szCs w:val="24"/>
        </w:rPr>
        <w:t>”</w:t>
      </w:r>
      <w:r>
        <w:rPr>
          <w:rFonts w:ascii="Book Antiqua" w:hAnsi="Book Antiqua"/>
          <w:sz w:val="24"/>
          <w:szCs w:val="24"/>
        </w:rPr>
        <w:t xml:space="preserve"> </w:t>
      </w:r>
    </w:p>
    <w:p w14:paraId="70E3081B" w14:textId="0B6857E5" w:rsidR="0019437D" w:rsidRDefault="0019437D" w:rsidP="00734691">
      <w:pPr>
        <w:numPr>
          <w:ilvl w:val="0"/>
          <w:numId w:val="1"/>
        </w:numPr>
        <w:jc w:val="both"/>
        <w:rPr>
          <w:rFonts w:ascii="Book Antiqua" w:hAnsi="Book Antiqua"/>
          <w:sz w:val="24"/>
          <w:szCs w:val="24"/>
        </w:rPr>
      </w:pPr>
      <w:r>
        <w:rPr>
          <w:rFonts w:ascii="Book Antiqua" w:hAnsi="Book Antiqua"/>
          <w:sz w:val="24"/>
          <w:szCs w:val="24"/>
        </w:rPr>
        <w:t>At the hearing before me Mr Malik made 4 succinct points:</w:t>
      </w:r>
    </w:p>
    <w:p w14:paraId="3D00922E" w14:textId="455CBA30" w:rsidR="00EA7CD7" w:rsidRDefault="003557DC" w:rsidP="00EA7CD7">
      <w:pPr>
        <w:numPr>
          <w:ilvl w:val="1"/>
          <w:numId w:val="1"/>
        </w:numPr>
        <w:jc w:val="both"/>
        <w:rPr>
          <w:rFonts w:ascii="Book Antiqua" w:hAnsi="Book Antiqua"/>
          <w:sz w:val="24"/>
          <w:szCs w:val="24"/>
        </w:rPr>
      </w:pPr>
      <w:r>
        <w:rPr>
          <w:rFonts w:ascii="Book Antiqua" w:hAnsi="Book Antiqua"/>
          <w:sz w:val="24"/>
          <w:szCs w:val="24"/>
        </w:rPr>
        <w:t>The judge failed at [31] to consider the expert report or provide adequate reasons for ignoring it;</w:t>
      </w:r>
    </w:p>
    <w:p w14:paraId="5124D1FA" w14:textId="37B0C959" w:rsidR="003557DC" w:rsidRDefault="0080280E" w:rsidP="00EA7CD7">
      <w:pPr>
        <w:numPr>
          <w:ilvl w:val="1"/>
          <w:numId w:val="1"/>
        </w:numPr>
        <w:jc w:val="both"/>
        <w:rPr>
          <w:rFonts w:ascii="Book Antiqua" w:hAnsi="Book Antiqua"/>
          <w:sz w:val="24"/>
          <w:szCs w:val="24"/>
        </w:rPr>
      </w:pPr>
      <w:r>
        <w:rPr>
          <w:rFonts w:ascii="Book Antiqua" w:hAnsi="Book Antiqua"/>
          <w:sz w:val="24"/>
          <w:szCs w:val="24"/>
        </w:rPr>
        <w:t>The judge failed to take into account the impending change of circumstances, that if the appeal failed the appellant would be returning to Pakistan</w:t>
      </w:r>
      <w:r w:rsidR="00DB5D2E">
        <w:rPr>
          <w:rFonts w:ascii="Book Antiqua" w:hAnsi="Book Antiqua"/>
          <w:sz w:val="24"/>
          <w:szCs w:val="24"/>
        </w:rPr>
        <w:t xml:space="preserve"> and that the mother had said that in that </w:t>
      </w:r>
      <w:proofErr w:type="gramStart"/>
      <w:r w:rsidR="00DB5D2E">
        <w:rPr>
          <w:rFonts w:ascii="Book Antiqua" w:hAnsi="Book Antiqua"/>
          <w:sz w:val="24"/>
          <w:szCs w:val="24"/>
        </w:rPr>
        <w:t>case</w:t>
      </w:r>
      <w:proofErr w:type="gramEnd"/>
      <w:r w:rsidR="00DB5D2E">
        <w:rPr>
          <w:rFonts w:ascii="Book Antiqua" w:hAnsi="Book Antiqua"/>
          <w:sz w:val="24"/>
          <w:szCs w:val="24"/>
        </w:rPr>
        <w:t xml:space="preserve"> she would </w:t>
      </w:r>
      <w:r w:rsidR="00D04F5F">
        <w:rPr>
          <w:rFonts w:ascii="Book Antiqua" w:hAnsi="Book Antiqua"/>
          <w:sz w:val="24"/>
          <w:szCs w:val="24"/>
        </w:rPr>
        <w:t xml:space="preserve">want to </w:t>
      </w:r>
      <w:r w:rsidR="00DB5D2E">
        <w:rPr>
          <w:rFonts w:ascii="Book Antiqua" w:hAnsi="Book Antiqua"/>
          <w:sz w:val="24"/>
          <w:szCs w:val="24"/>
        </w:rPr>
        <w:t>follow him;</w:t>
      </w:r>
    </w:p>
    <w:p w14:paraId="5F8BB2B9" w14:textId="7DEC35AA" w:rsidR="00DB5D2E" w:rsidRDefault="00413C2A" w:rsidP="00EA7CD7">
      <w:pPr>
        <w:numPr>
          <w:ilvl w:val="1"/>
          <w:numId w:val="1"/>
        </w:numPr>
        <w:jc w:val="both"/>
        <w:rPr>
          <w:rFonts w:ascii="Book Antiqua" w:hAnsi="Book Antiqua"/>
          <w:sz w:val="24"/>
          <w:szCs w:val="24"/>
        </w:rPr>
      </w:pPr>
      <w:r>
        <w:rPr>
          <w:rFonts w:ascii="Book Antiqua" w:hAnsi="Book Antiqua"/>
          <w:sz w:val="24"/>
          <w:szCs w:val="24"/>
        </w:rPr>
        <w:t xml:space="preserve">The judge failed </w:t>
      </w:r>
      <w:r w:rsidR="00925290">
        <w:rPr>
          <w:rFonts w:ascii="Book Antiqua" w:hAnsi="Book Antiqua"/>
          <w:sz w:val="24"/>
          <w:szCs w:val="24"/>
        </w:rPr>
        <w:t xml:space="preserve">at [47] </w:t>
      </w:r>
      <w:r>
        <w:rPr>
          <w:rFonts w:ascii="Book Antiqua" w:hAnsi="Book Antiqua"/>
          <w:sz w:val="24"/>
          <w:szCs w:val="24"/>
        </w:rPr>
        <w:t>to take into account the sibling evidence</w:t>
      </w:r>
      <w:r w:rsidR="00925290">
        <w:rPr>
          <w:rFonts w:ascii="Book Antiqua" w:hAnsi="Book Antiqua"/>
          <w:sz w:val="24"/>
          <w:szCs w:val="24"/>
        </w:rPr>
        <w:t xml:space="preserve"> that they would be unable to support their mother;</w:t>
      </w:r>
    </w:p>
    <w:p w14:paraId="69D3C96B" w14:textId="6EA2F66B" w:rsidR="00925290" w:rsidRDefault="00A91F70" w:rsidP="00EA7CD7">
      <w:pPr>
        <w:numPr>
          <w:ilvl w:val="1"/>
          <w:numId w:val="1"/>
        </w:numPr>
        <w:jc w:val="both"/>
        <w:rPr>
          <w:rFonts w:ascii="Book Antiqua" w:hAnsi="Book Antiqua"/>
          <w:sz w:val="24"/>
          <w:szCs w:val="24"/>
        </w:rPr>
      </w:pPr>
      <w:r>
        <w:rPr>
          <w:rFonts w:ascii="Book Antiqua" w:hAnsi="Book Antiqua"/>
          <w:sz w:val="24"/>
          <w:szCs w:val="24"/>
        </w:rPr>
        <w:t>The judge took into account irrelevant matters, namely the immigration history of the sponsor and siblings</w:t>
      </w:r>
      <w:r w:rsidR="00AE4B1B">
        <w:rPr>
          <w:rFonts w:ascii="Book Antiqua" w:hAnsi="Book Antiqua"/>
          <w:sz w:val="24"/>
          <w:szCs w:val="24"/>
        </w:rPr>
        <w:t>, reference being made to [41] of the decision</w:t>
      </w:r>
      <w:r w:rsidR="00860EDD">
        <w:rPr>
          <w:rFonts w:ascii="Book Antiqua" w:hAnsi="Book Antiqua"/>
          <w:sz w:val="24"/>
          <w:szCs w:val="24"/>
        </w:rPr>
        <w:t>.</w:t>
      </w:r>
    </w:p>
    <w:p w14:paraId="76B1ED34" w14:textId="1CDA49B3" w:rsidR="00860EDD" w:rsidRDefault="00860EDD" w:rsidP="00734691">
      <w:pPr>
        <w:numPr>
          <w:ilvl w:val="0"/>
          <w:numId w:val="1"/>
        </w:numPr>
        <w:jc w:val="both"/>
        <w:rPr>
          <w:rFonts w:ascii="Book Antiqua" w:hAnsi="Book Antiqua"/>
          <w:sz w:val="24"/>
          <w:szCs w:val="24"/>
        </w:rPr>
      </w:pPr>
      <w:r>
        <w:rPr>
          <w:rFonts w:ascii="Book Antiqua" w:hAnsi="Book Antiqua"/>
          <w:sz w:val="24"/>
          <w:szCs w:val="24"/>
        </w:rPr>
        <w:t>In reply, Ms Pettersen submitted that the judge was not obliged to address every p</w:t>
      </w:r>
      <w:r w:rsidR="00EE58DE">
        <w:rPr>
          <w:rFonts w:ascii="Book Antiqua" w:hAnsi="Book Antiqua"/>
          <w:sz w:val="24"/>
          <w:szCs w:val="24"/>
        </w:rPr>
        <w:t>art of the medical evidence, a lot of which confirmed the uncontentious medical condition of the sponsor</w:t>
      </w:r>
      <w:r w:rsidR="00652C07">
        <w:rPr>
          <w:rFonts w:ascii="Book Antiqua" w:hAnsi="Book Antiqua"/>
          <w:sz w:val="24"/>
          <w:szCs w:val="24"/>
        </w:rPr>
        <w:t xml:space="preserve">. It was clear from the decision that the </w:t>
      </w:r>
      <w:r w:rsidR="00FE39C2">
        <w:rPr>
          <w:rFonts w:ascii="Book Antiqua" w:hAnsi="Book Antiqua"/>
          <w:sz w:val="24"/>
          <w:szCs w:val="24"/>
        </w:rPr>
        <w:t xml:space="preserve">judge was fully aware of the </w:t>
      </w:r>
      <w:r w:rsidR="00652C07">
        <w:rPr>
          <w:rFonts w:ascii="Book Antiqua" w:hAnsi="Book Antiqua"/>
          <w:sz w:val="24"/>
          <w:szCs w:val="24"/>
        </w:rPr>
        <w:t xml:space="preserve">evidence </w:t>
      </w:r>
      <w:r w:rsidR="00FE39C2">
        <w:rPr>
          <w:rFonts w:ascii="Book Antiqua" w:hAnsi="Book Antiqua"/>
          <w:sz w:val="24"/>
          <w:szCs w:val="24"/>
        </w:rPr>
        <w:t xml:space="preserve">and that it </w:t>
      </w:r>
      <w:r w:rsidR="00652C07">
        <w:rPr>
          <w:rFonts w:ascii="Book Antiqua" w:hAnsi="Book Antiqua"/>
          <w:sz w:val="24"/>
          <w:szCs w:val="24"/>
        </w:rPr>
        <w:t>had been taken into account</w:t>
      </w:r>
      <w:r w:rsidR="00FE39C2">
        <w:rPr>
          <w:rFonts w:ascii="Book Antiqua" w:hAnsi="Book Antiqua"/>
          <w:sz w:val="24"/>
          <w:szCs w:val="24"/>
        </w:rPr>
        <w:t xml:space="preserve">. </w:t>
      </w:r>
      <w:r w:rsidR="00EE77BE">
        <w:rPr>
          <w:rFonts w:ascii="Book Antiqua" w:hAnsi="Book Antiqua"/>
          <w:sz w:val="24"/>
          <w:szCs w:val="24"/>
        </w:rPr>
        <w:t xml:space="preserve">With regard to the sibling evidence, Ms Pettersen </w:t>
      </w:r>
      <w:r w:rsidR="00444BC6">
        <w:rPr>
          <w:rFonts w:ascii="Book Antiqua" w:hAnsi="Book Antiqua"/>
          <w:sz w:val="24"/>
          <w:szCs w:val="24"/>
        </w:rPr>
        <w:lastRenderedPageBreak/>
        <w:t>pointed out that previously the sponsor had ga</w:t>
      </w:r>
      <w:r w:rsidR="007B5ABD">
        <w:rPr>
          <w:rFonts w:ascii="Book Antiqua" w:hAnsi="Book Antiqua"/>
          <w:sz w:val="24"/>
          <w:szCs w:val="24"/>
        </w:rPr>
        <w:t xml:space="preserve">ined residence by asserting dependence on </w:t>
      </w:r>
      <w:r w:rsidR="005806B2">
        <w:rPr>
          <w:rFonts w:ascii="Book Antiqua" w:hAnsi="Book Antiqua"/>
          <w:sz w:val="24"/>
          <w:szCs w:val="24"/>
        </w:rPr>
        <w:t>her other son and his</w:t>
      </w:r>
      <w:r w:rsidR="007B5ABD">
        <w:rPr>
          <w:rFonts w:ascii="Book Antiqua" w:hAnsi="Book Antiqua"/>
          <w:sz w:val="24"/>
          <w:szCs w:val="24"/>
        </w:rPr>
        <w:t xml:space="preserve"> wife</w:t>
      </w:r>
      <w:r w:rsidR="0068517C">
        <w:rPr>
          <w:rFonts w:ascii="Book Antiqua" w:hAnsi="Book Antiqua"/>
          <w:sz w:val="24"/>
          <w:szCs w:val="24"/>
        </w:rPr>
        <w:t xml:space="preserve"> and did not require </w:t>
      </w:r>
      <w:r w:rsidR="00B76723">
        <w:rPr>
          <w:rFonts w:ascii="Book Antiqua" w:hAnsi="Book Antiqua"/>
          <w:sz w:val="24"/>
          <w:szCs w:val="24"/>
        </w:rPr>
        <w:t>any additional help when living with other family members</w:t>
      </w:r>
      <w:r w:rsidR="00D01474">
        <w:rPr>
          <w:rFonts w:ascii="Book Antiqua" w:hAnsi="Book Antiqua"/>
          <w:sz w:val="24"/>
          <w:szCs w:val="24"/>
        </w:rPr>
        <w:t xml:space="preserve">. It was submitted that it was open to the judge to look at the wider family history. </w:t>
      </w:r>
    </w:p>
    <w:p w14:paraId="7F605B6F" w14:textId="77777777" w:rsidR="00D12848" w:rsidRDefault="00D12848" w:rsidP="00D12848">
      <w:pPr>
        <w:numPr>
          <w:ilvl w:val="0"/>
          <w:numId w:val="1"/>
        </w:numPr>
        <w:jc w:val="both"/>
        <w:rPr>
          <w:rFonts w:ascii="Book Antiqua" w:hAnsi="Book Antiqua"/>
          <w:sz w:val="24"/>
          <w:szCs w:val="24"/>
        </w:rPr>
      </w:pPr>
      <w:r>
        <w:rPr>
          <w:rFonts w:ascii="Book Antiqua" w:hAnsi="Book Antiqua"/>
          <w:sz w:val="24"/>
          <w:szCs w:val="24"/>
        </w:rPr>
        <w:t>I have carefully considered the impugned decision in the light of these submissions as well as those parts of the documentary evidence drawn to my attention before making my decision. I set out below my reasons for finding no error of law in the decision of the First-tier Tribunal.</w:t>
      </w:r>
    </w:p>
    <w:p w14:paraId="41472313" w14:textId="1400F75F" w:rsidR="00387528" w:rsidRPr="00762C05" w:rsidRDefault="007763C0" w:rsidP="00387528">
      <w:pPr>
        <w:numPr>
          <w:ilvl w:val="0"/>
          <w:numId w:val="1"/>
        </w:numPr>
        <w:jc w:val="both"/>
        <w:rPr>
          <w:rFonts w:ascii="Book Antiqua" w:hAnsi="Book Antiqua"/>
          <w:sz w:val="24"/>
          <w:szCs w:val="24"/>
        </w:rPr>
      </w:pPr>
      <w:r>
        <w:rPr>
          <w:rFonts w:ascii="Book Antiqua" w:eastAsia="Times New Roman" w:hAnsi="Book Antiqua" w:cs="Arial"/>
          <w:sz w:val="24"/>
          <w:szCs w:val="24"/>
        </w:rPr>
        <w:t xml:space="preserve">I first bear in mind that </w:t>
      </w:r>
      <w:r w:rsidR="005F2821">
        <w:rPr>
          <w:rFonts w:ascii="Book Antiqua" w:eastAsia="Times New Roman" w:hAnsi="Book Antiqua" w:cs="Arial"/>
          <w:sz w:val="24"/>
          <w:szCs w:val="24"/>
        </w:rPr>
        <w:t xml:space="preserve">weight to be accorded to evidence is a matter entirely for the judge. Further, </w:t>
      </w:r>
      <w:r w:rsidR="00043827">
        <w:rPr>
          <w:rFonts w:ascii="Book Antiqua" w:eastAsia="Times New Roman" w:hAnsi="Book Antiqua" w:cs="Arial"/>
          <w:sz w:val="24"/>
          <w:szCs w:val="24"/>
        </w:rPr>
        <w:t xml:space="preserve">that the judge is not required to address every issue, provided that it is clear that the evidence has been considered </w:t>
      </w:r>
      <w:r w:rsidR="00D705C2">
        <w:rPr>
          <w:rFonts w:ascii="Book Antiqua" w:eastAsia="Times New Roman" w:hAnsi="Book Antiqua" w:cs="Arial"/>
          <w:sz w:val="24"/>
          <w:szCs w:val="24"/>
        </w:rPr>
        <w:t>in the round and cogent reasons are given for the findings made and conclusions reached. T</w:t>
      </w:r>
      <w:r>
        <w:rPr>
          <w:rFonts w:ascii="Book Antiqua" w:eastAsia="Times New Roman" w:hAnsi="Book Antiqua" w:cs="Arial"/>
          <w:sz w:val="24"/>
          <w:szCs w:val="24"/>
        </w:rPr>
        <w:t>here is a difference between</w:t>
      </w:r>
      <w:r w:rsidR="005F2821">
        <w:rPr>
          <w:rFonts w:ascii="Book Antiqua" w:eastAsia="Times New Roman" w:hAnsi="Book Antiqua" w:cs="Arial"/>
          <w:sz w:val="24"/>
          <w:szCs w:val="24"/>
        </w:rPr>
        <w:t xml:space="preserve"> </w:t>
      </w:r>
      <w:r w:rsidR="007941CB">
        <w:rPr>
          <w:rFonts w:ascii="Book Antiqua" w:eastAsia="Times New Roman" w:hAnsi="Book Antiqua" w:cs="Arial"/>
          <w:sz w:val="24"/>
          <w:szCs w:val="24"/>
        </w:rPr>
        <w:t>a mere disagreement as to the conclusions reached and</w:t>
      </w:r>
      <w:r w:rsidR="006D0C96">
        <w:rPr>
          <w:rFonts w:ascii="Book Antiqua" w:eastAsia="Times New Roman" w:hAnsi="Book Antiqua" w:cs="Arial"/>
          <w:sz w:val="24"/>
          <w:szCs w:val="24"/>
        </w:rPr>
        <w:t xml:space="preserve"> an error of law in failing to take into account evidence. In</w:t>
      </w:r>
      <w:r w:rsidR="007941CB">
        <w:rPr>
          <w:rFonts w:ascii="Book Antiqua" w:eastAsia="Times New Roman" w:hAnsi="Book Antiqua" w:cs="Arial"/>
          <w:sz w:val="24"/>
          <w:szCs w:val="24"/>
        </w:rPr>
        <w:t xml:space="preserve"> </w:t>
      </w:r>
      <w:proofErr w:type="spellStart"/>
      <w:r w:rsidR="00387528" w:rsidRPr="00762C05">
        <w:rPr>
          <w:rFonts w:ascii="Book Antiqua" w:eastAsia="Times New Roman" w:hAnsi="Book Antiqua" w:cs="Arial"/>
          <w:sz w:val="24"/>
          <w:szCs w:val="24"/>
          <w:u w:val="single"/>
        </w:rPr>
        <w:t>Durueke</w:t>
      </w:r>
      <w:proofErr w:type="spellEnd"/>
      <w:r w:rsidR="00387528" w:rsidRPr="00762C05">
        <w:rPr>
          <w:rFonts w:ascii="Book Antiqua" w:eastAsia="Times New Roman" w:hAnsi="Book Antiqua" w:cs="Arial"/>
          <w:sz w:val="24"/>
          <w:szCs w:val="24"/>
          <w:u w:val="single"/>
        </w:rPr>
        <w:t xml:space="preserve"> (PTA: AZ applied, proper approach)</w:t>
      </w:r>
      <w:r w:rsidR="00387528" w:rsidRPr="00762C05">
        <w:rPr>
          <w:rFonts w:ascii="Book Antiqua" w:eastAsia="Times New Roman" w:hAnsi="Book Antiqua" w:cs="Arial"/>
          <w:sz w:val="24"/>
          <w:szCs w:val="24"/>
        </w:rPr>
        <w:t xml:space="preserve"> [2018] UKUT 00197 (IAC), the Upper Tribunal held that “</w:t>
      </w:r>
      <w:r w:rsidR="00387528" w:rsidRPr="00762C05">
        <w:rPr>
          <w:rFonts w:ascii="Book Antiqua" w:eastAsia="Times New Roman" w:hAnsi="Book Antiqua" w:cs="Arial"/>
          <w:i/>
          <w:iCs/>
          <w:sz w:val="24"/>
          <w:szCs w:val="24"/>
        </w:rPr>
        <w:t>permission should only be granted on the basis that the judge who decided the appeal gave insufficient weight to a particular aspect of the case if it can properly be said that as a consequence the judge who decided the appeal has arguably made an irrational decision.</w:t>
      </w:r>
      <w:r w:rsidR="00387528" w:rsidRPr="00762C05">
        <w:rPr>
          <w:rFonts w:ascii="Book Antiqua" w:eastAsia="Times New Roman" w:hAnsi="Book Antiqua" w:cs="Arial"/>
          <w:sz w:val="24"/>
          <w:szCs w:val="24"/>
        </w:rPr>
        <w:t>” Further, “</w:t>
      </w:r>
      <w:r w:rsidR="00387528" w:rsidRPr="00762C05">
        <w:rPr>
          <w:rFonts w:ascii="Book Antiqua" w:eastAsia="Times New Roman" w:hAnsi="Book Antiqua" w:cs="Arial"/>
          <w:i/>
          <w:iCs/>
          <w:sz w:val="24"/>
          <w:szCs w:val="24"/>
        </w:rPr>
        <w:t>Particular care should be taken before granting permission on the ground that the judge who decided the appeal did not “sufficiently consider” or “sufficiently analyse” certain evidence or certain aspects of a case. Such complaints often turn out to be mere disagreements with the reasoning of the judge who decided the appeal because the implication is that the evidence or point in question was considered by the judge who decided the appeal but not to the extent desired by the author of the grounds or the judge considering the application for permission. Permission should usually only be granted on such grounds if it is possible to state precisely how the assessment of the judge who decided the appeal is arguably lacking and why this is arguably material</w:t>
      </w:r>
      <w:r w:rsidR="00387528" w:rsidRPr="00762C05">
        <w:rPr>
          <w:rFonts w:ascii="Book Antiqua" w:eastAsia="Times New Roman" w:hAnsi="Book Antiqua" w:cs="Arial"/>
          <w:sz w:val="24"/>
          <w:szCs w:val="24"/>
        </w:rPr>
        <w:t>.”</w:t>
      </w:r>
    </w:p>
    <w:p w14:paraId="740747EA" w14:textId="4B96FDAD" w:rsidR="003664AF" w:rsidRDefault="00A47336" w:rsidP="00734691">
      <w:pPr>
        <w:numPr>
          <w:ilvl w:val="0"/>
          <w:numId w:val="1"/>
        </w:numPr>
        <w:jc w:val="both"/>
        <w:rPr>
          <w:rFonts w:ascii="Book Antiqua" w:hAnsi="Book Antiqua"/>
          <w:sz w:val="24"/>
          <w:szCs w:val="24"/>
        </w:rPr>
      </w:pPr>
      <w:r>
        <w:rPr>
          <w:rFonts w:ascii="Book Antiqua" w:hAnsi="Book Antiqua"/>
          <w:sz w:val="24"/>
          <w:szCs w:val="24"/>
        </w:rPr>
        <w:t xml:space="preserve">In assessing the credibility of the claim that if the appellant were required to leave the UK </w:t>
      </w:r>
      <w:r w:rsidR="00D22238">
        <w:rPr>
          <w:rFonts w:ascii="Book Antiqua" w:hAnsi="Book Antiqua"/>
          <w:sz w:val="24"/>
          <w:szCs w:val="24"/>
        </w:rPr>
        <w:t xml:space="preserve">he would take the sponsor with him to Pakistan, at [41] of the decision the judge </w:t>
      </w:r>
      <w:r w:rsidR="0005635B">
        <w:rPr>
          <w:rFonts w:ascii="Book Antiqua" w:hAnsi="Book Antiqua"/>
          <w:sz w:val="24"/>
          <w:szCs w:val="24"/>
        </w:rPr>
        <w:t>stated, “</w:t>
      </w:r>
      <w:r w:rsidR="0005635B" w:rsidRPr="0005635B">
        <w:rPr>
          <w:rFonts w:ascii="Book Antiqua" w:hAnsi="Book Antiqua"/>
          <w:i/>
          <w:iCs/>
          <w:sz w:val="24"/>
          <w:szCs w:val="24"/>
        </w:rPr>
        <w:t>Before I find whether I should accept those declarations as credible, I need to put them in the context of this family’s immigration history, the circumstances in which the sponsor was living in the UK and what awaited her if she made the choice to accompany the appellant to Pakistan.</w:t>
      </w:r>
      <w:r w:rsidR="0005635B">
        <w:rPr>
          <w:rFonts w:ascii="Book Antiqua" w:hAnsi="Book Antiqua"/>
          <w:sz w:val="24"/>
          <w:szCs w:val="24"/>
        </w:rPr>
        <w:t xml:space="preserve">” </w:t>
      </w:r>
      <w:r w:rsidR="00420A09">
        <w:rPr>
          <w:rFonts w:ascii="Book Antiqua" w:hAnsi="Book Antiqua"/>
          <w:sz w:val="24"/>
          <w:szCs w:val="24"/>
        </w:rPr>
        <w:t>The grounds and Mr Malik’s submissions</w:t>
      </w:r>
      <w:r w:rsidR="00A9472A">
        <w:rPr>
          <w:rFonts w:ascii="Book Antiqua" w:hAnsi="Book Antiqua"/>
          <w:sz w:val="24"/>
          <w:szCs w:val="24"/>
        </w:rPr>
        <w:t xml:space="preserve"> argued that such a consideration is not in line with the Regulations, that </w:t>
      </w:r>
      <w:r w:rsidR="003664AF">
        <w:rPr>
          <w:rFonts w:ascii="Book Antiqua" w:hAnsi="Book Antiqua"/>
          <w:sz w:val="24"/>
          <w:szCs w:val="24"/>
        </w:rPr>
        <w:t xml:space="preserve">it is contrary to what the judge had agreed, and that it deprived the appellant of the opportunity to satisfy the judge on any concerns arising from the immigration history. </w:t>
      </w:r>
    </w:p>
    <w:p w14:paraId="7915B081" w14:textId="1862396C" w:rsidR="00FA7332" w:rsidRDefault="00E1657F" w:rsidP="00734691">
      <w:pPr>
        <w:numPr>
          <w:ilvl w:val="0"/>
          <w:numId w:val="1"/>
        </w:numPr>
        <w:jc w:val="both"/>
        <w:rPr>
          <w:rFonts w:ascii="Book Antiqua" w:hAnsi="Book Antiqua"/>
          <w:sz w:val="24"/>
          <w:szCs w:val="24"/>
        </w:rPr>
      </w:pPr>
      <w:r>
        <w:rPr>
          <w:rFonts w:ascii="Book Antiqua" w:hAnsi="Book Antiqua"/>
          <w:sz w:val="24"/>
          <w:szCs w:val="24"/>
        </w:rPr>
        <w:t xml:space="preserve">Whilst past immigration history is not a criteria under Regulation 16(5), it was certainly open to the judge </w:t>
      </w:r>
      <w:r w:rsidR="00C77FBF">
        <w:rPr>
          <w:rFonts w:ascii="Book Antiqua" w:hAnsi="Book Antiqua"/>
          <w:sz w:val="24"/>
          <w:szCs w:val="24"/>
        </w:rPr>
        <w:t xml:space="preserve">to take into account the immigration history when </w:t>
      </w:r>
      <w:r>
        <w:rPr>
          <w:rFonts w:ascii="Book Antiqua" w:hAnsi="Book Antiqua"/>
          <w:sz w:val="24"/>
          <w:szCs w:val="24"/>
        </w:rPr>
        <w:t>considering the credibility of the claim that the sponsor would return to Pakistan with the appellant</w:t>
      </w:r>
      <w:r w:rsidR="00C77FBF">
        <w:rPr>
          <w:rFonts w:ascii="Book Antiqua" w:hAnsi="Book Antiqua"/>
          <w:sz w:val="24"/>
          <w:szCs w:val="24"/>
        </w:rPr>
        <w:t xml:space="preserve">; </w:t>
      </w:r>
      <w:r w:rsidR="009D5689">
        <w:rPr>
          <w:rFonts w:ascii="Book Antiqua" w:hAnsi="Book Antiqua"/>
          <w:sz w:val="24"/>
          <w:szCs w:val="24"/>
        </w:rPr>
        <w:t xml:space="preserve">I am satisfied that </w:t>
      </w:r>
      <w:r w:rsidR="00C77FBF">
        <w:rPr>
          <w:rFonts w:ascii="Book Antiqua" w:hAnsi="Book Antiqua"/>
          <w:sz w:val="24"/>
          <w:szCs w:val="24"/>
        </w:rPr>
        <w:t>t</w:t>
      </w:r>
      <w:r w:rsidR="005466E3">
        <w:rPr>
          <w:rFonts w:ascii="Book Antiqua" w:hAnsi="Book Antiqua"/>
          <w:sz w:val="24"/>
          <w:szCs w:val="24"/>
        </w:rPr>
        <w:t xml:space="preserve">here is no error in that regard. </w:t>
      </w:r>
    </w:p>
    <w:p w14:paraId="084E391D" w14:textId="77777777" w:rsidR="00A86F0D" w:rsidRDefault="000B5C1D" w:rsidP="00734691">
      <w:pPr>
        <w:numPr>
          <w:ilvl w:val="0"/>
          <w:numId w:val="1"/>
        </w:numPr>
        <w:jc w:val="both"/>
        <w:rPr>
          <w:rFonts w:ascii="Book Antiqua" w:hAnsi="Book Antiqua"/>
          <w:sz w:val="24"/>
          <w:szCs w:val="24"/>
        </w:rPr>
      </w:pPr>
      <w:r>
        <w:rPr>
          <w:rFonts w:ascii="Book Antiqua" w:hAnsi="Book Antiqua"/>
          <w:sz w:val="24"/>
          <w:szCs w:val="24"/>
        </w:rPr>
        <w:t>In relation to the expert report</w:t>
      </w:r>
      <w:r w:rsidR="00A66EB8">
        <w:rPr>
          <w:rFonts w:ascii="Book Antiqua" w:hAnsi="Book Antiqua"/>
          <w:sz w:val="24"/>
          <w:szCs w:val="24"/>
        </w:rPr>
        <w:t>,</w:t>
      </w:r>
      <w:r>
        <w:rPr>
          <w:rFonts w:ascii="Book Antiqua" w:hAnsi="Book Antiqua"/>
          <w:sz w:val="24"/>
          <w:szCs w:val="24"/>
        </w:rPr>
        <w:t xml:space="preserve"> I note that </w:t>
      </w:r>
      <w:r w:rsidR="00FC1969">
        <w:rPr>
          <w:rFonts w:ascii="Book Antiqua" w:hAnsi="Book Antiqua"/>
          <w:sz w:val="24"/>
          <w:szCs w:val="24"/>
        </w:rPr>
        <w:t xml:space="preserve">Dr </w:t>
      </w:r>
      <w:proofErr w:type="spellStart"/>
      <w:r w:rsidR="00FC1969">
        <w:rPr>
          <w:rFonts w:ascii="Book Antiqua" w:hAnsi="Book Antiqua"/>
          <w:sz w:val="24"/>
          <w:szCs w:val="24"/>
        </w:rPr>
        <w:t>Waheed</w:t>
      </w:r>
      <w:proofErr w:type="spellEnd"/>
      <w:r w:rsidR="00AD3E2C">
        <w:rPr>
          <w:rFonts w:ascii="Book Antiqua" w:hAnsi="Book Antiqua"/>
          <w:sz w:val="24"/>
          <w:szCs w:val="24"/>
        </w:rPr>
        <w:t xml:space="preserve"> is </w:t>
      </w:r>
      <w:r w:rsidR="00A86F0D">
        <w:rPr>
          <w:rFonts w:ascii="Book Antiqua" w:hAnsi="Book Antiqua"/>
          <w:sz w:val="24"/>
          <w:szCs w:val="24"/>
        </w:rPr>
        <w:t>a GP</w:t>
      </w:r>
      <w:r w:rsidR="00AD3E2C">
        <w:rPr>
          <w:rFonts w:ascii="Book Antiqua" w:hAnsi="Book Antiqua"/>
          <w:sz w:val="24"/>
          <w:szCs w:val="24"/>
        </w:rPr>
        <w:t xml:space="preserve"> and not a consultant</w:t>
      </w:r>
      <w:r w:rsidR="00A86F0D">
        <w:rPr>
          <w:rFonts w:ascii="Book Antiqua" w:hAnsi="Book Antiqua"/>
          <w:sz w:val="24"/>
          <w:szCs w:val="24"/>
        </w:rPr>
        <w:t xml:space="preserve"> </w:t>
      </w:r>
      <w:r w:rsidR="003350BF">
        <w:rPr>
          <w:rFonts w:ascii="Book Antiqua" w:hAnsi="Book Antiqua"/>
          <w:sz w:val="24"/>
          <w:szCs w:val="24"/>
        </w:rPr>
        <w:t xml:space="preserve">and </w:t>
      </w:r>
      <w:r w:rsidR="00A86F0D">
        <w:rPr>
          <w:rFonts w:ascii="Book Antiqua" w:hAnsi="Book Antiqua"/>
          <w:sz w:val="24"/>
          <w:szCs w:val="24"/>
        </w:rPr>
        <w:t xml:space="preserve">that </w:t>
      </w:r>
      <w:r w:rsidR="003350BF">
        <w:rPr>
          <w:rFonts w:ascii="Book Antiqua" w:hAnsi="Book Antiqua"/>
          <w:sz w:val="24"/>
          <w:szCs w:val="24"/>
        </w:rPr>
        <w:t>her specialisation qualifications appear to relate to gynaecology and obstetrics</w:t>
      </w:r>
      <w:r w:rsidR="00ED788A">
        <w:rPr>
          <w:rFonts w:ascii="Book Antiqua" w:hAnsi="Book Antiqua"/>
          <w:sz w:val="24"/>
          <w:szCs w:val="24"/>
        </w:rPr>
        <w:t xml:space="preserve">. </w:t>
      </w:r>
      <w:r w:rsidR="0014038C">
        <w:rPr>
          <w:rFonts w:ascii="Book Antiqua" w:hAnsi="Book Antiqua"/>
          <w:sz w:val="24"/>
          <w:szCs w:val="24"/>
        </w:rPr>
        <w:t xml:space="preserve"> </w:t>
      </w:r>
      <w:r w:rsidR="0014038C">
        <w:rPr>
          <w:rFonts w:ascii="Book Antiqua" w:hAnsi="Book Antiqua"/>
          <w:sz w:val="24"/>
          <w:szCs w:val="24"/>
        </w:rPr>
        <w:lastRenderedPageBreak/>
        <w:t>However, I accepted Mr Malik’s submission that she was a registered forensic examiner</w:t>
      </w:r>
      <w:r w:rsidR="00A86F0D">
        <w:rPr>
          <w:rFonts w:ascii="Book Antiqua" w:hAnsi="Book Antiqua"/>
          <w:sz w:val="24"/>
          <w:szCs w:val="24"/>
        </w:rPr>
        <w:t xml:space="preserve"> and for the purposes of this case can be regarded as an expert</w:t>
      </w:r>
      <w:r w:rsidR="0014038C">
        <w:rPr>
          <w:rFonts w:ascii="Book Antiqua" w:hAnsi="Book Antiqua"/>
          <w:sz w:val="24"/>
          <w:szCs w:val="24"/>
        </w:rPr>
        <w:t xml:space="preserve">. </w:t>
      </w:r>
    </w:p>
    <w:p w14:paraId="4D2811A2" w14:textId="715030B2" w:rsidR="000B5C1D" w:rsidRDefault="00A86F0D" w:rsidP="00734691">
      <w:pPr>
        <w:numPr>
          <w:ilvl w:val="0"/>
          <w:numId w:val="1"/>
        </w:numPr>
        <w:jc w:val="both"/>
        <w:rPr>
          <w:rFonts w:ascii="Book Antiqua" w:hAnsi="Book Antiqua"/>
          <w:sz w:val="24"/>
          <w:szCs w:val="24"/>
        </w:rPr>
      </w:pPr>
      <w:r>
        <w:rPr>
          <w:rFonts w:ascii="Book Antiqua" w:hAnsi="Book Antiqua"/>
          <w:sz w:val="24"/>
          <w:szCs w:val="24"/>
        </w:rPr>
        <w:t>Nevertheless, I observe that t</w:t>
      </w:r>
      <w:r w:rsidR="00ED788A">
        <w:rPr>
          <w:rFonts w:ascii="Book Antiqua" w:hAnsi="Book Antiqua"/>
          <w:sz w:val="24"/>
          <w:szCs w:val="24"/>
        </w:rPr>
        <w:t xml:space="preserve">he </w:t>
      </w:r>
      <w:r>
        <w:rPr>
          <w:rFonts w:ascii="Book Antiqua" w:hAnsi="Book Antiqua"/>
          <w:sz w:val="24"/>
          <w:szCs w:val="24"/>
        </w:rPr>
        <w:t>‘</w:t>
      </w:r>
      <w:r w:rsidR="00ED788A">
        <w:rPr>
          <w:rFonts w:ascii="Book Antiqua" w:hAnsi="Book Antiqua"/>
          <w:sz w:val="24"/>
          <w:szCs w:val="24"/>
        </w:rPr>
        <w:t>Summary and Opinion</w:t>
      </w:r>
      <w:r>
        <w:rPr>
          <w:rFonts w:ascii="Book Antiqua" w:hAnsi="Book Antiqua"/>
          <w:sz w:val="24"/>
          <w:szCs w:val="24"/>
        </w:rPr>
        <w:t>’</w:t>
      </w:r>
      <w:r w:rsidR="00ED788A">
        <w:rPr>
          <w:rFonts w:ascii="Book Antiqua" w:hAnsi="Book Antiqua"/>
          <w:sz w:val="24"/>
          <w:szCs w:val="24"/>
        </w:rPr>
        <w:t xml:space="preserve"> does not state that </w:t>
      </w:r>
      <w:r w:rsidR="0074464A">
        <w:rPr>
          <w:rFonts w:ascii="Book Antiqua" w:hAnsi="Book Antiqua"/>
          <w:sz w:val="24"/>
          <w:szCs w:val="24"/>
        </w:rPr>
        <w:t xml:space="preserve">the sponsor would be unable to remain in the UK and receive the care she needs if the appellant were removed from the UK. </w:t>
      </w:r>
      <w:r w:rsidR="00B3664E">
        <w:rPr>
          <w:rFonts w:ascii="Book Antiqua" w:hAnsi="Book Antiqua"/>
          <w:sz w:val="24"/>
          <w:szCs w:val="24"/>
        </w:rPr>
        <w:t>Amongst other ailments of age, s</w:t>
      </w:r>
      <w:r w:rsidR="00A5356B">
        <w:rPr>
          <w:rFonts w:ascii="Book Antiqua" w:hAnsi="Book Antiqua"/>
          <w:sz w:val="24"/>
          <w:szCs w:val="24"/>
        </w:rPr>
        <w:t>he suffers from arthritis in her shoulders and knees</w:t>
      </w:r>
      <w:r w:rsidR="00B3664E">
        <w:rPr>
          <w:rFonts w:ascii="Book Antiqua" w:hAnsi="Book Antiqua"/>
          <w:sz w:val="24"/>
          <w:szCs w:val="24"/>
        </w:rPr>
        <w:t>.</w:t>
      </w:r>
      <w:r w:rsidR="00A5356B">
        <w:rPr>
          <w:rFonts w:ascii="Book Antiqua" w:hAnsi="Book Antiqua"/>
          <w:sz w:val="24"/>
          <w:szCs w:val="24"/>
        </w:rPr>
        <w:t xml:space="preserve"> </w:t>
      </w:r>
      <w:r w:rsidR="0074464A">
        <w:rPr>
          <w:rFonts w:ascii="Book Antiqua" w:hAnsi="Book Antiqua"/>
          <w:sz w:val="24"/>
          <w:szCs w:val="24"/>
        </w:rPr>
        <w:t>Whilst she is said to be reliant on the appellant</w:t>
      </w:r>
      <w:r w:rsidR="00A5356B">
        <w:rPr>
          <w:rFonts w:ascii="Book Antiqua" w:hAnsi="Book Antiqua"/>
          <w:sz w:val="24"/>
          <w:szCs w:val="24"/>
        </w:rPr>
        <w:t xml:space="preserve">, the report notes that social services </w:t>
      </w:r>
      <w:r w:rsidR="00F840DE">
        <w:rPr>
          <w:rFonts w:ascii="Book Antiqua" w:hAnsi="Book Antiqua"/>
          <w:sz w:val="24"/>
          <w:szCs w:val="24"/>
        </w:rPr>
        <w:t>did not deem 24</w:t>
      </w:r>
      <w:r w:rsidR="00B3664E">
        <w:rPr>
          <w:rFonts w:ascii="Book Antiqua" w:hAnsi="Book Antiqua"/>
          <w:sz w:val="24"/>
          <w:szCs w:val="24"/>
        </w:rPr>
        <w:t>-</w:t>
      </w:r>
      <w:r w:rsidR="00F840DE">
        <w:rPr>
          <w:rFonts w:ascii="Book Antiqua" w:hAnsi="Book Antiqua"/>
          <w:sz w:val="24"/>
          <w:szCs w:val="24"/>
        </w:rPr>
        <w:t>hour care necessary, but suggested that carers could attend several times a day and wear a nappy</w:t>
      </w:r>
      <w:r w:rsidR="00E10A67">
        <w:rPr>
          <w:rFonts w:ascii="Book Antiqua" w:hAnsi="Book Antiqua"/>
          <w:sz w:val="24"/>
          <w:szCs w:val="24"/>
        </w:rPr>
        <w:t xml:space="preserve"> to help manage her toileting requirements</w:t>
      </w:r>
      <w:r w:rsidR="00F840DE">
        <w:rPr>
          <w:rFonts w:ascii="Book Antiqua" w:hAnsi="Book Antiqua"/>
          <w:sz w:val="24"/>
          <w:szCs w:val="24"/>
        </w:rPr>
        <w:t xml:space="preserve">. The opinion of Dr </w:t>
      </w:r>
      <w:proofErr w:type="spellStart"/>
      <w:r w:rsidR="00F840DE">
        <w:rPr>
          <w:rFonts w:ascii="Book Antiqua" w:hAnsi="Book Antiqua"/>
          <w:sz w:val="24"/>
          <w:szCs w:val="24"/>
        </w:rPr>
        <w:t>Waheed</w:t>
      </w:r>
      <w:proofErr w:type="spellEnd"/>
      <w:r w:rsidR="00F840DE">
        <w:rPr>
          <w:rFonts w:ascii="Book Antiqua" w:hAnsi="Book Antiqua"/>
          <w:sz w:val="24"/>
          <w:szCs w:val="24"/>
        </w:rPr>
        <w:t xml:space="preserve"> is that </w:t>
      </w:r>
      <w:r w:rsidR="00B3664E">
        <w:rPr>
          <w:rFonts w:ascii="Book Antiqua" w:hAnsi="Book Antiqua"/>
          <w:sz w:val="24"/>
          <w:szCs w:val="24"/>
        </w:rPr>
        <w:t xml:space="preserve">to her </w:t>
      </w:r>
      <w:r w:rsidR="00F840DE">
        <w:rPr>
          <w:rFonts w:ascii="Book Antiqua" w:hAnsi="Book Antiqua"/>
          <w:sz w:val="24"/>
          <w:szCs w:val="24"/>
        </w:rPr>
        <w:t xml:space="preserve">this </w:t>
      </w:r>
      <w:r w:rsidR="00E10A67">
        <w:rPr>
          <w:rFonts w:ascii="Book Antiqua" w:hAnsi="Book Antiqua"/>
          <w:sz w:val="24"/>
          <w:szCs w:val="24"/>
        </w:rPr>
        <w:t>“</w:t>
      </w:r>
      <w:r w:rsidR="00E10A67" w:rsidRPr="00E05C63">
        <w:rPr>
          <w:rFonts w:ascii="Book Antiqua" w:hAnsi="Book Antiqua"/>
          <w:i/>
          <w:iCs/>
          <w:sz w:val="24"/>
          <w:szCs w:val="24"/>
        </w:rPr>
        <w:t>seems substandard care,</w:t>
      </w:r>
      <w:r w:rsidR="00E10A67">
        <w:rPr>
          <w:rFonts w:ascii="Book Antiqua" w:hAnsi="Book Antiqua"/>
          <w:sz w:val="24"/>
          <w:szCs w:val="24"/>
        </w:rPr>
        <w:t xml:space="preserve">” and points out that carers would not be able to prepare her meals as her son does but would merely warm up food. The </w:t>
      </w:r>
      <w:r w:rsidR="00B3664E">
        <w:rPr>
          <w:rFonts w:ascii="Book Antiqua" w:hAnsi="Book Antiqua"/>
          <w:sz w:val="24"/>
          <w:szCs w:val="24"/>
        </w:rPr>
        <w:t>doctor</w:t>
      </w:r>
      <w:r w:rsidR="00E10A67">
        <w:rPr>
          <w:rFonts w:ascii="Book Antiqua" w:hAnsi="Book Antiqua"/>
          <w:sz w:val="24"/>
          <w:szCs w:val="24"/>
        </w:rPr>
        <w:t xml:space="preserve"> also considered the advice to wear a nappy humiliating and not compatible with </w:t>
      </w:r>
      <w:r w:rsidR="00B3664E">
        <w:rPr>
          <w:rFonts w:ascii="Book Antiqua" w:hAnsi="Book Antiqua"/>
          <w:sz w:val="24"/>
          <w:szCs w:val="24"/>
        </w:rPr>
        <w:t xml:space="preserve">the sponsor’s </w:t>
      </w:r>
      <w:r w:rsidR="00E10A67">
        <w:rPr>
          <w:rFonts w:ascii="Book Antiqua" w:hAnsi="Book Antiqua"/>
          <w:sz w:val="24"/>
          <w:szCs w:val="24"/>
        </w:rPr>
        <w:t xml:space="preserve">desire to perform her Islamic prayers in a clean and purified state. </w:t>
      </w:r>
      <w:r w:rsidR="00D92EFE">
        <w:rPr>
          <w:rFonts w:ascii="Book Antiqua" w:hAnsi="Book Antiqua"/>
          <w:sz w:val="24"/>
          <w:szCs w:val="24"/>
        </w:rPr>
        <w:t>“</w:t>
      </w:r>
      <w:r w:rsidR="00D92EFE" w:rsidRPr="00E05C63">
        <w:rPr>
          <w:rFonts w:ascii="Book Antiqua" w:hAnsi="Book Antiqua"/>
          <w:i/>
          <w:iCs/>
          <w:sz w:val="24"/>
          <w:szCs w:val="24"/>
        </w:rPr>
        <w:t>In my opinion the level of full time attention and care provided by a close relative, such as her son can never ever match the care which can be provided by carers going in a few times a day</w:t>
      </w:r>
      <w:r w:rsidR="00D92EFE">
        <w:rPr>
          <w:rFonts w:ascii="Book Antiqua" w:hAnsi="Book Antiqua"/>
          <w:sz w:val="24"/>
          <w:szCs w:val="24"/>
        </w:rPr>
        <w:t>.</w:t>
      </w:r>
      <w:r w:rsidR="00E05C63">
        <w:rPr>
          <w:rFonts w:ascii="Book Antiqua" w:hAnsi="Book Antiqua"/>
          <w:sz w:val="24"/>
          <w:szCs w:val="24"/>
        </w:rPr>
        <w:t>”</w:t>
      </w:r>
    </w:p>
    <w:p w14:paraId="77255B11" w14:textId="3195D332" w:rsidR="00CD6499" w:rsidRDefault="00CD6499" w:rsidP="00734691">
      <w:pPr>
        <w:numPr>
          <w:ilvl w:val="0"/>
          <w:numId w:val="1"/>
        </w:numPr>
        <w:jc w:val="both"/>
        <w:rPr>
          <w:rFonts w:ascii="Book Antiqua" w:hAnsi="Book Antiqua"/>
          <w:sz w:val="24"/>
          <w:szCs w:val="24"/>
        </w:rPr>
      </w:pPr>
      <w:r>
        <w:rPr>
          <w:rFonts w:ascii="Book Antiqua" w:hAnsi="Book Antiqua"/>
          <w:sz w:val="24"/>
          <w:szCs w:val="24"/>
        </w:rPr>
        <w:t xml:space="preserve">The GP letter of </w:t>
      </w:r>
      <w:r w:rsidR="00121AD9">
        <w:rPr>
          <w:rFonts w:ascii="Book Antiqua" w:hAnsi="Book Antiqua"/>
          <w:sz w:val="24"/>
          <w:szCs w:val="24"/>
        </w:rPr>
        <w:t xml:space="preserve">7.11.19 was a referral to a consultant orthopaedic </w:t>
      </w:r>
      <w:r w:rsidR="00BC280A">
        <w:rPr>
          <w:rFonts w:ascii="Book Antiqua" w:hAnsi="Book Antiqua"/>
          <w:sz w:val="24"/>
          <w:szCs w:val="24"/>
        </w:rPr>
        <w:t>surgeon and does not take the appellant’s case much further</w:t>
      </w:r>
      <w:r w:rsidR="00FB2A13">
        <w:rPr>
          <w:rFonts w:ascii="Book Antiqua" w:hAnsi="Book Antiqua"/>
          <w:sz w:val="24"/>
          <w:szCs w:val="24"/>
        </w:rPr>
        <w:t>,</w:t>
      </w:r>
      <w:r w:rsidR="00BC280A">
        <w:rPr>
          <w:rFonts w:ascii="Book Antiqua" w:hAnsi="Book Antiqua"/>
          <w:sz w:val="24"/>
          <w:szCs w:val="24"/>
        </w:rPr>
        <w:t xml:space="preserve"> as the statement that he is </w:t>
      </w:r>
      <w:r w:rsidR="0043156A">
        <w:rPr>
          <w:rFonts w:ascii="Book Antiqua" w:hAnsi="Book Antiqua"/>
          <w:sz w:val="24"/>
          <w:szCs w:val="24"/>
        </w:rPr>
        <w:t xml:space="preserve">his mother’s main carer can only be what has been reported to the doctor. </w:t>
      </w:r>
      <w:r w:rsidR="00FB2A13">
        <w:rPr>
          <w:rFonts w:ascii="Book Antiqua" w:hAnsi="Book Antiqua"/>
          <w:sz w:val="24"/>
          <w:szCs w:val="24"/>
        </w:rPr>
        <w:t>Of significance perhaps is that t</w:t>
      </w:r>
      <w:r w:rsidR="001F3947">
        <w:rPr>
          <w:rFonts w:ascii="Book Antiqua" w:hAnsi="Book Antiqua"/>
          <w:sz w:val="24"/>
          <w:szCs w:val="24"/>
        </w:rPr>
        <w:t xml:space="preserve">he consultant noted that the sponsor had previously declined surgical intervention </w:t>
      </w:r>
      <w:r w:rsidR="00B25B81">
        <w:rPr>
          <w:rFonts w:ascii="Book Antiqua" w:hAnsi="Book Antiqua"/>
          <w:sz w:val="24"/>
          <w:szCs w:val="24"/>
        </w:rPr>
        <w:t>(arth</w:t>
      </w:r>
      <w:r w:rsidR="002738BC">
        <w:rPr>
          <w:rFonts w:ascii="Book Antiqua" w:hAnsi="Book Antiqua"/>
          <w:sz w:val="24"/>
          <w:szCs w:val="24"/>
        </w:rPr>
        <w:t xml:space="preserve">roplasty) </w:t>
      </w:r>
      <w:r w:rsidR="001F3947">
        <w:rPr>
          <w:rFonts w:ascii="Book Antiqua" w:hAnsi="Book Antiqua"/>
          <w:sz w:val="24"/>
          <w:szCs w:val="24"/>
        </w:rPr>
        <w:t xml:space="preserve">for her knees, despite being wheelchair bound as a result. </w:t>
      </w:r>
      <w:r w:rsidR="0005319E">
        <w:rPr>
          <w:rFonts w:ascii="Book Antiqua" w:hAnsi="Book Antiqua"/>
          <w:sz w:val="24"/>
          <w:szCs w:val="24"/>
        </w:rPr>
        <w:t>It would appear that had she accepted surgery she would not need a wheelchair. However, as things are, a</w:t>
      </w:r>
      <w:r w:rsidR="00D32A2E">
        <w:rPr>
          <w:rFonts w:ascii="Book Antiqua" w:hAnsi="Book Antiqua"/>
          <w:sz w:val="24"/>
          <w:szCs w:val="24"/>
        </w:rPr>
        <w:t xml:space="preserve">ll activities of daily living are said to be compromised. The consultant offered cortisone injection </w:t>
      </w:r>
      <w:r w:rsidR="00E32CAD">
        <w:rPr>
          <w:rFonts w:ascii="Book Antiqua" w:hAnsi="Book Antiqua"/>
          <w:sz w:val="24"/>
          <w:szCs w:val="24"/>
        </w:rPr>
        <w:t>but if she declined surgical intervention</w:t>
      </w:r>
      <w:r w:rsidR="0005319E">
        <w:rPr>
          <w:rFonts w:ascii="Book Antiqua" w:hAnsi="Book Antiqua"/>
          <w:sz w:val="24"/>
          <w:szCs w:val="24"/>
        </w:rPr>
        <w:t>, as the consultant anticipated she would,</w:t>
      </w:r>
      <w:r w:rsidR="00E32CAD">
        <w:rPr>
          <w:rFonts w:ascii="Book Antiqua" w:hAnsi="Book Antiqua"/>
          <w:sz w:val="24"/>
          <w:szCs w:val="24"/>
        </w:rPr>
        <w:t xml:space="preserve"> </w:t>
      </w:r>
      <w:r w:rsidR="0005319E">
        <w:rPr>
          <w:rFonts w:ascii="Book Antiqua" w:hAnsi="Book Antiqua"/>
          <w:sz w:val="24"/>
          <w:szCs w:val="24"/>
        </w:rPr>
        <w:t>the sponsor</w:t>
      </w:r>
      <w:r w:rsidR="00E32CAD">
        <w:rPr>
          <w:rFonts w:ascii="Book Antiqua" w:hAnsi="Book Antiqua"/>
          <w:sz w:val="24"/>
          <w:szCs w:val="24"/>
        </w:rPr>
        <w:t xml:space="preserve"> would be discharged back to GP care. </w:t>
      </w:r>
      <w:r w:rsidR="005806B2">
        <w:rPr>
          <w:rFonts w:ascii="Book Antiqua" w:hAnsi="Book Antiqua"/>
          <w:sz w:val="24"/>
          <w:szCs w:val="24"/>
        </w:rPr>
        <w:t xml:space="preserve">Nothing in this part of the medical evidence demonstrates that without the appellant the sponsor would be unable to remain in the UK. </w:t>
      </w:r>
    </w:p>
    <w:p w14:paraId="724EB719" w14:textId="77777777" w:rsidR="00F140E1" w:rsidRDefault="00E05C63" w:rsidP="00C67D19">
      <w:pPr>
        <w:numPr>
          <w:ilvl w:val="0"/>
          <w:numId w:val="1"/>
        </w:numPr>
        <w:jc w:val="both"/>
        <w:rPr>
          <w:rFonts w:ascii="Book Antiqua" w:hAnsi="Book Antiqua"/>
          <w:sz w:val="24"/>
          <w:szCs w:val="24"/>
        </w:rPr>
      </w:pPr>
      <w:r>
        <w:rPr>
          <w:rFonts w:ascii="Book Antiqua" w:hAnsi="Book Antiqua"/>
          <w:sz w:val="24"/>
          <w:szCs w:val="24"/>
        </w:rPr>
        <w:t>With respect to the doctor, th</w:t>
      </w:r>
      <w:r w:rsidR="008F5618">
        <w:rPr>
          <w:rFonts w:ascii="Book Antiqua" w:hAnsi="Book Antiqua"/>
          <w:sz w:val="24"/>
          <w:szCs w:val="24"/>
        </w:rPr>
        <w:t>e expert</w:t>
      </w:r>
      <w:r>
        <w:rPr>
          <w:rFonts w:ascii="Book Antiqua" w:hAnsi="Book Antiqua"/>
          <w:sz w:val="24"/>
          <w:szCs w:val="24"/>
        </w:rPr>
        <w:t xml:space="preserve"> report does not address the crucial issue. It does not indicate that the sponsor’s care needs are such that were the appellant to be removed she would be unable to remain because she would not be able to access necessary care. </w:t>
      </w:r>
      <w:r w:rsidR="008738A8">
        <w:rPr>
          <w:rFonts w:ascii="Book Antiqua" w:hAnsi="Book Antiqua"/>
          <w:sz w:val="24"/>
          <w:szCs w:val="24"/>
        </w:rPr>
        <w:t>Whether she would want or desire to follow her son to Pakistan, as suggested by Mr Malik, is not at all the same thing as being unable to reside in the UK. Further, t</w:t>
      </w:r>
      <w:r>
        <w:rPr>
          <w:rFonts w:ascii="Book Antiqua" w:hAnsi="Book Antiqua"/>
          <w:sz w:val="24"/>
          <w:szCs w:val="24"/>
        </w:rPr>
        <w:t xml:space="preserve">here is a world of difference between </w:t>
      </w:r>
      <w:r w:rsidR="00006677">
        <w:rPr>
          <w:rFonts w:ascii="Book Antiqua" w:hAnsi="Book Antiqua"/>
          <w:sz w:val="24"/>
          <w:szCs w:val="24"/>
        </w:rPr>
        <w:t xml:space="preserve">what is desirable </w:t>
      </w:r>
      <w:r w:rsidR="008738A8">
        <w:rPr>
          <w:rFonts w:ascii="Book Antiqua" w:hAnsi="Book Antiqua"/>
          <w:sz w:val="24"/>
          <w:szCs w:val="24"/>
        </w:rPr>
        <w:t xml:space="preserve">in terms of treatment or care </w:t>
      </w:r>
      <w:r w:rsidR="00006677">
        <w:rPr>
          <w:rFonts w:ascii="Book Antiqua" w:hAnsi="Book Antiqua"/>
          <w:sz w:val="24"/>
          <w:szCs w:val="24"/>
        </w:rPr>
        <w:t xml:space="preserve">and what is </w:t>
      </w:r>
      <w:r w:rsidR="008738A8">
        <w:rPr>
          <w:rFonts w:ascii="Book Antiqua" w:hAnsi="Book Antiqua"/>
          <w:sz w:val="24"/>
          <w:szCs w:val="24"/>
        </w:rPr>
        <w:t>necessary or essential</w:t>
      </w:r>
      <w:r w:rsidR="00006677">
        <w:rPr>
          <w:rFonts w:ascii="Book Antiqua" w:hAnsi="Book Antiqua"/>
          <w:sz w:val="24"/>
          <w:szCs w:val="24"/>
        </w:rPr>
        <w:t xml:space="preserve">. </w:t>
      </w:r>
      <w:r w:rsidR="00B346D2">
        <w:rPr>
          <w:rFonts w:ascii="Book Antiqua" w:hAnsi="Book Antiqua"/>
          <w:sz w:val="24"/>
          <w:szCs w:val="24"/>
        </w:rPr>
        <w:t>It is clear from</w:t>
      </w:r>
      <w:r w:rsidR="00DA4FE3">
        <w:rPr>
          <w:rFonts w:ascii="Book Antiqua" w:hAnsi="Book Antiqua"/>
          <w:sz w:val="24"/>
          <w:szCs w:val="24"/>
        </w:rPr>
        <w:t xml:space="preserve"> [18]</w:t>
      </w:r>
      <w:r w:rsidR="00ED284F">
        <w:rPr>
          <w:rFonts w:ascii="Book Antiqua" w:hAnsi="Book Antiqua"/>
          <w:sz w:val="24"/>
          <w:szCs w:val="24"/>
        </w:rPr>
        <w:t>, [31] and</w:t>
      </w:r>
      <w:r w:rsidR="00B346D2">
        <w:rPr>
          <w:rFonts w:ascii="Book Antiqua" w:hAnsi="Book Antiqua"/>
          <w:sz w:val="24"/>
          <w:szCs w:val="24"/>
        </w:rPr>
        <w:t xml:space="preserve"> [47] of the decision that </w:t>
      </w:r>
      <w:r w:rsidR="00ED284F">
        <w:rPr>
          <w:rFonts w:ascii="Book Antiqua" w:hAnsi="Book Antiqua"/>
          <w:sz w:val="24"/>
          <w:szCs w:val="24"/>
        </w:rPr>
        <w:t xml:space="preserve">the judge </w:t>
      </w:r>
      <w:r w:rsidR="008738A8">
        <w:rPr>
          <w:rFonts w:ascii="Book Antiqua" w:hAnsi="Book Antiqua"/>
          <w:sz w:val="24"/>
          <w:szCs w:val="24"/>
        </w:rPr>
        <w:t>had</w:t>
      </w:r>
      <w:r w:rsidR="00ED284F">
        <w:rPr>
          <w:rFonts w:ascii="Book Antiqua" w:hAnsi="Book Antiqua"/>
          <w:sz w:val="24"/>
          <w:szCs w:val="24"/>
        </w:rPr>
        <w:t xml:space="preserve"> consider</w:t>
      </w:r>
      <w:r w:rsidR="008738A8">
        <w:rPr>
          <w:rFonts w:ascii="Book Antiqua" w:hAnsi="Book Antiqua"/>
          <w:sz w:val="24"/>
          <w:szCs w:val="24"/>
        </w:rPr>
        <w:t>ed</w:t>
      </w:r>
      <w:r w:rsidR="00ED284F">
        <w:rPr>
          <w:rFonts w:ascii="Book Antiqua" w:hAnsi="Book Antiqua"/>
          <w:sz w:val="24"/>
          <w:szCs w:val="24"/>
        </w:rPr>
        <w:t xml:space="preserve"> the medical evidence</w:t>
      </w:r>
      <w:r w:rsidR="008F5618">
        <w:rPr>
          <w:rFonts w:ascii="Book Antiqua" w:hAnsi="Book Antiqua"/>
          <w:sz w:val="24"/>
          <w:szCs w:val="24"/>
        </w:rPr>
        <w:t xml:space="preserve">, none of which demonstrates </w:t>
      </w:r>
      <w:r w:rsidR="00B83034">
        <w:rPr>
          <w:rFonts w:ascii="Book Antiqua" w:hAnsi="Book Antiqua"/>
          <w:sz w:val="24"/>
          <w:szCs w:val="24"/>
        </w:rPr>
        <w:t xml:space="preserve">that the appellant’s absence from the UK would prevent her from receiving the care she </w:t>
      </w:r>
      <w:r w:rsidR="008738A8">
        <w:rPr>
          <w:rFonts w:ascii="Book Antiqua" w:hAnsi="Book Antiqua"/>
          <w:sz w:val="24"/>
          <w:szCs w:val="24"/>
        </w:rPr>
        <w:t xml:space="preserve">actually </w:t>
      </w:r>
      <w:r w:rsidR="00B83034">
        <w:rPr>
          <w:rFonts w:ascii="Book Antiqua" w:hAnsi="Book Antiqua"/>
          <w:sz w:val="24"/>
          <w:szCs w:val="24"/>
        </w:rPr>
        <w:t>needs, as opposed to the care she would wish to have</w:t>
      </w:r>
      <w:r w:rsidR="008738A8">
        <w:rPr>
          <w:rFonts w:ascii="Book Antiqua" w:hAnsi="Book Antiqua"/>
          <w:sz w:val="24"/>
          <w:szCs w:val="24"/>
        </w:rPr>
        <w:t xml:space="preserve"> at the hands of her son</w:t>
      </w:r>
      <w:r w:rsidR="00B83034">
        <w:rPr>
          <w:rFonts w:ascii="Book Antiqua" w:hAnsi="Book Antiqua"/>
          <w:sz w:val="24"/>
          <w:szCs w:val="24"/>
        </w:rPr>
        <w:t xml:space="preserve">. </w:t>
      </w:r>
    </w:p>
    <w:p w14:paraId="01911A88" w14:textId="2A47728F" w:rsidR="007F1C68" w:rsidRDefault="007F1C68" w:rsidP="00C67D19">
      <w:pPr>
        <w:numPr>
          <w:ilvl w:val="0"/>
          <w:numId w:val="1"/>
        </w:numPr>
        <w:jc w:val="both"/>
        <w:rPr>
          <w:rFonts w:ascii="Book Antiqua" w:hAnsi="Book Antiqua"/>
          <w:sz w:val="24"/>
          <w:szCs w:val="24"/>
        </w:rPr>
      </w:pPr>
      <w:r>
        <w:rPr>
          <w:rFonts w:ascii="Book Antiqua" w:hAnsi="Book Antiqua"/>
          <w:sz w:val="24"/>
          <w:szCs w:val="24"/>
        </w:rPr>
        <w:t>In reaching this conclusion</w:t>
      </w:r>
      <w:r w:rsidR="008738A8">
        <w:rPr>
          <w:rFonts w:ascii="Book Antiqua" w:hAnsi="Book Antiqua"/>
          <w:sz w:val="24"/>
          <w:szCs w:val="24"/>
        </w:rPr>
        <w:t>,</w:t>
      </w:r>
      <w:r>
        <w:rPr>
          <w:rFonts w:ascii="Book Antiqua" w:hAnsi="Book Antiqua"/>
          <w:sz w:val="24"/>
          <w:szCs w:val="24"/>
        </w:rPr>
        <w:t xml:space="preserve"> the judge took into account the availability of Local Authority assistance and that the sponsor has the families of her son and her daughter to provide additional help. </w:t>
      </w:r>
      <w:r w:rsidR="008738A8">
        <w:rPr>
          <w:rFonts w:ascii="Book Antiqua" w:hAnsi="Book Antiqua"/>
          <w:sz w:val="24"/>
          <w:szCs w:val="24"/>
        </w:rPr>
        <w:t>Whilst their witness statements gave various excuses as to why they could not provide the support it is claimed the sponsor needs</w:t>
      </w:r>
      <w:r w:rsidR="00FD22B1">
        <w:rPr>
          <w:rFonts w:ascii="Book Antiqua" w:hAnsi="Book Antiqua"/>
          <w:sz w:val="24"/>
          <w:szCs w:val="24"/>
        </w:rPr>
        <w:t xml:space="preserve">, it rather appears that it suits each of the son and daughter for the appellant to provide the care which she was previously receiving from them. In this, I bear in mind the point made by Ms </w:t>
      </w:r>
      <w:r w:rsidR="00FD22B1">
        <w:rPr>
          <w:rFonts w:ascii="Book Antiqua" w:hAnsi="Book Antiqua"/>
          <w:sz w:val="24"/>
          <w:szCs w:val="24"/>
        </w:rPr>
        <w:lastRenderedPageBreak/>
        <w:t xml:space="preserve">Pettersen, that the sponsor obtained leave to remain as </w:t>
      </w:r>
      <w:r w:rsidR="005806B2">
        <w:rPr>
          <w:rFonts w:ascii="Book Antiqua" w:hAnsi="Book Antiqua"/>
          <w:sz w:val="24"/>
          <w:szCs w:val="24"/>
        </w:rPr>
        <w:t xml:space="preserve">a dependent of her other son and his wife. The daughter claims that as she has four children to look after she could not care for her mother. The son claims that as he works 60-70 hours a week, he </w:t>
      </w:r>
      <w:r w:rsidR="00B43F20">
        <w:rPr>
          <w:rFonts w:ascii="Book Antiqua" w:hAnsi="Book Antiqua"/>
          <w:sz w:val="24"/>
          <w:szCs w:val="24"/>
        </w:rPr>
        <w:t xml:space="preserve">could no care for his mother. However, </w:t>
      </w:r>
      <w:r w:rsidR="00B16E97">
        <w:rPr>
          <w:rFonts w:ascii="Book Antiqua" w:hAnsi="Book Antiqua"/>
          <w:sz w:val="24"/>
          <w:szCs w:val="24"/>
        </w:rPr>
        <w:t xml:space="preserve">I am satisfied that </w:t>
      </w:r>
      <w:r w:rsidR="00B43F20">
        <w:rPr>
          <w:rFonts w:ascii="Book Antiqua" w:hAnsi="Book Antiqua"/>
          <w:sz w:val="24"/>
          <w:szCs w:val="24"/>
        </w:rPr>
        <w:t>it was</w:t>
      </w:r>
      <w:r w:rsidR="00F140E1">
        <w:rPr>
          <w:rFonts w:ascii="Book Antiqua" w:hAnsi="Book Antiqua"/>
          <w:sz w:val="24"/>
          <w:szCs w:val="24"/>
        </w:rPr>
        <w:t xml:space="preserve"> entirely reasonable and</w:t>
      </w:r>
      <w:r w:rsidR="00B43F20">
        <w:rPr>
          <w:rFonts w:ascii="Book Antiqua" w:hAnsi="Book Antiqua"/>
          <w:sz w:val="24"/>
          <w:szCs w:val="24"/>
        </w:rPr>
        <w:t xml:space="preserve"> not an error for the judge to consider</w:t>
      </w:r>
      <w:r w:rsidR="005806B2">
        <w:rPr>
          <w:rFonts w:ascii="Book Antiqua" w:hAnsi="Book Antiqua"/>
          <w:sz w:val="24"/>
          <w:szCs w:val="24"/>
        </w:rPr>
        <w:t xml:space="preserve"> </w:t>
      </w:r>
      <w:r w:rsidR="00A2252A">
        <w:rPr>
          <w:rFonts w:ascii="Book Antiqua" w:hAnsi="Book Antiqua"/>
          <w:sz w:val="24"/>
          <w:szCs w:val="24"/>
        </w:rPr>
        <w:t xml:space="preserve">that at least some support could be provided by the appellant’s siblings. There is no evidence that the judge merely </w:t>
      </w:r>
      <w:r w:rsidR="00B16E97">
        <w:rPr>
          <w:rFonts w:ascii="Book Antiqua" w:hAnsi="Book Antiqua"/>
          <w:sz w:val="24"/>
          <w:szCs w:val="24"/>
        </w:rPr>
        <w:t>ignor</w:t>
      </w:r>
      <w:r w:rsidR="00F53790">
        <w:rPr>
          <w:rFonts w:ascii="Book Antiqua" w:hAnsi="Book Antiqua"/>
          <w:sz w:val="24"/>
          <w:szCs w:val="24"/>
        </w:rPr>
        <w:t>ed</w:t>
      </w:r>
      <w:r w:rsidR="00B16E97">
        <w:rPr>
          <w:rFonts w:ascii="Book Antiqua" w:hAnsi="Book Antiqua"/>
          <w:sz w:val="24"/>
          <w:szCs w:val="24"/>
        </w:rPr>
        <w:t xml:space="preserve"> their evidence. </w:t>
      </w:r>
      <w:r w:rsidR="00F53790">
        <w:rPr>
          <w:rFonts w:ascii="Book Antiqua" w:hAnsi="Book Antiqua"/>
          <w:sz w:val="24"/>
          <w:szCs w:val="24"/>
        </w:rPr>
        <w:t xml:space="preserve">Even the busiest people in the world must surely have some time to spare to visit a close family member on a regular basis. </w:t>
      </w:r>
    </w:p>
    <w:p w14:paraId="76584710" w14:textId="750FF2A4" w:rsidR="00E05C63" w:rsidRPr="007F1C68" w:rsidRDefault="006D0C96" w:rsidP="007F1C68">
      <w:pPr>
        <w:numPr>
          <w:ilvl w:val="0"/>
          <w:numId w:val="1"/>
        </w:numPr>
        <w:jc w:val="both"/>
        <w:rPr>
          <w:rFonts w:ascii="Book Antiqua" w:hAnsi="Book Antiqua"/>
          <w:sz w:val="24"/>
          <w:szCs w:val="24"/>
        </w:rPr>
      </w:pPr>
      <w:r>
        <w:rPr>
          <w:rFonts w:ascii="Book Antiqua" w:hAnsi="Book Antiqua"/>
          <w:sz w:val="24"/>
          <w:szCs w:val="24"/>
        </w:rPr>
        <w:t xml:space="preserve">Having carefully considered the evidence and the submissions, </w:t>
      </w:r>
      <w:r w:rsidR="007F1C68">
        <w:rPr>
          <w:rFonts w:ascii="Book Antiqua" w:hAnsi="Book Antiqua"/>
          <w:sz w:val="24"/>
          <w:szCs w:val="24"/>
        </w:rPr>
        <w:t xml:space="preserve">I am satisfied that the judge did not ignore or leave out of account any relevant part of the evidence. </w:t>
      </w:r>
      <w:r>
        <w:rPr>
          <w:rFonts w:ascii="Book Antiqua" w:hAnsi="Book Antiqua"/>
          <w:sz w:val="24"/>
          <w:szCs w:val="24"/>
        </w:rPr>
        <w:t>As stated above, i</w:t>
      </w:r>
      <w:r w:rsidR="007F1C68">
        <w:rPr>
          <w:rFonts w:ascii="Book Antiqua" w:hAnsi="Book Antiqua"/>
          <w:sz w:val="24"/>
          <w:szCs w:val="24"/>
        </w:rPr>
        <w:t>t was not necessary for the judge to address this evidence in detail. However, even if the judge had addressed the medical and other evidence in greater detail,</w:t>
      </w:r>
      <w:r w:rsidR="004F2F54">
        <w:rPr>
          <w:rFonts w:ascii="Book Antiqua" w:hAnsi="Book Antiqua"/>
          <w:sz w:val="24"/>
          <w:szCs w:val="24"/>
        </w:rPr>
        <w:t xml:space="preserve"> I am satisfied that </w:t>
      </w:r>
      <w:r>
        <w:rPr>
          <w:rFonts w:ascii="Book Antiqua" w:hAnsi="Book Antiqua"/>
          <w:sz w:val="24"/>
          <w:szCs w:val="24"/>
        </w:rPr>
        <w:t xml:space="preserve">on the facts of this case </w:t>
      </w:r>
      <w:r w:rsidR="004F2F54">
        <w:rPr>
          <w:rFonts w:ascii="Book Antiqua" w:hAnsi="Book Antiqua"/>
          <w:sz w:val="24"/>
          <w:szCs w:val="24"/>
        </w:rPr>
        <w:t xml:space="preserve">it could have made no material difference to the outcome of the appeal. </w:t>
      </w:r>
      <w:r w:rsidR="004F2F54" w:rsidRPr="007F1C68">
        <w:rPr>
          <w:rFonts w:ascii="Book Antiqua" w:hAnsi="Book Antiqua"/>
          <w:sz w:val="24"/>
          <w:szCs w:val="24"/>
        </w:rPr>
        <w:t xml:space="preserve">The issue </w:t>
      </w:r>
      <w:r w:rsidR="002420F7">
        <w:rPr>
          <w:rFonts w:ascii="Book Antiqua" w:hAnsi="Book Antiqua"/>
          <w:sz w:val="24"/>
          <w:szCs w:val="24"/>
        </w:rPr>
        <w:t xml:space="preserve">that the appellant’s representatives appear to find difficult to grasp </w:t>
      </w:r>
      <w:r w:rsidR="004F2F54" w:rsidRPr="007F1C68">
        <w:rPr>
          <w:rFonts w:ascii="Book Antiqua" w:hAnsi="Book Antiqua"/>
          <w:sz w:val="24"/>
          <w:szCs w:val="24"/>
        </w:rPr>
        <w:t xml:space="preserve">is </w:t>
      </w:r>
      <w:r w:rsidR="002420F7">
        <w:rPr>
          <w:rFonts w:ascii="Book Antiqua" w:hAnsi="Book Antiqua"/>
          <w:sz w:val="24"/>
          <w:szCs w:val="24"/>
        </w:rPr>
        <w:t xml:space="preserve">that it is </w:t>
      </w:r>
      <w:r w:rsidR="004F2F54" w:rsidRPr="007F1C68">
        <w:rPr>
          <w:rFonts w:ascii="Book Antiqua" w:hAnsi="Book Antiqua"/>
          <w:sz w:val="24"/>
          <w:szCs w:val="24"/>
        </w:rPr>
        <w:t>not whether the present level of care can or will be replicated, but whether the sponsor would be unable to remain in the UK</w:t>
      </w:r>
      <w:r w:rsidR="00AB5709">
        <w:rPr>
          <w:rFonts w:ascii="Book Antiqua" w:hAnsi="Book Antiqua"/>
          <w:sz w:val="24"/>
          <w:szCs w:val="24"/>
        </w:rPr>
        <w:t>, specifically in this case because of an inadequacy of care</w:t>
      </w:r>
      <w:r w:rsidR="00AB0597">
        <w:rPr>
          <w:rFonts w:ascii="Book Antiqua" w:hAnsi="Book Antiqua"/>
          <w:sz w:val="24"/>
          <w:szCs w:val="24"/>
        </w:rPr>
        <w:t>, were the appellant be required to leave</w:t>
      </w:r>
      <w:r w:rsidR="004F2F54" w:rsidRPr="007F1C68">
        <w:rPr>
          <w:rFonts w:ascii="Book Antiqua" w:hAnsi="Book Antiqua"/>
          <w:sz w:val="24"/>
          <w:szCs w:val="24"/>
        </w:rPr>
        <w:t>.</w:t>
      </w:r>
      <w:r w:rsidR="00AB5709">
        <w:rPr>
          <w:rFonts w:ascii="Book Antiqua" w:hAnsi="Book Antiqua"/>
          <w:sz w:val="24"/>
          <w:szCs w:val="24"/>
        </w:rPr>
        <w:t xml:space="preserve"> </w:t>
      </w:r>
      <w:r w:rsidR="008F662B">
        <w:rPr>
          <w:rFonts w:ascii="Book Antiqua" w:hAnsi="Book Antiqua"/>
          <w:sz w:val="24"/>
          <w:szCs w:val="24"/>
        </w:rPr>
        <w:t xml:space="preserve">Even taken at its highest, the evidence adduced before the First-tier Tribunal failed to demonstrate that </w:t>
      </w:r>
      <w:r w:rsidR="00AB0597">
        <w:rPr>
          <w:rFonts w:ascii="Book Antiqua" w:hAnsi="Book Antiqua"/>
          <w:sz w:val="24"/>
          <w:szCs w:val="24"/>
        </w:rPr>
        <w:t xml:space="preserve">sufficient and </w:t>
      </w:r>
      <w:r w:rsidR="008F662B">
        <w:rPr>
          <w:rFonts w:ascii="Book Antiqua" w:hAnsi="Book Antiqua"/>
          <w:sz w:val="24"/>
          <w:szCs w:val="24"/>
        </w:rPr>
        <w:t xml:space="preserve">appropriate care would not be available to the sponsor in the UK. In the premises, there is no material error of law in the way in which the judge addressed the evidence. </w:t>
      </w:r>
    </w:p>
    <w:p w14:paraId="468DB09A" w14:textId="6E4EA406" w:rsidR="00AE767F" w:rsidRDefault="00AE767F" w:rsidP="0054333C">
      <w:pPr>
        <w:numPr>
          <w:ilvl w:val="0"/>
          <w:numId w:val="1"/>
        </w:numPr>
        <w:jc w:val="both"/>
        <w:rPr>
          <w:rFonts w:ascii="Book Antiqua" w:hAnsi="Book Antiqua"/>
          <w:sz w:val="24"/>
          <w:szCs w:val="24"/>
        </w:rPr>
      </w:pPr>
      <w:r>
        <w:rPr>
          <w:rFonts w:ascii="Book Antiqua" w:hAnsi="Book Antiqua"/>
          <w:sz w:val="24"/>
          <w:szCs w:val="24"/>
        </w:rPr>
        <w:t xml:space="preserve">In the circumstances and for the reasons set out above, I find no </w:t>
      </w:r>
      <w:r w:rsidR="007C3C30">
        <w:rPr>
          <w:rFonts w:ascii="Book Antiqua" w:hAnsi="Book Antiqua"/>
          <w:sz w:val="24"/>
          <w:szCs w:val="24"/>
        </w:rPr>
        <w:t xml:space="preserve">material </w:t>
      </w:r>
      <w:r>
        <w:rPr>
          <w:rFonts w:ascii="Book Antiqua" w:hAnsi="Book Antiqua"/>
          <w:sz w:val="24"/>
          <w:szCs w:val="24"/>
        </w:rPr>
        <w:t xml:space="preserve">error of law in the decision of the First-tier Tribunal so that it must be set aside. </w:t>
      </w:r>
    </w:p>
    <w:p w14:paraId="70338235" w14:textId="4F183E72" w:rsidR="00AE767F" w:rsidRPr="009D325E" w:rsidRDefault="00AE767F" w:rsidP="00AE767F">
      <w:pPr>
        <w:jc w:val="both"/>
        <w:rPr>
          <w:rFonts w:ascii="Book Antiqua" w:hAnsi="Book Antiqua"/>
          <w:b/>
          <w:bCs/>
          <w:sz w:val="24"/>
          <w:szCs w:val="24"/>
        </w:rPr>
      </w:pPr>
      <w:r w:rsidRPr="009D325E">
        <w:rPr>
          <w:rFonts w:ascii="Book Antiqua" w:hAnsi="Book Antiqua"/>
          <w:b/>
          <w:bCs/>
          <w:sz w:val="24"/>
          <w:szCs w:val="24"/>
        </w:rPr>
        <w:t>Decision</w:t>
      </w:r>
    </w:p>
    <w:p w14:paraId="0E8DCDD2" w14:textId="1964496F" w:rsidR="00475495" w:rsidRDefault="00475495" w:rsidP="00881DA6">
      <w:pPr>
        <w:ind w:left="720"/>
        <w:jc w:val="both"/>
        <w:rPr>
          <w:rFonts w:ascii="Book Antiqua" w:hAnsi="Book Antiqua"/>
          <w:sz w:val="24"/>
          <w:szCs w:val="24"/>
        </w:rPr>
      </w:pPr>
      <w:r>
        <w:rPr>
          <w:rFonts w:ascii="Book Antiqua" w:hAnsi="Book Antiqua"/>
          <w:sz w:val="24"/>
          <w:szCs w:val="24"/>
        </w:rPr>
        <w:t xml:space="preserve">The appeal </w:t>
      </w:r>
      <w:r w:rsidR="00AB0597">
        <w:rPr>
          <w:rFonts w:ascii="Book Antiqua" w:hAnsi="Book Antiqua"/>
          <w:sz w:val="24"/>
          <w:szCs w:val="24"/>
        </w:rPr>
        <w:t>to the Upper Tribunal is dismissed.</w:t>
      </w:r>
    </w:p>
    <w:p w14:paraId="3761DEFF" w14:textId="5A2362CC" w:rsidR="00AB0597" w:rsidRDefault="00AB0597" w:rsidP="00881DA6">
      <w:pPr>
        <w:ind w:left="720"/>
        <w:jc w:val="both"/>
        <w:rPr>
          <w:rFonts w:ascii="Book Antiqua" w:hAnsi="Book Antiqua"/>
          <w:sz w:val="24"/>
          <w:szCs w:val="24"/>
        </w:rPr>
      </w:pPr>
      <w:r>
        <w:rPr>
          <w:rFonts w:ascii="Book Antiqua" w:hAnsi="Book Antiqua"/>
          <w:sz w:val="24"/>
          <w:szCs w:val="24"/>
        </w:rPr>
        <w:t xml:space="preserve">The decision of the First-tier Tribunal stands and the appellant’s appeal remains dismissed on all grounds. </w:t>
      </w:r>
    </w:p>
    <w:p w14:paraId="2C779A13" w14:textId="54EC788F" w:rsidR="00D61B8E" w:rsidRDefault="00D61B8E" w:rsidP="00881DA6">
      <w:pPr>
        <w:ind w:left="720"/>
        <w:jc w:val="both"/>
        <w:rPr>
          <w:rFonts w:ascii="Book Antiqua" w:hAnsi="Book Antiqua"/>
          <w:sz w:val="24"/>
          <w:szCs w:val="24"/>
        </w:rPr>
      </w:pPr>
      <w:r>
        <w:rPr>
          <w:rFonts w:ascii="Book Antiqua" w:hAnsi="Book Antiqua"/>
          <w:sz w:val="24"/>
          <w:szCs w:val="24"/>
        </w:rPr>
        <w:t xml:space="preserve">I make no order for costs. </w:t>
      </w:r>
    </w:p>
    <w:p w14:paraId="0ED9FC30" w14:textId="16C5961D" w:rsidR="00105A6E" w:rsidRDefault="00105A6E" w:rsidP="00881DA6">
      <w:pPr>
        <w:ind w:left="720"/>
        <w:jc w:val="both"/>
        <w:rPr>
          <w:rFonts w:ascii="Book Antiqua" w:hAnsi="Book Antiqua"/>
          <w:sz w:val="24"/>
          <w:szCs w:val="24"/>
        </w:rPr>
      </w:pPr>
      <w:r>
        <w:rPr>
          <w:rFonts w:ascii="Book Antiqua" w:hAnsi="Book Antiqua"/>
          <w:sz w:val="24"/>
          <w:szCs w:val="24"/>
        </w:rPr>
        <w:t xml:space="preserve">I make no anonymity direction. </w:t>
      </w:r>
    </w:p>
    <w:p w14:paraId="12909218" w14:textId="26685A06" w:rsidR="00BE703F" w:rsidRDefault="001A5B59" w:rsidP="008006E3">
      <w:pPr>
        <w:jc w:val="both"/>
        <w:rPr>
          <w:rFonts w:ascii="Book Antiqua" w:hAnsi="Book Antiqua"/>
          <w:b/>
          <w:bCs/>
          <w:sz w:val="24"/>
          <w:szCs w:val="24"/>
        </w:rPr>
      </w:pPr>
      <w:r>
        <w:rPr>
          <w:noProof/>
        </w:rPr>
        <w:drawing>
          <wp:anchor distT="0" distB="0" distL="114300" distR="114300" simplePos="0" relativeHeight="251659264" behindDoc="1" locked="0" layoutInCell="1" allowOverlap="1" wp14:anchorId="2A11088E" wp14:editId="2CDA1CF0">
            <wp:simplePos x="0" y="0"/>
            <wp:positionH relativeFrom="column">
              <wp:posOffset>2790825</wp:posOffset>
            </wp:positionH>
            <wp:positionV relativeFrom="paragraph">
              <wp:posOffset>71120</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D77F1" w14:textId="5D913342" w:rsidR="00BE703F" w:rsidRPr="0037782A" w:rsidRDefault="00BE703F" w:rsidP="006B4A21">
      <w:pPr>
        <w:rPr>
          <w:rFonts w:ascii="Book Antiqua" w:hAnsi="Book Antiqua"/>
          <w:sz w:val="24"/>
          <w:szCs w:val="24"/>
        </w:rPr>
      </w:pPr>
      <w:r w:rsidRPr="0037782A">
        <w:rPr>
          <w:rFonts w:ascii="Book Antiqua" w:hAnsi="Book Antiqua"/>
          <w:sz w:val="24"/>
          <w:szCs w:val="24"/>
        </w:rPr>
        <w:t xml:space="preserve">Signed: </w:t>
      </w:r>
      <w:r w:rsidRPr="0037782A">
        <w:rPr>
          <w:rFonts w:ascii="Lucida Handwriting" w:hAnsi="Lucida Handwriting"/>
          <w:sz w:val="24"/>
          <w:szCs w:val="24"/>
        </w:rPr>
        <w:t>DMW Pickup</w:t>
      </w:r>
    </w:p>
    <w:p w14:paraId="6CCF24AD" w14:textId="77777777" w:rsidR="00BE703F" w:rsidRPr="0037782A" w:rsidRDefault="00BE703F" w:rsidP="006B4A21">
      <w:pPr>
        <w:rPr>
          <w:rFonts w:ascii="Book Antiqua" w:hAnsi="Book Antiqua"/>
          <w:sz w:val="24"/>
          <w:szCs w:val="24"/>
        </w:rPr>
      </w:pPr>
      <w:r w:rsidRPr="0037782A">
        <w:rPr>
          <w:rFonts w:ascii="Book Antiqua" w:hAnsi="Book Antiqua"/>
          <w:sz w:val="24"/>
          <w:szCs w:val="24"/>
        </w:rPr>
        <w:t>Upper Tribunal Judge Pickup</w:t>
      </w:r>
    </w:p>
    <w:p w14:paraId="61BEEFAA" w14:textId="1EB305A6" w:rsidR="00BE703F" w:rsidRPr="0037782A" w:rsidRDefault="00BE703F" w:rsidP="006B4A21">
      <w:pPr>
        <w:rPr>
          <w:rFonts w:ascii="Book Antiqua" w:hAnsi="Book Antiqua"/>
          <w:sz w:val="24"/>
          <w:szCs w:val="24"/>
        </w:rPr>
      </w:pPr>
      <w:r w:rsidRPr="0037782A">
        <w:rPr>
          <w:rFonts w:ascii="Book Antiqua" w:hAnsi="Book Antiqua"/>
          <w:sz w:val="24"/>
          <w:szCs w:val="24"/>
        </w:rPr>
        <w:t xml:space="preserve">Date: </w:t>
      </w:r>
      <w:r w:rsidRPr="0037782A">
        <w:rPr>
          <w:rFonts w:ascii="Book Antiqua" w:hAnsi="Book Antiqua"/>
          <w:sz w:val="24"/>
          <w:szCs w:val="24"/>
        </w:rPr>
        <w:tab/>
      </w:r>
      <w:r w:rsidR="00105A6E">
        <w:rPr>
          <w:rFonts w:ascii="Book Antiqua" w:hAnsi="Book Antiqua"/>
          <w:sz w:val="24"/>
          <w:szCs w:val="24"/>
        </w:rPr>
        <w:t>20</w:t>
      </w:r>
      <w:r w:rsidR="00085449">
        <w:rPr>
          <w:rFonts w:ascii="Book Antiqua" w:hAnsi="Book Antiqua"/>
          <w:sz w:val="24"/>
          <w:szCs w:val="24"/>
        </w:rPr>
        <w:t xml:space="preserve"> August 2020</w:t>
      </w:r>
    </w:p>
    <w:p w14:paraId="16ECCD55" w14:textId="1361B071" w:rsidR="008344E5" w:rsidRPr="00A83977" w:rsidRDefault="008344E5" w:rsidP="008344E5">
      <w:pPr>
        <w:rPr>
          <w:rFonts w:ascii="Book Antiqua" w:hAnsi="Book Antiqua" w:cs="Arial"/>
        </w:rPr>
      </w:pPr>
      <w:r>
        <w:rPr>
          <w:rFonts w:ascii="Book Antiqua" w:hAnsi="Book Antiqua" w:cs="Arial"/>
        </w:rPr>
        <w:t xml:space="preserve">     </w:t>
      </w:r>
    </w:p>
    <w:sectPr w:rsidR="008344E5" w:rsidRPr="00A83977" w:rsidSect="00460A14">
      <w:headerReference w:type="default" r:id="rId9"/>
      <w:footerReference w:type="default" r:id="rId10"/>
      <w:footerReference w:type="first" r:id="rId11"/>
      <w:pgSz w:w="11906" w:h="16838" w:code="9"/>
      <w:pgMar w:top="1247"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A2CDF" w14:textId="77777777" w:rsidR="00330D67" w:rsidRDefault="00330D67" w:rsidP="00330D67">
      <w:pPr>
        <w:spacing w:after="0" w:line="240" w:lineRule="auto"/>
      </w:pPr>
      <w:r>
        <w:separator/>
      </w:r>
    </w:p>
  </w:endnote>
  <w:endnote w:type="continuationSeparator" w:id="0">
    <w:p w14:paraId="3803574A" w14:textId="77777777" w:rsidR="00330D67" w:rsidRDefault="00330D67" w:rsidP="00330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4"/>
        <w:szCs w:val="24"/>
      </w:rPr>
      <w:id w:val="1405955442"/>
      <w:docPartObj>
        <w:docPartGallery w:val="Page Numbers (Bottom of Page)"/>
        <w:docPartUnique/>
      </w:docPartObj>
    </w:sdtPr>
    <w:sdtEndPr>
      <w:rPr>
        <w:noProof/>
      </w:rPr>
    </w:sdtEndPr>
    <w:sdtContent>
      <w:p w14:paraId="65CA3C14" w14:textId="4AB1D061" w:rsidR="00330D67" w:rsidRPr="00B70D2E" w:rsidRDefault="00330D67">
        <w:pPr>
          <w:pStyle w:val="Footer"/>
          <w:jc w:val="center"/>
          <w:rPr>
            <w:rFonts w:ascii="Book Antiqua" w:hAnsi="Book Antiqua"/>
            <w:sz w:val="24"/>
            <w:szCs w:val="24"/>
          </w:rPr>
        </w:pPr>
        <w:r w:rsidRPr="00B70D2E">
          <w:rPr>
            <w:rFonts w:ascii="Book Antiqua" w:hAnsi="Book Antiqua"/>
            <w:sz w:val="24"/>
            <w:szCs w:val="24"/>
          </w:rPr>
          <w:fldChar w:fldCharType="begin"/>
        </w:r>
        <w:r w:rsidRPr="00B70D2E">
          <w:rPr>
            <w:rFonts w:ascii="Book Antiqua" w:hAnsi="Book Antiqua"/>
            <w:sz w:val="24"/>
            <w:szCs w:val="24"/>
          </w:rPr>
          <w:instrText xml:space="preserve"> PAGE   \* MERGEFORMAT </w:instrText>
        </w:r>
        <w:r w:rsidRPr="00B70D2E">
          <w:rPr>
            <w:rFonts w:ascii="Book Antiqua" w:hAnsi="Book Antiqua"/>
            <w:sz w:val="24"/>
            <w:szCs w:val="24"/>
          </w:rPr>
          <w:fldChar w:fldCharType="separate"/>
        </w:r>
        <w:r w:rsidR="00FE75E0" w:rsidRPr="00B70D2E">
          <w:rPr>
            <w:rFonts w:ascii="Book Antiqua" w:hAnsi="Book Antiqua"/>
            <w:noProof/>
            <w:sz w:val="24"/>
            <w:szCs w:val="24"/>
          </w:rPr>
          <w:t>4</w:t>
        </w:r>
        <w:r w:rsidRPr="00B70D2E">
          <w:rPr>
            <w:rFonts w:ascii="Book Antiqua" w:hAnsi="Book Antiqua"/>
            <w:noProof/>
            <w:sz w:val="24"/>
            <w:szCs w:val="24"/>
          </w:rPr>
          <w:fldChar w:fldCharType="end"/>
        </w:r>
      </w:p>
    </w:sdtContent>
  </w:sdt>
  <w:p w14:paraId="1B6E1694" w14:textId="77777777" w:rsidR="00330D67" w:rsidRDefault="00330D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4"/>
        <w:szCs w:val="24"/>
      </w:rPr>
      <w:id w:val="1001701355"/>
      <w:docPartObj>
        <w:docPartGallery w:val="Page Numbers (Bottom of Page)"/>
        <w:docPartUnique/>
      </w:docPartObj>
    </w:sdtPr>
    <w:sdtEndPr>
      <w:rPr>
        <w:noProof/>
      </w:rPr>
    </w:sdtEndPr>
    <w:sdtContent>
      <w:p w14:paraId="5798579D" w14:textId="1C470840" w:rsidR="00330D67" w:rsidRPr="00B70D2E" w:rsidRDefault="00330D67">
        <w:pPr>
          <w:pStyle w:val="Footer"/>
          <w:jc w:val="center"/>
          <w:rPr>
            <w:rFonts w:ascii="Book Antiqua" w:hAnsi="Book Antiqua"/>
            <w:sz w:val="24"/>
            <w:szCs w:val="24"/>
          </w:rPr>
        </w:pPr>
        <w:r w:rsidRPr="00B70D2E">
          <w:rPr>
            <w:rFonts w:ascii="Book Antiqua" w:hAnsi="Book Antiqua" w:cs="Arial"/>
            <w:b/>
            <w:spacing w:val="-6"/>
            <w:sz w:val="24"/>
            <w:szCs w:val="24"/>
          </w:rPr>
          <w:t>©</w:t>
        </w:r>
        <w:r w:rsidRPr="00B70D2E">
          <w:rPr>
            <w:rFonts w:ascii="Book Antiqua" w:hAnsi="Book Antiqua" w:cs="Arial"/>
            <w:b/>
            <w:sz w:val="24"/>
            <w:szCs w:val="24"/>
          </w:rPr>
          <w:t xml:space="preserve"> CROWN COPYRIGHT 2020</w:t>
        </w:r>
      </w:p>
    </w:sdtContent>
  </w:sdt>
  <w:p w14:paraId="3FC44161" w14:textId="77777777" w:rsidR="00330D67" w:rsidRDefault="00330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1A8A1" w14:textId="77777777" w:rsidR="00330D67" w:rsidRDefault="00330D67" w:rsidP="00330D67">
      <w:pPr>
        <w:spacing w:after="0" w:line="240" w:lineRule="auto"/>
      </w:pPr>
      <w:r>
        <w:separator/>
      </w:r>
    </w:p>
  </w:footnote>
  <w:footnote w:type="continuationSeparator" w:id="0">
    <w:p w14:paraId="5EBB8792" w14:textId="77777777" w:rsidR="00330D67" w:rsidRDefault="00330D67" w:rsidP="00330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480DE" w14:textId="273A5941" w:rsidR="00330D67" w:rsidRPr="00B70D2E" w:rsidRDefault="00330D67" w:rsidP="00B70D2E">
    <w:pPr>
      <w:pStyle w:val="Header"/>
      <w:jc w:val="right"/>
      <w:rPr>
        <w:sz w:val="16"/>
        <w:szCs w:val="16"/>
      </w:rPr>
    </w:pPr>
    <w:r>
      <w:rPr>
        <w:rFonts w:ascii="Book Antiqua" w:hAnsi="Book Antiqua" w:cs="Arial"/>
        <w:b/>
        <w:color w:val="000000"/>
      </w:rPr>
      <w:t xml:space="preserve">                                                                                                                </w:t>
    </w:r>
    <w:r w:rsidRPr="00B70D2E">
      <w:rPr>
        <w:rFonts w:ascii="Book Antiqua" w:hAnsi="Book Antiqua" w:cs="Arial"/>
        <w:color w:val="000000"/>
        <w:sz w:val="16"/>
        <w:szCs w:val="16"/>
      </w:rPr>
      <w:t>Appeal number: EA/04616/2019 (P)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B05E8"/>
    <w:multiLevelType w:val="hybridMultilevel"/>
    <w:tmpl w:val="87FA2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C17423"/>
    <w:multiLevelType w:val="hybridMultilevel"/>
    <w:tmpl w:val="48B47CB4"/>
    <w:lvl w:ilvl="0" w:tplc="59FCAB64">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2E4358"/>
    <w:multiLevelType w:val="hybridMultilevel"/>
    <w:tmpl w:val="1EDC46D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BC4"/>
    <w:rsid w:val="00006677"/>
    <w:rsid w:val="00007352"/>
    <w:rsid w:val="00013879"/>
    <w:rsid w:val="00013A90"/>
    <w:rsid w:val="00015E5B"/>
    <w:rsid w:val="0003044F"/>
    <w:rsid w:val="00032087"/>
    <w:rsid w:val="00032F0B"/>
    <w:rsid w:val="00043827"/>
    <w:rsid w:val="00045693"/>
    <w:rsid w:val="0005319E"/>
    <w:rsid w:val="0005635B"/>
    <w:rsid w:val="000573D1"/>
    <w:rsid w:val="0006726B"/>
    <w:rsid w:val="00067964"/>
    <w:rsid w:val="00072C7D"/>
    <w:rsid w:val="00085449"/>
    <w:rsid w:val="000A20EF"/>
    <w:rsid w:val="000B0072"/>
    <w:rsid w:val="000B18DA"/>
    <w:rsid w:val="000B5C1D"/>
    <w:rsid w:val="000D31F4"/>
    <w:rsid w:val="000D5987"/>
    <w:rsid w:val="000D7DC7"/>
    <w:rsid w:val="000E0EC3"/>
    <w:rsid w:val="000E7299"/>
    <w:rsid w:val="000F5FCA"/>
    <w:rsid w:val="00105A6E"/>
    <w:rsid w:val="00112FC7"/>
    <w:rsid w:val="001134F8"/>
    <w:rsid w:val="00116BEB"/>
    <w:rsid w:val="00121AD9"/>
    <w:rsid w:val="00124BC9"/>
    <w:rsid w:val="0013275F"/>
    <w:rsid w:val="0014038C"/>
    <w:rsid w:val="00146EDE"/>
    <w:rsid w:val="00175BE0"/>
    <w:rsid w:val="00190C9B"/>
    <w:rsid w:val="0019437D"/>
    <w:rsid w:val="001A3379"/>
    <w:rsid w:val="001A5B59"/>
    <w:rsid w:val="001B1086"/>
    <w:rsid w:val="001B458D"/>
    <w:rsid w:val="001B7E2B"/>
    <w:rsid w:val="001C22BE"/>
    <w:rsid w:val="001C46C7"/>
    <w:rsid w:val="001F14D8"/>
    <w:rsid w:val="001F3947"/>
    <w:rsid w:val="001F3DE5"/>
    <w:rsid w:val="001F40AB"/>
    <w:rsid w:val="00204C4E"/>
    <w:rsid w:val="0021144E"/>
    <w:rsid w:val="00214B52"/>
    <w:rsid w:val="00216910"/>
    <w:rsid w:val="00221DCF"/>
    <w:rsid w:val="00225E50"/>
    <w:rsid w:val="00226482"/>
    <w:rsid w:val="0023211E"/>
    <w:rsid w:val="0023384E"/>
    <w:rsid w:val="002342C2"/>
    <w:rsid w:val="002420F7"/>
    <w:rsid w:val="00242354"/>
    <w:rsid w:val="00244E5B"/>
    <w:rsid w:val="00245388"/>
    <w:rsid w:val="00267BB1"/>
    <w:rsid w:val="002738BC"/>
    <w:rsid w:val="00286963"/>
    <w:rsid w:val="00290F5B"/>
    <w:rsid w:val="002A1ED2"/>
    <w:rsid w:val="002A2276"/>
    <w:rsid w:val="002A7079"/>
    <w:rsid w:val="002B0297"/>
    <w:rsid w:val="002B31F4"/>
    <w:rsid w:val="002B4BFC"/>
    <w:rsid w:val="002C0234"/>
    <w:rsid w:val="002D3DFC"/>
    <w:rsid w:val="002E282F"/>
    <w:rsid w:val="002F4B64"/>
    <w:rsid w:val="00300755"/>
    <w:rsid w:val="00301876"/>
    <w:rsid w:val="00301C45"/>
    <w:rsid w:val="00304CAE"/>
    <w:rsid w:val="00305573"/>
    <w:rsid w:val="003067A3"/>
    <w:rsid w:val="00307574"/>
    <w:rsid w:val="00310371"/>
    <w:rsid w:val="00313D8E"/>
    <w:rsid w:val="00324095"/>
    <w:rsid w:val="00330D67"/>
    <w:rsid w:val="0033103E"/>
    <w:rsid w:val="003350BF"/>
    <w:rsid w:val="003557DC"/>
    <w:rsid w:val="00364C01"/>
    <w:rsid w:val="0036518E"/>
    <w:rsid w:val="003659BC"/>
    <w:rsid w:val="003664AF"/>
    <w:rsid w:val="003670EC"/>
    <w:rsid w:val="00370C0F"/>
    <w:rsid w:val="00370E51"/>
    <w:rsid w:val="003740AB"/>
    <w:rsid w:val="003770ED"/>
    <w:rsid w:val="0037782A"/>
    <w:rsid w:val="00387528"/>
    <w:rsid w:val="00391928"/>
    <w:rsid w:val="003A004C"/>
    <w:rsid w:val="003D15E8"/>
    <w:rsid w:val="003D4C06"/>
    <w:rsid w:val="003E0CBA"/>
    <w:rsid w:val="003E5F94"/>
    <w:rsid w:val="003E71E0"/>
    <w:rsid w:val="003F4D6B"/>
    <w:rsid w:val="003F540A"/>
    <w:rsid w:val="0040331D"/>
    <w:rsid w:val="00403F08"/>
    <w:rsid w:val="00406DD5"/>
    <w:rsid w:val="00413C2A"/>
    <w:rsid w:val="00416D77"/>
    <w:rsid w:val="00420A09"/>
    <w:rsid w:val="00420E00"/>
    <w:rsid w:val="00422C7A"/>
    <w:rsid w:val="00424402"/>
    <w:rsid w:val="00424F84"/>
    <w:rsid w:val="0043156A"/>
    <w:rsid w:val="00431FF8"/>
    <w:rsid w:val="004410C0"/>
    <w:rsid w:val="00444B27"/>
    <w:rsid w:val="00444BC6"/>
    <w:rsid w:val="00460A14"/>
    <w:rsid w:val="00463C55"/>
    <w:rsid w:val="00472928"/>
    <w:rsid w:val="00475495"/>
    <w:rsid w:val="00477028"/>
    <w:rsid w:val="004908F4"/>
    <w:rsid w:val="00492953"/>
    <w:rsid w:val="00497B97"/>
    <w:rsid w:val="004A003C"/>
    <w:rsid w:val="004A473B"/>
    <w:rsid w:val="004A4F1B"/>
    <w:rsid w:val="004B146F"/>
    <w:rsid w:val="004B1679"/>
    <w:rsid w:val="004B7734"/>
    <w:rsid w:val="004C51FE"/>
    <w:rsid w:val="004D6449"/>
    <w:rsid w:val="004E134C"/>
    <w:rsid w:val="004E4364"/>
    <w:rsid w:val="004F2F54"/>
    <w:rsid w:val="004F5E28"/>
    <w:rsid w:val="004F739B"/>
    <w:rsid w:val="00517D7A"/>
    <w:rsid w:val="00520A63"/>
    <w:rsid w:val="00525110"/>
    <w:rsid w:val="00531749"/>
    <w:rsid w:val="0053231A"/>
    <w:rsid w:val="00537159"/>
    <w:rsid w:val="0054333C"/>
    <w:rsid w:val="005466E3"/>
    <w:rsid w:val="0055692C"/>
    <w:rsid w:val="00557C10"/>
    <w:rsid w:val="005605FD"/>
    <w:rsid w:val="00560820"/>
    <w:rsid w:val="00562099"/>
    <w:rsid w:val="005806B2"/>
    <w:rsid w:val="0058334E"/>
    <w:rsid w:val="00590C78"/>
    <w:rsid w:val="00594483"/>
    <w:rsid w:val="005B0749"/>
    <w:rsid w:val="005B173D"/>
    <w:rsid w:val="005C1D83"/>
    <w:rsid w:val="005D1618"/>
    <w:rsid w:val="005D5755"/>
    <w:rsid w:val="005D7BD6"/>
    <w:rsid w:val="005F2821"/>
    <w:rsid w:val="005F3CCF"/>
    <w:rsid w:val="006052E7"/>
    <w:rsid w:val="006074F9"/>
    <w:rsid w:val="006119C1"/>
    <w:rsid w:val="00617657"/>
    <w:rsid w:val="00622342"/>
    <w:rsid w:val="0062297D"/>
    <w:rsid w:val="0062432B"/>
    <w:rsid w:val="00626F97"/>
    <w:rsid w:val="006301AF"/>
    <w:rsid w:val="00632450"/>
    <w:rsid w:val="00637F76"/>
    <w:rsid w:val="0064282D"/>
    <w:rsid w:val="00643137"/>
    <w:rsid w:val="00652C07"/>
    <w:rsid w:val="00662D4B"/>
    <w:rsid w:val="00670B11"/>
    <w:rsid w:val="00682B9E"/>
    <w:rsid w:val="0068517C"/>
    <w:rsid w:val="006A1A31"/>
    <w:rsid w:val="006A63B3"/>
    <w:rsid w:val="006C7481"/>
    <w:rsid w:val="006D0C96"/>
    <w:rsid w:val="006E5EAC"/>
    <w:rsid w:val="006F49C6"/>
    <w:rsid w:val="00734691"/>
    <w:rsid w:val="0074464A"/>
    <w:rsid w:val="0075054F"/>
    <w:rsid w:val="007539E5"/>
    <w:rsid w:val="00762C05"/>
    <w:rsid w:val="00773012"/>
    <w:rsid w:val="007763C0"/>
    <w:rsid w:val="0078510E"/>
    <w:rsid w:val="00790316"/>
    <w:rsid w:val="007905AE"/>
    <w:rsid w:val="00790616"/>
    <w:rsid w:val="00792572"/>
    <w:rsid w:val="007941CB"/>
    <w:rsid w:val="007B5ABD"/>
    <w:rsid w:val="007C2683"/>
    <w:rsid w:val="007C3C30"/>
    <w:rsid w:val="007E2A21"/>
    <w:rsid w:val="007F1C68"/>
    <w:rsid w:val="007F1E83"/>
    <w:rsid w:val="007F2B88"/>
    <w:rsid w:val="008006E3"/>
    <w:rsid w:val="00802363"/>
    <w:rsid w:val="0080280E"/>
    <w:rsid w:val="008035C1"/>
    <w:rsid w:val="00806D6F"/>
    <w:rsid w:val="00814947"/>
    <w:rsid w:val="00816A92"/>
    <w:rsid w:val="008344E5"/>
    <w:rsid w:val="00836F5F"/>
    <w:rsid w:val="0084799D"/>
    <w:rsid w:val="00852993"/>
    <w:rsid w:val="00854961"/>
    <w:rsid w:val="00860EDD"/>
    <w:rsid w:val="008738A8"/>
    <w:rsid w:val="00881066"/>
    <w:rsid w:val="0088159D"/>
    <w:rsid w:val="00881DA6"/>
    <w:rsid w:val="008A31FA"/>
    <w:rsid w:val="008C051B"/>
    <w:rsid w:val="008E07B0"/>
    <w:rsid w:val="008E285E"/>
    <w:rsid w:val="008F5618"/>
    <w:rsid w:val="008F662B"/>
    <w:rsid w:val="0090201F"/>
    <w:rsid w:val="00903C48"/>
    <w:rsid w:val="0090679F"/>
    <w:rsid w:val="009119AF"/>
    <w:rsid w:val="00914D00"/>
    <w:rsid w:val="00914EB5"/>
    <w:rsid w:val="00922841"/>
    <w:rsid w:val="00925290"/>
    <w:rsid w:val="0093160D"/>
    <w:rsid w:val="0093406A"/>
    <w:rsid w:val="00940C70"/>
    <w:rsid w:val="009455C3"/>
    <w:rsid w:val="00952320"/>
    <w:rsid w:val="00952A82"/>
    <w:rsid w:val="0097335A"/>
    <w:rsid w:val="00982309"/>
    <w:rsid w:val="00982C0C"/>
    <w:rsid w:val="0099260B"/>
    <w:rsid w:val="00996DC5"/>
    <w:rsid w:val="009B4F6A"/>
    <w:rsid w:val="009B5D78"/>
    <w:rsid w:val="009D2B85"/>
    <w:rsid w:val="009D325E"/>
    <w:rsid w:val="009D3576"/>
    <w:rsid w:val="009D5689"/>
    <w:rsid w:val="009D6D09"/>
    <w:rsid w:val="009E207A"/>
    <w:rsid w:val="009E3E60"/>
    <w:rsid w:val="009E4658"/>
    <w:rsid w:val="009F3AF8"/>
    <w:rsid w:val="00A2252A"/>
    <w:rsid w:val="00A3196D"/>
    <w:rsid w:val="00A46658"/>
    <w:rsid w:val="00A47336"/>
    <w:rsid w:val="00A47B16"/>
    <w:rsid w:val="00A5356B"/>
    <w:rsid w:val="00A578C8"/>
    <w:rsid w:val="00A61CA2"/>
    <w:rsid w:val="00A6232D"/>
    <w:rsid w:val="00A66EB8"/>
    <w:rsid w:val="00A81976"/>
    <w:rsid w:val="00A83977"/>
    <w:rsid w:val="00A84043"/>
    <w:rsid w:val="00A847D1"/>
    <w:rsid w:val="00A86F0D"/>
    <w:rsid w:val="00A91C9C"/>
    <w:rsid w:val="00A91F70"/>
    <w:rsid w:val="00A93D78"/>
    <w:rsid w:val="00A9472A"/>
    <w:rsid w:val="00AB0597"/>
    <w:rsid w:val="00AB3BC1"/>
    <w:rsid w:val="00AB5709"/>
    <w:rsid w:val="00AD3E2C"/>
    <w:rsid w:val="00AE4B1B"/>
    <w:rsid w:val="00AE5710"/>
    <w:rsid w:val="00AE767F"/>
    <w:rsid w:val="00B15F54"/>
    <w:rsid w:val="00B16E97"/>
    <w:rsid w:val="00B25B81"/>
    <w:rsid w:val="00B25D4F"/>
    <w:rsid w:val="00B346D2"/>
    <w:rsid w:val="00B3664E"/>
    <w:rsid w:val="00B379D6"/>
    <w:rsid w:val="00B43F20"/>
    <w:rsid w:val="00B47632"/>
    <w:rsid w:val="00B602AD"/>
    <w:rsid w:val="00B6141B"/>
    <w:rsid w:val="00B70D2E"/>
    <w:rsid w:val="00B73A56"/>
    <w:rsid w:val="00B76458"/>
    <w:rsid w:val="00B76723"/>
    <w:rsid w:val="00B8281B"/>
    <w:rsid w:val="00B82D9E"/>
    <w:rsid w:val="00B83034"/>
    <w:rsid w:val="00B92287"/>
    <w:rsid w:val="00B938F6"/>
    <w:rsid w:val="00BA68B7"/>
    <w:rsid w:val="00BC280A"/>
    <w:rsid w:val="00BC387D"/>
    <w:rsid w:val="00BC6C2D"/>
    <w:rsid w:val="00BC7544"/>
    <w:rsid w:val="00BD48DE"/>
    <w:rsid w:val="00BD6AD2"/>
    <w:rsid w:val="00BE703F"/>
    <w:rsid w:val="00BE7A4A"/>
    <w:rsid w:val="00BF6D68"/>
    <w:rsid w:val="00BF6ED3"/>
    <w:rsid w:val="00C004A0"/>
    <w:rsid w:val="00C204D1"/>
    <w:rsid w:val="00C2303A"/>
    <w:rsid w:val="00C43600"/>
    <w:rsid w:val="00C508DF"/>
    <w:rsid w:val="00C55E0E"/>
    <w:rsid w:val="00C77FBF"/>
    <w:rsid w:val="00C91547"/>
    <w:rsid w:val="00CB624E"/>
    <w:rsid w:val="00CC40DF"/>
    <w:rsid w:val="00CC6465"/>
    <w:rsid w:val="00CD49B6"/>
    <w:rsid w:val="00CD6499"/>
    <w:rsid w:val="00CD676B"/>
    <w:rsid w:val="00D0038A"/>
    <w:rsid w:val="00D01474"/>
    <w:rsid w:val="00D04F5F"/>
    <w:rsid w:val="00D05B7F"/>
    <w:rsid w:val="00D12848"/>
    <w:rsid w:val="00D22238"/>
    <w:rsid w:val="00D32A2E"/>
    <w:rsid w:val="00D46F59"/>
    <w:rsid w:val="00D57B33"/>
    <w:rsid w:val="00D61B8E"/>
    <w:rsid w:val="00D65EC0"/>
    <w:rsid w:val="00D7015A"/>
    <w:rsid w:val="00D705C2"/>
    <w:rsid w:val="00D806A7"/>
    <w:rsid w:val="00D858EA"/>
    <w:rsid w:val="00D92EFE"/>
    <w:rsid w:val="00DA0DC9"/>
    <w:rsid w:val="00DA2DA9"/>
    <w:rsid w:val="00DA4FE3"/>
    <w:rsid w:val="00DB5D2E"/>
    <w:rsid w:val="00DC566F"/>
    <w:rsid w:val="00DE1CD1"/>
    <w:rsid w:val="00DE4DBF"/>
    <w:rsid w:val="00DE5D05"/>
    <w:rsid w:val="00E04160"/>
    <w:rsid w:val="00E05C63"/>
    <w:rsid w:val="00E10A67"/>
    <w:rsid w:val="00E1564C"/>
    <w:rsid w:val="00E1657F"/>
    <w:rsid w:val="00E234A1"/>
    <w:rsid w:val="00E32CAD"/>
    <w:rsid w:val="00E36EC9"/>
    <w:rsid w:val="00E36FE7"/>
    <w:rsid w:val="00E505C3"/>
    <w:rsid w:val="00E573EB"/>
    <w:rsid w:val="00E613DE"/>
    <w:rsid w:val="00E65F56"/>
    <w:rsid w:val="00E7214E"/>
    <w:rsid w:val="00E73154"/>
    <w:rsid w:val="00E742C3"/>
    <w:rsid w:val="00E773B7"/>
    <w:rsid w:val="00E83510"/>
    <w:rsid w:val="00E947A3"/>
    <w:rsid w:val="00EA7CD7"/>
    <w:rsid w:val="00EB20D6"/>
    <w:rsid w:val="00EC6071"/>
    <w:rsid w:val="00ED284F"/>
    <w:rsid w:val="00ED5524"/>
    <w:rsid w:val="00ED788A"/>
    <w:rsid w:val="00EE58DE"/>
    <w:rsid w:val="00EE647A"/>
    <w:rsid w:val="00EE6DCE"/>
    <w:rsid w:val="00EE77BE"/>
    <w:rsid w:val="00EF6339"/>
    <w:rsid w:val="00F023EA"/>
    <w:rsid w:val="00F05037"/>
    <w:rsid w:val="00F104C8"/>
    <w:rsid w:val="00F140E1"/>
    <w:rsid w:val="00F15B6D"/>
    <w:rsid w:val="00F1628F"/>
    <w:rsid w:val="00F2459F"/>
    <w:rsid w:val="00F30254"/>
    <w:rsid w:val="00F35BC4"/>
    <w:rsid w:val="00F40B90"/>
    <w:rsid w:val="00F4704E"/>
    <w:rsid w:val="00F53790"/>
    <w:rsid w:val="00F5536C"/>
    <w:rsid w:val="00F672D4"/>
    <w:rsid w:val="00F70C5F"/>
    <w:rsid w:val="00F71E5A"/>
    <w:rsid w:val="00F75427"/>
    <w:rsid w:val="00F840DE"/>
    <w:rsid w:val="00F91076"/>
    <w:rsid w:val="00F91BEA"/>
    <w:rsid w:val="00FA5A00"/>
    <w:rsid w:val="00FA6098"/>
    <w:rsid w:val="00FA7332"/>
    <w:rsid w:val="00FB29D9"/>
    <w:rsid w:val="00FB2A13"/>
    <w:rsid w:val="00FB3B3E"/>
    <w:rsid w:val="00FB41E3"/>
    <w:rsid w:val="00FB4DFA"/>
    <w:rsid w:val="00FC03DC"/>
    <w:rsid w:val="00FC1969"/>
    <w:rsid w:val="00FC478A"/>
    <w:rsid w:val="00FC6244"/>
    <w:rsid w:val="00FD22B1"/>
    <w:rsid w:val="00FE39C2"/>
    <w:rsid w:val="00FE4EB0"/>
    <w:rsid w:val="00FE7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3A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2">
    <w:name w:val="s2"/>
    <w:basedOn w:val="DefaultParagraphFont"/>
    <w:rsid w:val="000B0072"/>
  </w:style>
  <w:style w:type="character" w:customStyle="1" w:styleId="apple-converted-space">
    <w:name w:val="apple-converted-space"/>
    <w:basedOn w:val="DefaultParagraphFont"/>
    <w:rsid w:val="000B0072"/>
  </w:style>
  <w:style w:type="paragraph" w:styleId="ListParagraph">
    <w:name w:val="List Paragraph"/>
    <w:basedOn w:val="Normal"/>
    <w:uiPriority w:val="34"/>
    <w:qFormat/>
    <w:rsid w:val="000B0072"/>
    <w:pPr>
      <w:ind w:left="720"/>
      <w:contextualSpacing/>
    </w:pPr>
  </w:style>
  <w:style w:type="paragraph" w:styleId="Header">
    <w:name w:val="header"/>
    <w:basedOn w:val="Normal"/>
    <w:link w:val="HeaderChar"/>
    <w:uiPriority w:val="99"/>
    <w:unhideWhenUsed/>
    <w:rsid w:val="00330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D67"/>
    <w:rPr>
      <w:sz w:val="22"/>
      <w:szCs w:val="22"/>
      <w:lang w:eastAsia="en-US"/>
    </w:rPr>
  </w:style>
  <w:style w:type="paragraph" w:styleId="Footer">
    <w:name w:val="footer"/>
    <w:basedOn w:val="Normal"/>
    <w:link w:val="FooterChar"/>
    <w:uiPriority w:val="99"/>
    <w:unhideWhenUsed/>
    <w:rsid w:val="00330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D67"/>
    <w:rPr>
      <w:sz w:val="22"/>
      <w:szCs w:val="22"/>
      <w:lang w:eastAsia="en-US"/>
    </w:rPr>
  </w:style>
  <w:style w:type="paragraph" w:styleId="BalloonText">
    <w:name w:val="Balloon Text"/>
    <w:basedOn w:val="Normal"/>
    <w:link w:val="BalloonTextChar"/>
    <w:uiPriority w:val="99"/>
    <w:semiHidden/>
    <w:unhideWhenUsed/>
    <w:rsid w:val="001A5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B5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6755">
      <w:bodyDiv w:val="1"/>
      <w:marLeft w:val="0"/>
      <w:marRight w:val="0"/>
      <w:marTop w:val="0"/>
      <w:marBottom w:val="0"/>
      <w:divBdr>
        <w:top w:val="none" w:sz="0" w:space="0" w:color="auto"/>
        <w:left w:val="none" w:sz="0" w:space="0" w:color="auto"/>
        <w:bottom w:val="none" w:sz="0" w:space="0" w:color="auto"/>
        <w:right w:val="none" w:sz="0" w:space="0" w:color="auto"/>
      </w:divBdr>
    </w:div>
    <w:div w:id="10247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2020-09-07T13:08:00Z</dcterms:created>
  <dcterms:modified xsi:type="dcterms:W3CDTF">2020-09-07T13:08:00Z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