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AFC" w:rsidRPr="00A544A8" w:rsidRDefault="00D94AFC">
      <w:pPr>
        <w:rPr>
          <w:rFonts w:ascii="Sylfaen" w:hAnsi="Sylfaen" w:cs="Arial"/>
          <w:color w:val="000000"/>
          <w:sz w:val="16"/>
          <w:szCs w:val="16"/>
        </w:rPr>
      </w:pPr>
    </w:p>
    <w:p w:rsidR="00F97703" w:rsidRPr="00A544A8" w:rsidRDefault="002A2F7A" w:rsidP="00F97703">
      <w:pPr>
        <w:jc w:val="center"/>
        <w:rPr>
          <w:rFonts w:ascii="Sylfaen" w:hAnsi="Sylfaen" w:cs="Arial"/>
          <w:color w:val="000000"/>
        </w:rPr>
      </w:pPr>
      <w:r w:rsidRPr="00A544A8">
        <w:rPr>
          <w:rFonts w:ascii="Sylfaen" w:hAnsi="Sylfaen"/>
          <w:noProof/>
        </w:rPr>
        <w:drawing>
          <wp:inline distT="0" distB="0" distL="0" distR="0">
            <wp:extent cx="1498600" cy="113665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8600" cy="1136650"/>
                    </a:xfrm>
                    <a:prstGeom prst="rect">
                      <a:avLst/>
                    </a:prstGeom>
                    <a:noFill/>
                    <a:ln>
                      <a:noFill/>
                    </a:ln>
                  </pic:spPr>
                </pic:pic>
              </a:graphicData>
            </a:graphic>
          </wp:inline>
        </w:drawing>
      </w:r>
    </w:p>
    <w:p w:rsidR="00F97703" w:rsidRPr="00A544A8" w:rsidRDefault="00611011" w:rsidP="00780F86">
      <w:pPr>
        <w:tabs>
          <w:tab w:val="right" w:pos="9720"/>
        </w:tabs>
        <w:ind w:right="-82"/>
        <w:rPr>
          <w:rFonts w:ascii="Sylfaen" w:hAnsi="Sylfaen" w:cs="Arial"/>
          <w:b/>
          <w:color w:val="000000"/>
        </w:rPr>
      </w:pPr>
      <w:r w:rsidRPr="00A544A8">
        <w:rPr>
          <w:rFonts w:ascii="Sylfaen" w:hAnsi="Sylfaen" w:cs="Arial"/>
          <w:b/>
          <w:color w:val="000000"/>
        </w:rPr>
        <w:t>Upper</w:t>
      </w:r>
      <w:r w:rsidR="00F97703" w:rsidRPr="00A544A8">
        <w:rPr>
          <w:rFonts w:ascii="Sylfaen" w:hAnsi="Sylfaen" w:cs="Arial"/>
          <w:b/>
          <w:color w:val="000000"/>
        </w:rPr>
        <w:t xml:space="preserve"> Tribunal </w:t>
      </w:r>
    </w:p>
    <w:p w:rsidR="007B0824" w:rsidRPr="00A544A8" w:rsidRDefault="00F97703" w:rsidP="00780F86">
      <w:pPr>
        <w:tabs>
          <w:tab w:val="right" w:pos="9720"/>
        </w:tabs>
        <w:ind w:right="-82"/>
        <w:rPr>
          <w:rFonts w:ascii="Sylfaen" w:hAnsi="Sylfaen" w:cs="Arial"/>
          <w:color w:val="000000"/>
        </w:rPr>
      </w:pPr>
      <w:r w:rsidRPr="00A544A8">
        <w:rPr>
          <w:rFonts w:ascii="Sylfaen" w:hAnsi="Sylfaen" w:cs="Arial"/>
          <w:b/>
          <w:color w:val="000000"/>
        </w:rPr>
        <w:t>(Immigration and Asylum Chamber)</w:t>
      </w:r>
      <w:r w:rsidR="00DB70AE" w:rsidRPr="00A544A8">
        <w:rPr>
          <w:rFonts w:ascii="Sylfaen" w:hAnsi="Sylfaen" w:cs="Arial"/>
          <w:b/>
          <w:color w:val="000000"/>
        </w:rPr>
        <w:tab/>
      </w:r>
      <w:bookmarkStart w:id="0" w:name="_Hlk523925162"/>
      <w:r w:rsidR="00B3524D" w:rsidRPr="00A544A8">
        <w:rPr>
          <w:rFonts w:ascii="Sylfaen" w:hAnsi="Sylfaen" w:cs="Arial"/>
          <w:color w:val="000000"/>
        </w:rPr>
        <w:t>Appeal</w:t>
      </w:r>
      <w:r w:rsidR="00BD3A9C">
        <w:rPr>
          <w:rFonts w:ascii="Sylfaen" w:hAnsi="Sylfaen" w:cs="Arial"/>
          <w:color w:val="000000"/>
        </w:rPr>
        <w:t xml:space="preserve"> no</w:t>
      </w:r>
      <w:r w:rsidR="00D53769" w:rsidRPr="00A544A8">
        <w:rPr>
          <w:rFonts w:ascii="Sylfaen" w:hAnsi="Sylfaen" w:cs="Arial"/>
          <w:color w:val="000000"/>
        </w:rPr>
        <w:t>:</w:t>
      </w:r>
      <w:r w:rsidR="00B3524D" w:rsidRPr="00A544A8">
        <w:rPr>
          <w:rFonts w:ascii="Sylfaen" w:hAnsi="Sylfaen" w:cs="Arial"/>
          <w:color w:val="000000"/>
        </w:rPr>
        <w:t xml:space="preserve"> </w:t>
      </w:r>
      <w:bookmarkStart w:id="1" w:name="_GoBack"/>
      <w:r w:rsidR="00F62908">
        <w:rPr>
          <w:rFonts w:ascii="Sylfaen" w:hAnsi="Sylfaen" w:cs="Arial"/>
          <w:b/>
          <w:caps/>
          <w:color w:val="000000"/>
        </w:rPr>
        <w:t>ea</w:t>
      </w:r>
      <w:r w:rsidR="001A2140">
        <w:rPr>
          <w:rFonts w:ascii="Sylfaen" w:hAnsi="Sylfaen" w:cs="Arial"/>
          <w:b/>
          <w:caps/>
          <w:color w:val="000000"/>
        </w:rPr>
        <w:t>/</w:t>
      </w:r>
      <w:r w:rsidR="00F62908">
        <w:rPr>
          <w:rFonts w:ascii="Sylfaen" w:hAnsi="Sylfaen" w:cs="Arial"/>
          <w:b/>
          <w:caps/>
          <w:color w:val="000000"/>
        </w:rPr>
        <w:t>04792</w:t>
      </w:r>
      <w:r w:rsidR="001A2140">
        <w:rPr>
          <w:rFonts w:ascii="Sylfaen" w:hAnsi="Sylfaen" w:cs="Arial"/>
          <w:b/>
          <w:caps/>
          <w:color w:val="000000"/>
        </w:rPr>
        <w:t>/20</w:t>
      </w:r>
      <w:r w:rsidR="00F62908">
        <w:rPr>
          <w:rFonts w:ascii="Sylfaen" w:hAnsi="Sylfaen" w:cs="Arial"/>
          <w:b/>
          <w:caps/>
          <w:color w:val="000000"/>
        </w:rPr>
        <w:t>16</w:t>
      </w:r>
      <w:bookmarkEnd w:id="0"/>
      <w:bookmarkEnd w:id="1"/>
    </w:p>
    <w:p w:rsidR="00C345E1" w:rsidRPr="00A544A8" w:rsidRDefault="00C345E1" w:rsidP="00C345E1">
      <w:pPr>
        <w:jc w:val="center"/>
        <w:rPr>
          <w:rFonts w:ascii="Sylfaen" w:hAnsi="Sylfaen" w:cs="Arial"/>
          <w:color w:val="000000"/>
        </w:rPr>
      </w:pPr>
    </w:p>
    <w:p w:rsidR="00C345E1" w:rsidRPr="00A544A8" w:rsidRDefault="00C345E1" w:rsidP="00C345E1">
      <w:pPr>
        <w:jc w:val="center"/>
        <w:rPr>
          <w:rFonts w:ascii="Sylfaen" w:hAnsi="Sylfaen" w:cs="Arial"/>
          <w:b/>
          <w:color w:val="000000"/>
          <w:u w:val="single"/>
        </w:rPr>
      </w:pPr>
      <w:r w:rsidRPr="00A544A8">
        <w:rPr>
          <w:rFonts w:ascii="Sylfaen" w:hAnsi="Sylfaen" w:cs="Arial"/>
          <w:b/>
          <w:color w:val="000000"/>
          <w:u w:val="single"/>
        </w:rPr>
        <w:t>THE IMMIGRATION ACTS</w:t>
      </w:r>
    </w:p>
    <w:p w:rsidR="00C345E1" w:rsidRPr="00A544A8" w:rsidRDefault="00C345E1" w:rsidP="00C345E1">
      <w:pPr>
        <w:jc w:val="center"/>
        <w:rPr>
          <w:rFonts w:ascii="Sylfaen" w:hAnsi="Sylfaen" w:cs="Arial"/>
          <w:b/>
          <w:u w:val="single"/>
        </w:rPr>
      </w:pPr>
    </w:p>
    <w:tbl>
      <w:tblPr>
        <w:tblW w:w="0" w:type="auto"/>
        <w:tblLook w:val="01E0" w:firstRow="1" w:lastRow="1" w:firstColumn="1" w:lastColumn="1" w:noHBand="0" w:noVBand="0"/>
      </w:tblPr>
      <w:tblGrid>
        <w:gridCol w:w="4666"/>
        <w:gridCol w:w="4972"/>
      </w:tblGrid>
      <w:tr w:rsidR="00D22636" w:rsidRPr="002A2F7A" w:rsidTr="002A2F7A">
        <w:tc>
          <w:tcPr>
            <w:tcW w:w="4786" w:type="dxa"/>
            <w:shd w:val="clear" w:color="auto" w:fill="auto"/>
          </w:tcPr>
          <w:p w:rsidR="00D22636" w:rsidRPr="002A2F7A" w:rsidRDefault="002A2F7A" w:rsidP="00E81F62">
            <w:pPr>
              <w:ind w:left="540" w:hanging="540"/>
              <w:jc w:val="both"/>
              <w:rPr>
                <w:rFonts w:ascii="Sylfaen" w:hAnsi="Sylfaen" w:cs="Arial"/>
              </w:rPr>
            </w:pPr>
            <w:r w:rsidRPr="002A2F7A">
              <w:rPr>
                <w:rFonts w:ascii="Sylfaen" w:hAnsi="Sylfaen" w:cs="Arial"/>
              </w:rPr>
              <w:t xml:space="preserve">Heard </w:t>
            </w:r>
            <w:r w:rsidR="00BD3A9C" w:rsidRPr="002A2F7A">
              <w:rPr>
                <w:rFonts w:ascii="Sylfaen" w:hAnsi="Sylfaen" w:cs="Arial"/>
              </w:rPr>
              <w:t xml:space="preserve">At </w:t>
            </w:r>
            <w:bookmarkStart w:id="2" w:name="Dropdown5"/>
            <w:r w:rsidR="00206F6B" w:rsidRPr="002A2F7A">
              <w:rPr>
                <w:rFonts w:ascii="Sylfaen" w:hAnsi="Sylfaen" w:cs="Arial"/>
              </w:rPr>
              <w:fldChar w:fldCharType="begin">
                <w:ffData>
                  <w:name w:val="Dropdown5"/>
                  <w:enabled/>
                  <w:calcOnExit w:val="0"/>
                  <w:ddList>
                    <w:listEntry w:val="Field House"/>
                    <w:listEntry w:val="Newport"/>
                    <w:listEntry w:val="Harmondsworth"/>
                    <w:listEntry w:val="Royal Courts of Justice"/>
                  </w:ddList>
                </w:ffData>
              </w:fldChar>
            </w:r>
            <w:r w:rsidR="00206F6B" w:rsidRPr="002A2F7A">
              <w:rPr>
                <w:rFonts w:ascii="Sylfaen" w:hAnsi="Sylfaen" w:cs="Arial"/>
              </w:rPr>
              <w:instrText xml:space="preserve"> FORMDROPDOWN </w:instrText>
            </w:r>
            <w:r w:rsidR="008E0A19">
              <w:rPr>
                <w:rFonts w:ascii="Sylfaen" w:hAnsi="Sylfaen" w:cs="Arial"/>
              </w:rPr>
            </w:r>
            <w:r w:rsidR="008E0A19">
              <w:rPr>
                <w:rFonts w:ascii="Sylfaen" w:hAnsi="Sylfaen" w:cs="Arial"/>
              </w:rPr>
              <w:fldChar w:fldCharType="separate"/>
            </w:r>
            <w:r w:rsidR="00206F6B" w:rsidRPr="002A2F7A">
              <w:rPr>
                <w:rFonts w:ascii="Sylfaen" w:hAnsi="Sylfaen" w:cs="Arial"/>
              </w:rPr>
              <w:fldChar w:fldCharType="end"/>
            </w:r>
            <w:bookmarkEnd w:id="2"/>
          </w:p>
        </w:tc>
        <w:tc>
          <w:tcPr>
            <w:tcW w:w="5042" w:type="dxa"/>
            <w:shd w:val="clear" w:color="auto" w:fill="auto"/>
          </w:tcPr>
          <w:p w:rsidR="00D22636" w:rsidRPr="002A2F7A" w:rsidRDefault="00A544A8" w:rsidP="00E81F62">
            <w:pPr>
              <w:ind w:left="1872" w:hanging="1872"/>
              <w:jc w:val="both"/>
              <w:rPr>
                <w:rFonts w:ascii="Sylfaen" w:hAnsi="Sylfaen" w:cs="Arial"/>
                <w:color w:val="000000"/>
              </w:rPr>
            </w:pPr>
            <w:r w:rsidRPr="002A2F7A">
              <w:rPr>
                <w:rFonts w:ascii="Sylfaen" w:hAnsi="Sylfaen" w:cs="Arial"/>
                <w:color w:val="000000"/>
              </w:rPr>
              <w:t xml:space="preserve">Decision </w:t>
            </w:r>
            <w:r w:rsidR="002A2F7A" w:rsidRPr="002A2F7A">
              <w:rPr>
                <w:rFonts w:ascii="Sylfaen" w:hAnsi="Sylfaen" w:cs="Arial"/>
                <w:color w:val="000000"/>
              </w:rPr>
              <w:t xml:space="preserve">and Reasons Promulgated </w:t>
            </w:r>
          </w:p>
        </w:tc>
      </w:tr>
      <w:tr w:rsidR="00D22636" w:rsidRPr="002A2F7A" w:rsidTr="002A2F7A">
        <w:tc>
          <w:tcPr>
            <w:tcW w:w="4786" w:type="dxa"/>
            <w:shd w:val="clear" w:color="auto" w:fill="auto"/>
          </w:tcPr>
          <w:p w:rsidR="00D22636" w:rsidRPr="002A2F7A" w:rsidRDefault="002A2F7A" w:rsidP="00E81F62">
            <w:pPr>
              <w:jc w:val="both"/>
              <w:rPr>
                <w:rFonts w:ascii="Sylfaen" w:hAnsi="Sylfaen" w:cs="Arial"/>
              </w:rPr>
            </w:pPr>
            <w:r w:rsidRPr="002A2F7A">
              <w:rPr>
                <w:rFonts w:ascii="Sylfaen" w:hAnsi="Sylfaen" w:cs="Arial"/>
              </w:rPr>
              <w:t>O</w:t>
            </w:r>
            <w:r w:rsidR="00BD3A9C" w:rsidRPr="002A2F7A">
              <w:rPr>
                <w:rFonts w:ascii="Sylfaen" w:hAnsi="Sylfaen" w:cs="Arial"/>
              </w:rPr>
              <w:t>n</w:t>
            </w:r>
            <w:r w:rsidRPr="002A2F7A">
              <w:rPr>
                <w:rFonts w:ascii="Sylfaen" w:hAnsi="Sylfaen" w:cs="Arial"/>
              </w:rPr>
              <w:t xml:space="preserve"> </w:t>
            </w:r>
            <w:r w:rsidR="00F62908" w:rsidRPr="002A2F7A">
              <w:rPr>
                <w:rFonts w:ascii="Sylfaen" w:hAnsi="Sylfaen" w:cs="Arial"/>
              </w:rPr>
              <w:t>12.07.2018</w:t>
            </w:r>
          </w:p>
        </w:tc>
        <w:tc>
          <w:tcPr>
            <w:tcW w:w="5042" w:type="dxa"/>
            <w:shd w:val="clear" w:color="auto" w:fill="auto"/>
          </w:tcPr>
          <w:p w:rsidR="00D22636" w:rsidRPr="002A2F7A" w:rsidRDefault="002A2F7A" w:rsidP="00E81F62">
            <w:pPr>
              <w:ind w:left="1872" w:hanging="1872"/>
              <w:jc w:val="both"/>
              <w:rPr>
                <w:rFonts w:ascii="Sylfaen" w:hAnsi="Sylfaen" w:cs="Arial"/>
              </w:rPr>
            </w:pPr>
            <w:r w:rsidRPr="002A2F7A">
              <w:rPr>
                <w:rFonts w:ascii="Sylfaen" w:hAnsi="Sylfaen" w:cs="Arial"/>
                <w:color w:val="000000"/>
              </w:rPr>
              <w:t xml:space="preserve">On 06.09.2018 </w:t>
            </w:r>
          </w:p>
        </w:tc>
      </w:tr>
    </w:tbl>
    <w:p w:rsidR="00F07170" w:rsidRDefault="00F07170" w:rsidP="00BD3A9C">
      <w:pPr>
        <w:rPr>
          <w:rFonts w:ascii="Sylfaen" w:hAnsi="Sylfaen" w:cs="Arial"/>
          <w:b/>
        </w:rPr>
      </w:pPr>
    </w:p>
    <w:p w:rsidR="00A15234" w:rsidRPr="003860CF" w:rsidRDefault="00207617" w:rsidP="00BD3A9C">
      <w:pPr>
        <w:rPr>
          <w:rFonts w:ascii="Sylfaen" w:hAnsi="Sylfaen" w:cs="Arial"/>
        </w:rPr>
      </w:pPr>
      <w:r w:rsidRPr="003860CF">
        <w:rPr>
          <w:rFonts w:ascii="Sylfaen" w:hAnsi="Sylfaen" w:cs="Arial"/>
        </w:rPr>
        <w:t>Befo</w:t>
      </w:r>
      <w:r w:rsidR="00A15234" w:rsidRPr="003860CF">
        <w:rPr>
          <w:rFonts w:ascii="Sylfaen" w:hAnsi="Sylfaen" w:cs="Arial"/>
        </w:rPr>
        <w:t>re</w:t>
      </w:r>
      <w:r w:rsidR="00BD3A9C" w:rsidRPr="003860CF">
        <w:rPr>
          <w:rFonts w:ascii="Sylfaen" w:hAnsi="Sylfaen" w:cs="Arial"/>
        </w:rPr>
        <w:t>:</w:t>
      </w:r>
    </w:p>
    <w:p w:rsidR="00D20757" w:rsidRPr="003860CF" w:rsidRDefault="00BA334F" w:rsidP="00A15234">
      <w:pPr>
        <w:jc w:val="center"/>
        <w:rPr>
          <w:rFonts w:ascii="Sylfaen" w:hAnsi="Sylfaen" w:cs="Arial"/>
          <w:color w:val="000000"/>
        </w:rPr>
      </w:pPr>
      <w:r>
        <w:rPr>
          <w:rFonts w:ascii="Sylfaen" w:hAnsi="Sylfaen" w:cs="Arial"/>
          <w:color w:val="000000"/>
        </w:rPr>
        <w:t>Upper Tribunal Ju</w:t>
      </w:r>
      <w:r w:rsidRPr="003860CF">
        <w:rPr>
          <w:rFonts w:ascii="Sylfaen" w:hAnsi="Sylfaen" w:cs="Arial"/>
          <w:color w:val="000000"/>
        </w:rPr>
        <w:t xml:space="preserve">dge </w:t>
      </w:r>
    </w:p>
    <w:p w:rsidR="00A544A8" w:rsidRPr="00A544A8" w:rsidRDefault="00A544A8" w:rsidP="00A544A8">
      <w:pPr>
        <w:jc w:val="center"/>
        <w:rPr>
          <w:rFonts w:ascii="Sylfaen" w:hAnsi="Sylfaen" w:cs="Arial"/>
          <w:b/>
          <w:color w:val="000000"/>
        </w:rPr>
      </w:pPr>
      <w:r w:rsidRPr="00A544A8">
        <w:rPr>
          <w:rFonts w:ascii="Sylfaen" w:hAnsi="Sylfaen" w:cs="Arial"/>
          <w:b/>
          <w:color w:val="000000"/>
        </w:rPr>
        <w:t>John FREEMAN</w:t>
      </w:r>
    </w:p>
    <w:p w:rsidR="00A845DC" w:rsidRPr="003860CF" w:rsidRDefault="00A845DC" w:rsidP="00BD3A9C">
      <w:pPr>
        <w:rPr>
          <w:rFonts w:ascii="Sylfaen" w:hAnsi="Sylfaen" w:cs="Arial"/>
        </w:rPr>
      </w:pPr>
      <w:r w:rsidRPr="003860CF">
        <w:rPr>
          <w:rFonts w:ascii="Sylfaen" w:hAnsi="Sylfaen" w:cs="Arial"/>
        </w:rPr>
        <w:t>Between</w:t>
      </w:r>
      <w:r w:rsidR="00BD3A9C" w:rsidRPr="003860CF">
        <w:rPr>
          <w:rFonts w:ascii="Sylfaen" w:hAnsi="Sylfaen" w:cs="Arial"/>
        </w:rPr>
        <w:t>:</w:t>
      </w:r>
    </w:p>
    <w:p w:rsidR="00704B61" w:rsidRDefault="00F62908" w:rsidP="00A15234">
      <w:pPr>
        <w:jc w:val="center"/>
        <w:rPr>
          <w:rFonts w:ascii="Sylfaen" w:hAnsi="Sylfaen" w:cs="Arial"/>
          <w:b/>
        </w:rPr>
      </w:pPr>
      <w:proofErr w:type="spellStart"/>
      <w:r>
        <w:rPr>
          <w:rFonts w:ascii="Sylfaen" w:hAnsi="Sylfaen" w:cs="Arial"/>
          <w:b/>
        </w:rPr>
        <w:t>Nadezda</w:t>
      </w:r>
      <w:proofErr w:type="spellEnd"/>
      <w:r>
        <w:rPr>
          <w:rFonts w:ascii="Sylfaen" w:hAnsi="Sylfaen" w:cs="Arial"/>
          <w:b/>
        </w:rPr>
        <w:t xml:space="preserve"> </w:t>
      </w:r>
      <w:r w:rsidR="00F91D32">
        <w:rPr>
          <w:rFonts w:ascii="Sylfaen" w:hAnsi="Sylfaen" w:cs="Arial"/>
          <w:b/>
        </w:rPr>
        <w:t>[</w:t>
      </w:r>
      <w:r>
        <w:rPr>
          <w:rFonts w:ascii="Sylfaen" w:hAnsi="Sylfaen" w:cs="Arial"/>
          <w:b/>
        </w:rPr>
        <w:t>V</w:t>
      </w:r>
      <w:r w:rsidR="00F91D32">
        <w:rPr>
          <w:rFonts w:ascii="Sylfaen" w:hAnsi="Sylfaen" w:cs="Arial"/>
          <w:b/>
        </w:rPr>
        <w:t>]</w:t>
      </w:r>
    </w:p>
    <w:p w:rsidR="002A2F7A" w:rsidRPr="00A544A8" w:rsidRDefault="002A2F7A" w:rsidP="00A15234">
      <w:pPr>
        <w:jc w:val="center"/>
        <w:rPr>
          <w:rFonts w:ascii="Sylfaen" w:hAnsi="Sylfaen" w:cs="Arial"/>
          <w:b/>
        </w:rPr>
      </w:pPr>
      <w:r>
        <w:rPr>
          <w:rFonts w:ascii="Sylfaen" w:hAnsi="Sylfaen" w:cs="Arial"/>
          <w:b/>
        </w:rPr>
        <w:t xml:space="preserve">(anonymity direction not made) </w:t>
      </w:r>
    </w:p>
    <w:p w:rsidR="00704B61" w:rsidRPr="003860CF" w:rsidRDefault="00BD3A9C" w:rsidP="00704B61">
      <w:pPr>
        <w:jc w:val="right"/>
        <w:rPr>
          <w:rFonts w:ascii="Sylfaen" w:hAnsi="Sylfaen" w:cs="Arial"/>
        </w:rPr>
      </w:pPr>
      <w:r w:rsidRPr="003860CF">
        <w:rPr>
          <w:rFonts w:ascii="Sylfaen" w:hAnsi="Sylfaen" w:cs="Arial"/>
        </w:rPr>
        <w:t>appellant</w:t>
      </w:r>
    </w:p>
    <w:p w:rsidR="00704B61" w:rsidRPr="00A544A8" w:rsidRDefault="00DD5071" w:rsidP="00704B61">
      <w:pPr>
        <w:jc w:val="center"/>
        <w:rPr>
          <w:rFonts w:ascii="Sylfaen" w:hAnsi="Sylfaen" w:cs="Arial"/>
          <w:b/>
        </w:rPr>
      </w:pPr>
      <w:r w:rsidRPr="00A544A8">
        <w:rPr>
          <w:rFonts w:ascii="Sylfaen" w:hAnsi="Sylfaen" w:cs="Arial"/>
          <w:b/>
        </w:rPr>
        <w:t>and</w:t>
      </w:r>
    </w:p>
    <w:p w:rsidR="00DD5071" w:rsidRPr="00A544A8" w:rsidRDefault="00DD5071" w:rsidP="00704B61">
      <w:pPr>
        <w:jc w:val="center"/>
        <w:rPr>
          <w:rFonts w:ascii="Sylfaen" w:hAnsi="Sylfaen" w:cs="Arial"/>
          <w:b/>
        </w:rPr>
      </w:pPr>
    </w:p>
    <w:bookmarkStart w:id="3" w:name="Dropdown1"/>
    <w:p w:rsidR="00DD5071" w:rsidRPr="00A544A8" w:rsidRDefault="00A544A8" w:rsidP="00704B61">
      <w:pPr>
        <w:jc w:val="center"/>
        <w:rPr>
          <w:rFonts w:ascii="Sylfaen" w:hAnsi="Sylfaen" w:cs="Arial"/>
          <w:b/>
        </w:rPr>
      </w:pPr>
      <w:r w:rsidRPr="00A544A8">
        <w:rPr>
          <w:rFonts w:ascii="Sylfaen" w:hAnsi="Sylfaen" w:cs="Arial"/>
          <w:b/>
        </w:rPr>
        <w:fldChar w:fldCharType="begin">
          <w:ffData>
            <w:name w:val="Dropdown1"/>
            <w:enabled/>
            <w:calcOnExit w:val="0"/>
            <w:ddList>
              <w:listEntry w:val="Secretary of State for the Home Department"/>
              <w:listEntry w:val="Entry Clearance Officer,"/>
              <w:listEntry w:val="Immigration Officer, "/>
            </w:ddList>
          </w:ffData>
        </w:fldChar>
      </w:r>
      <w:r w:rsidRPr="00A544A8">
        <w:rPr>
          <w:rFonts w:ascii="Sylfaen" w:hAnsi="Sylfaen" w:cs="Arial"/>
          <w:b/>
        </w:rPr>
        <w:instrText xml:space="preserve"> FORMDROPDOWN </w:instrText>
      </w:r>
      <w:r w:rsidR="008E0A19">
        <w:rPr>
          <w:rFonts w:ascii="Sylfaen" w:hAnsi="Sylfaen" w:cs="Arial"/>
          <w:b/>
        </w:rPr>
      </w:r>
      <w:r w:rsidR="008E0A19">
        <w:rPr>
          <w:rFonts w:ascii="Sylfaen" w:hAnsi="Sylfaen" w:cs="Arial"/>
          <w:b/>
        </w:rPr>
        <w:fldChar w:fldCharType="separate"/>
      </w:r>
      <w:r w:rsidRPr="00A544A8">
        <w:rPr>
          <w:rFonts w:ascii="Sylfaen" w:hAnsi="Sylfaen" w:cs="Arial"/>
          <w:b/>
        </w:rPr>
        <w:fldChar w:fldCharType="end"/>
      </w:r>
      <w:bookmarkEnd w:id="3"/>
    </w:p>
    <w:p w:rsidR="00DD5071" w:rsidRPr="003860CF" w:rsidRDefault="00BD3A9C" w:rsidP="00DD5071">
      <w:pPr>
        <w:jc w:val="right"/>
        <w:rPr>
          <w:rFonts w:ascii="Sylfaen" w:hAnsi="Sylfaen" w:cs="Arial"/>
        </w:rPr>
      </w:pPr>
      <w:r w:rsidRPr="003860CF">
        <w:rPr>
          <w:rFonts w:ascii="Sylfaen" w:hAnsi="Sylfaen" w:cs="Arial"/>
        </w:rPr>
        <w:t>respondent</w:t>
      </w:r>
    </w:p>
    <w:p w:rsidR="00DD5071" w:rsidRPr="003860CF" w:rsidRDefault="00DE7DB7" w:rsidP="00DD5071">
      <w:pPr>
        <w:rPr>
          <w:rFonts w:ascii="Sylfaen" w:hAnsi="Sylfaen" w:cs="Arial"/>
        </w:rPr>
      </w:pPr>
      <w:r w:rsidRPr="003860CF">
        <w:rPr>
          <w:rFonts w:ascii="Sylfaen" w:hAnsi="Sylfaen" w:cs="Arial"/>
          <w:u w:val="single"/>
        </w:rPr>
        <w:t>Representation</w:t>
      </w:r>
      <w:r w:rsidRPr="003860CF">
        <w:rPr>
          <w:rFonts w:ascii="Sylfaen" w:hAnsi="Sylfaen" w:cs="Arial"/>
        </w:rPr>
        <w:t>:</w:t>
      </w:r>
    </w:p>
    <w:p w:rsidR="00DE7DB7" w:rsidRPr="00F62908" w:rsidRDefault="00DE7DB7" w:rsidP="00DE7DB7">
      <w:pPr>
        <w:tabs>
          <w:tab w:val="left" w:pos="2520"/>
        </w:tabs>
        <w:rPr>
          <w:rFonts w:ascii="Sylfaen" w:hAnsi="Sylfaen" w:cs="Arial"/>
        </w:rPr>
      </w:pPr>
      <w:r w:rsidRPr="00A544A8">
        <w:rPr>
          <w:rFonts w:ascii="Sylfaen" w:hAnsi="Sylfaen" w:cs="Arial"/>
        </w:rPr>
        <w:t xml:space="preserve">For the </w:t>
      </w:r>
      <w:r w:rsidR="00A544A8" w:rsidRPr="00A544A8">
        <w:rPr>
          <w:rFonts w:ascii="Sylfaen" w:hAnsi="Sylfaen" w:cs="Arial"/>
        </w:rPr>
        <w:t>appellant</w:t>
      </w:r>
      <w:r w:rsidRPr="00A544A8">
        <w:rPr>
          <w:rFonts w:ascii="Sylfaen" w:hAnsi="Sylfaen" w:cs="Arial"/>
        </w:rPr>
        <w:t>:</w:t>
      </w:r>
      <w:r w:rsidRPr="00A544A8">
        <w:rPr>
          <w:rFonts w:ascii="Sylfaen" w:hAnsi="Sylfaen" w:cs="Arial"/>
        </w:rPr>
        <w:tab/>
      </w:r>
      <w:r w:rsidR="00F62908">
        <w:rPr>
          <w:rFonts w:ascii="Sylfaen" w:hAnsi="Sylfaen" w:cs="Arial"/>
          <w:i/>
        </w:rPr>
        <w:t xml:space="preserve">Nicholas O’Brien </w:t>
      </w:r>
      <w:r w:rsidR="00F62908">
        <w:rPr>
          <w:rFonts w:ascii="Sylfaen" w:hAnsi="Sylfaen" w:cs="Arial"/>
        </w:rPr>
        <w:t>(counsel instructed by Edmans &amp; Co)</w:t>
      </w:r>
    </w:p>
    <w:p w:rsidR="00DE7DB7" w:rsidRPr="00A544A8" w:rsidRDefault="00DE7DB7" w:rsidP="00DE7DB7">
      <w:pPr>
        <w:tabs>
          <w:tab w:val="left" w:pos="2520"/>
        </w:tabs>
        <w:rPr>
          <w:rFonts w:ascii="Sylfaen" w:hAnsi="Sylfaen" w:cs="Arial"/>
        </w:rPr>
      </w:pPr>
      <w:r w:rsidRPr="00A544A8">
        <w:rPr>
          <w:rFonts w:ascii="Sylfaen" w:hAnsi="Sylfaen" w:cs="Arial"/>
        </w:rPr>
        <w:t xml:space="preserve">For the </w:t>
      </w:r>
      <w:r w:rsidR="00A544A8" w:rsidRPr="00A544A8">
        <w:rPr>
          <w:rFonts w:ascii="Sylfaen" w:hAnsi="Sylfaen" w:cs="Arial"/>
        </w:rPr>
        <w:t>respondent</w:t>
      </w:r>
      <w:r w:rsidRPr="00A544A8">
        <w:rPr>
          <w:rFonts w:ascii="Sylfaen" w:hAnsi="Sylfaen" w:cs="Arial"/>
        </w:rPr>
        <w:t>:</w:t>
      </w:r>
      <w:r w:rsidRPr="00A544A8">
        <w:rPr>
          <w:rFonts w:ascii="Sylfaen" w:hAnsi="Sylfaen" w:cs="Arial"/>
        </w:rPr>
        <w:tab/>
      </w:r>
      <w:r w:rsidR="00F62908">
        <w:rPr>
          <w:rFonts w:ascii="Sylfaen" w:hAnsi="Sylfaen" w:cs="Arial"/>
        </w:rPr>
        <w:t>Mr C Howells</w:t>
      </w:r>
    </w:p>
    <w:p w:rsidR="00DE7DB7" w:rsidRPr="00A544A8" w:rsidRDefault="00DE7DB7" w:rsidP="00402B9E">
      <w:pPr>
        <w:tabs>
          <w:tab w:val="left" w:pos="2520"/>
        </w:tabs>
        <w:jc w:val="center"/>
        <w:rPr>
          <w:rFonts w:ascii="Sylfaen" w:hAnsi="Sylfaen" w:cs="Arial"/>
        </w:rPr>
      </w:pPr>
    </w:p>
    <w:p w:rsidR="00DE7DB7" w:rsidRPr="00A544A8" w:rsidRDefault="001401BB" w:rsidP="00BD3A9C">
      <w:pPr>
        <w:tabs>
          <w:tab w:val="left" w:pos="2520"/>
        </w:tabs>
        <w:spacing w:after="120"/>
        <w:jc w:val="center"/>
        <w:rPr>
          <w:rFonts w:ascii="Sylfaen" w:hAnsi="Sylfaen" w:cs="Arial"/>
        </w:rPr>
      </w:pPr>
      <w:r>
        <w:rPr>
          <w:rFonts w:ascii="Sylfaen" w:hAnsi="Sylfaen" w:cs="Arial"/>
          <w:b/>
          <w:u w:val="single"/>
        </w:rPr>
        <w:t>DECISION</w:t>
      </w:r>
      <w:r w:rsidR="00402B9E" w:rsidRPr="00A544A8">
        <w:rPr>
          <w:rFonts w:ascii="Sylfaen" w:hAnsi="Sylfaen" w:cs="Arial"/>
          <w:b/>
          <w:u w:val="single"/>
        </w:rPr>
        <w:t xml:space="preserve"> AND REASONS</w:t>
      </w:r>
    </w:p>
    <w:p w:rsidR="00BF23BB" w:rsidRPr="00A544A8" w:rsidRDefault="00402B9E" w:rsidP="00BD3A9C">
      <w:pPr>
        <w:tabs>
          <w:tab w:val="left" w:pos="567"/>
        </w:tabs>
        <w:spacing w:after="120"/>
        <w:ind w:left="567" w:hanging="567"/>
        <w:jc w:val="both"/>
        <w:rPr>
          <w:rFonts w:ascii="Sylfaen" w:hAnsi="Sylfaen" w:cs="Arial"/>
        </w:rPr>
      </w:pPr>
      <w:r w:rsidRPr="00A544A8">
        <w:rPr>
          <w:rFonts w:ascii="Sylfaen" w:hAnsi="Sylfaen" w:cs="Arial"/>
        </w:rPr>
        <w:tab/>
      </w:r>
      <w:r w:rsidR="00FE4D99">
        <w:rPr>
          <w:rFonts w:ascii="Sylfaen" w:hAnsi="Sylfaen" w:cs="Arial"/>
        </w:rPr>
        <w:t>This is an appeal</w:t>
      </w:r>
      <w:r w:rsidR="00DF392C">
        <w:rPr>
          <w:rFonts w:ascii="Sylfaen" w:hAnsi="Sylfaen" w:cs="Arial"/>
        </w:rPr>
        <w:t>,</w:t>
      </w:r>
      <w:r w:rsidR="00FE4D99">
        <w:rPr>
          <w:rFonts w:ascii="Sylfaen" w:hAnsi="Sylfaen" w:cs="Arial"/>
        </w:rPr>
        <w:t xml:space="preserve"> by</w:t>
      </w:r>
      <w:r w:rsidR="00DE20CE">
        <w:rPr>
          <w:rFonts w:ascii="Sylfaen" w:hAnsi="Sylfaen" w:cs="Arial"/>
        </w:rPr>
        <w:t xml:space="preserve"> the </w:t>
      </w:r>
      <w:bookmarkStart w:id="4" w:name="Dropdown4"/>
      <w:r w:rsidR="00DE20CE">
        <w:rPr>
          <w:rFonts w:ascii="Sylfaen" w:hAnsi="Sylfaen" w:cs="Arial"/>
        </w:rPr>
        <w:fldChar w:fldCharType="begin">
          <w:ffData>
            <w:name w:val="Dropdown4"/>
            <w:enabled/>
            <w:calcOnExit w:val="0"/>
            <w:ddList>
              <w:listEntry w:val="appellant"/>
              <w:listEntry w:val="appellants"/>
              <w:listEntry w:val="respondent to the original appeal"/>
            </w:ddList>
          </w:ffData>
        </w:fldChar>
      </w:r>
      <w:r w:rsidR="00DE20CE">
        <w:rPr>
          <w:rFonts w:ascii="Sylfaen" w:hAnsi="Sylfaen" w:cs="Arial"/>
        </w:rPr>
        <w:instrText xml:space="preserve"> FORMDROPDOWN </w:instrText>
      </w:r>
      <w:r w:rsidR="008E0A19">
        <w:rPr>
          <w:rFonts w:ascii="Sylfaen" w:hAnsi="Sylfaen" w:cs="Arial"/>
        </w:rPr>
      </w:r>
      <w:r w:rsidR="008E0A19">
        <w:rPr>
          <w:rFonts w:ascii="Sylfaen" w:hAnsi="Sylfaen" w:cs="Arial"/>
        </w:rPr>
        <w:fldChar w:fldCharType="separate"/>
      </w:r>
      <w:r w:rsidR="00DE20CE">
        <w:rPr>
          <w:rFonts w:ascii="Sylfaen" w:hAnsi="Sylfaen" w:cs="Arial"/>
        </w:rPr>
        <w:fldChar w:fldCharType="end"/>
      </w:r>
      <w:bookmarkEnd w:id="4"/>
      <w:r w:rsidR="00DF392C">
        <w:rPr>
          <w:rFonts w:ascii="Sylfaen" w:hAnsi="Sylfaen" w:cs="Arial"/>
        </w:rPr>
        <w:t>,</w:t>
      </w:r>
      <w:r w:rsidR="00FE4D99">
        <w:rPr>
          <w:rFonts w:ascii="Sylfaen" w:hAnsi="Sylfaen" w:cs="Arial"/>
        </w:rPr>
        <w:t xml:space="preserve"> against the decision of </w:t>
      </w:r>
      <w:r w:rsidR="00194E6E">
        <w:rPr>
          <w:rFonts w:ascii="Sylfaen" w:hAnsi="Sylfaen" w:cs="Arial"/>
        </w:rPr>
        <w:t>the First-tier Tribunal</w:t>
      </w:r>
      <w:r w:rsidR="00FE4D99">
        <w:rPr>
          <w:rFonts w:ascii="Sylfaen" w:hAnsi="Sylfaen" w:cs="Arial"/>
        </w:rPr>
        <w:t xml:space="preserve"> </w:t>
      </w:r>
      <w:r w:rsidR="00194E6E">
        <w:rPr>
          <w:rFonts w:ascii="Sylfaen" w:hAnsi="Sylfaen" w:cs="Arial"/>
        </w:rPr>
        <w:t>(</w:t>
      </w:r>
      <w:r w:rsidR="00FE4D99">
        <w:rPr>
          <w:rFonts w:ascii="Sylfaen" w:hAnsi="Sylfaen" w:cs="Arial"/>
        </w:rPr>
        <w:t xml:space="preserve">Judge </w:t>
      </w:r>
      <w:r w:rsidR="00F62908">
        <w:rPr>
          <w:rFonts w:ascii="Sylfaen" w:hAnsi="Sylfaen" w:cs="Arial"/>
        </w:rPr>
        <w:t>Michael Hembrough</w:t>
      </w:r>
      <w:r w:rsidR="00194E6E">
        <w:rPr>
          <w:rFonts w:ascii="Sylfaen" w:hAnsi="Sylfaen" w:cs="Arial"/>
        </w:rPr>
        <w:t>)</w:t>
      </w:r>
      <w:r w:rsidR="00FE4D99">
        <w:rPr>
          <w:rFonts w:ascii="Sylfaen" w:hAnsi="Sylfaen" w:cs="Arial"/>
        </w:rPr>
        <w:t xml:space="preserve">, sitting at </w:t>
      </w:r>
      <w:r w:rsidR="00F62908">
        <w:rPr>
          <w:rFonts w:ascii="Sylfaen" w:hAnsi="Sylfaen" w:cs="Arial"/>
        </w:rPr>
        <w:t>Hatton Cross</w:t>
      </w:r>
      <w:r w:rsidR="00FE4D99">
        <w:rPr>
          <w:rFonts w:ascii="Sylfaen" w:hAnsi="Sylfaen" w:cs="Arial"/>
        </w:rPr>
        <w:t xml:space="preserve"> on </w:t>
      </w:r>
      <w:r w:rsidR="00F62908">
        <w:rPr>
          <w:rFonts w:ascii="Sylfaen" w:hAnsi="Sylfaen" w:cs="Arial"/>
        </w:rPr>
        <w:t>4 October 2017</w:t>
      </w:r>
      <w:r w:rsidR="00FE4D99">
        <w:rPr>
          <w:rFonts w:ascii="Sylfaen" w:hAnsi="Sylfaen" w:cs="Arial"/>
        </w:rPr>
        <w:t xml:space="preserve">, to </w:t>
      </w:r>
      <w:bookmarkStart w:id="5" w:name="Dropdown2"/>
      <w:r w:rsidR="004617F0">
        <w:rPr>
          <w:rFonts w:ascii="Sylfaen" w:hAnsi="Sylfaen" w:cs="Arial"/>
        </w:rPr>
        <w:fldChar w:fldCharType="begin">
          <w:ffData>
            <w:name w:val="Dropdown2"/>
            <w:enabled/>
            <w:calcOnExit w:val="0"/>
            <w:ddList>
              <w:listEntry w:val="dismiss"/>
              <w:listEntry w:val="allow"/>
            </w:ddList>
          </w:ffData>
        </w:fldChar>
      </w:r>
      <w:r w:rsidR="004617F0">
        <w:rPr>
          <w:rFonts w:ascii="Sylfaen" w:hAnsi="Sylfaen" w:cs="Arial"/>
        </w:rPr>
        <w:instrText xml:space="preserve"> FORMDROPDOWN </w:instrText>
      </w:r>
      <w:r w:rsidR="008E0A19">
        <w:rPr>
          <w:rFonts w:ascii="Sylfaen" w:hAnsi="Sylfaen" w:cs="Arial"/>
        </w:rPr>
      </w:r>
      <w:r w:rsidR="008E0A19">
        <w:rPr>
          <w:rFonts w:ascii="Sylfaen" w:hAnsi="Sylfaen" w:cs="Arial"/>
        </w:rPr>
        <w:fldChar w:fldCharType="separate"/>
      </w:r>
      <w:r w:rsidR="004617F0">
        <w:rPr>
          <w:rFonts w:ascii="Sylfaen" w:hAnsi="Sylfaen" w:cs="Arial"/>
        </w:rPr>
        <w:fldChar w:fldCharType="end"/>
      </w:r>
      <w:bookmarkEnd w:id="5"/>
      <w:r w:rsidR="00FE4D99">
        <w:rPr>
          <w:rFonts w:ascii="Sylfaen" w:hAnsi="Sylfaen" w:cs="Arial"/>
        </w:rPr>
        <w:t xml:space="preserve"> </w:t>
      </w:r>
      <w:r w:rsidR="00F62908">
        <w:rPr>
          <w:rFonts w:ascii="Sylfaen" w:hAnsi="Sylfaen" w:cs="Arial"/>
        </w:rPr>
        <w:t>an EEA</w:t>
      </w:r>
      <w:r w:rsidR="00FE4D99">
        <w:rPr>
          <w:rFonts w:ascii="Sylfaen" w:hAnsi="Sylfaen" w:cs="Arial"/>
        </w:rPr>
        <w:t xml:space="preserve"> appeal </w:t>
      </w:r>
      <w:r w:rsidR="00F62908">
        <w:rPr>
          <w:rFonts w:ascii="Sylfaen" w:hAnsi="Sylfaen" w:cs="Arial"/>
        </w:rPr>
        <w:t xml:space="preserve">against refusal of a wife’s </w:t>
      </w:r>
      <w:r w:rsidR="00F62908" w:rsidRPr="00F62908">
        <w:rPr>
          <w:rFonts w:ascii="Sylfaen" w:hAnsi="Sylfaen" w:cs="Arial"/>
        </w:rPr>
        <w:t>residence card</w:t>
      </w:r>
      <w:r w:rsidR="00F62908">
        <w:rPr>
          <w:rFonts w:ascii="Sylfaen" w:hAnsi="Sylfaen" w:cs="Arial"/>
        </w:rPr>
        <w:t xml:space="preserve"> </w:t>
      </w:r>
      <w:r w:rsidR="00FE4D99">
        <w:rPr>
          <w:rFonts w:ascii="Sylfaen" w:hAnsi="Sylfaen" w:cs="Arial"/>
        </w:rPr>
        <w:t xml:space="preserve">by a citizen of </w:t>
      </w:r>
      <w:r w:rsidR="00F62908">
        <w:rPr>
          <w:rFonts w:ascii="Sylfaen" w:hAnsi="Sylfaen" w:cs="Arial"/>
        </w:rPr>
        <w:t>the Russian Federation</w:t>
      </w:r>
      <w:r w:rsidR="00102EBC">
        <w:rPr>
          <w:rFonts w:ascii="Sylfaen" w:hAnsi="Sylfaen" w:cs="Arial"/>
        </w:rPr>
        <w:t xml:space="preserve">, born </w:t>
      </w:r>
      <w:r w:rsidR="00F62908">
        <w:rPr>
          <w:rFonts w:ascii="Sylfaen" w:hAnsi="Sylfaen" w:cs="Arial"/>
        </w:rPr>
        <w:t>1954 (though it must be said she looks younger)</w:t>
      </w:r>
      <w:r w:rsidR="00FE4D99">
        <w:rPr>
          <w:rFonts w:ascii="Sylfaen" w:hAnsi="Sylfaen" w:cs="Arial"/>
        </w:rPr>
        <w:t>.</w:t>
      </w:r>
    </w:p>
    <w:p w:rsidR="004617F0" w:rsidRDefault="00F62908" w:rsidP="00BD3A9C">
      <w:pPr>
        <w:numPr>
          <w:ilvl w:val="0"/>
          <w:numId w:val="1"/>
        </w:numPr>
        <w:tabs>
          <w:tab w:val="clear" w:pos="757"/>
        </w:tabs>
        <w:spacing w:after="120"/>
        <w:ind w:left="540" w:hanging="540"/>
        <w:jc w:val="both"/>
        <w:rPr>
          <w:rFonts w:ascii="Sylfaen" w:hAnsi="Sylfaen" w:cs="Arial"/>
        </w:rPr>
      </w:pPr>
      <w:r>
        <w:rPr>
          <w:rFonts w:ascii="Sylfaen" w:hAnsi="Sylfaen" w:cs="Arial"/>
        </w:rPr>
        <w:t xml:space="preserve">The appellant had come in as an </w:t>
      </w:r>
      <w:r w:rsidRPr="00F62908">
        <w:rPr>
          <w:rFonts w:ascii="Sylfaen" w:hAnsi="Sylfaen" w:cs="Arial"/>
        </w:rPr>
        <w:t>entrepreneur</w:t>
      </w:r>
      <w:r>
        <w:rPr>
          <w:rFonts w:ascii="Sylfaen" w:hAnsi="Sylfaen" w:cs="Arial"/>
        </w:rPr>
        <w:t xml:space="preserve"> in 2014, and on 27 March 2015 was married to a Hungarian citizen. On 21 September she was refused a card, on the ground that hers had been a </w:t>
      </w:r>
      <w:r w:rsidRPr="00F62908">
        <w:rPr>
          <w:rFonts w:ascii="Sylfaen" w:hAnsi="Sylfaen" w:cs="Arial"/>
        </w:rPr>
        <w:t>marriage of convenience</w:t>
      </w:r>
      <w:r>
        <w:rPr>
          <w:rFonts w:ascii="Sylfaen" w:hAnsi="Sylfaen" w:cs="Arial"/>
        </w:rPr>
        <w:t>; but on 16 October she made a fresh application</w:t>
      </w:r>
      <w:r w:rsidR="00E84697">
        <w:rPr>
          <w:rFonts w:ascii="Sylfaen" w:hAnsi="Sylfaen" w:cs="Arial"/>
        </w:rPr>
        <w:t xml:space="preserve"> under reg. 10 of the </w:t>
      </w:r>
      <w:hyperlink r:id="rId8" w:history="1">
        <w:r w:rsidR="00E84697" w:rsidRPr="00E84697">
          <w:rPr>
            <w:rFonts w:ascii="Sylfaen" w:hAnsi="Sylfaen" w:cs="Arial"/>
            <w:color w:val="000000"/>
          </w:rPr>
          <w:t>Immigration (European Economic Area) R</w:t>
        </w:r>
        <w:r w:rsidR="00E84697">
          <w:rPr>
            <w:rFonts w:ascii="Sylfaen" w:hAnsi="Sylfaen" w:cs="Arial"/>
            <w:color w:val="000000"/>
          </w:rPr>
          <w:t>egulations 200</w:t>
        </w:r>
        <w:r w:rsidR="00E84697" w:rsidRPr="00E84697">
          <w:rPr>
            <w:rFonts w:ascii="Sylfaen" w:hAnsi="Sylfaen" w:cs="Arial"/>
            <w:color w:val="000000"/>
          </w:rPr>
          <w:t>6</w:t>
        </w:r>
      </w:hyperlink>
      <w:r>
        <w:rPr>
          <w:rFonts w:ascii="Sylfaen" w:hAnsi="Sylfaen" w:cs="Arial"/>
        </w:rPr>
        <w:t xml:space="preserve">, on the basis that she had been a victim of domestic violence, and was entitled to a retained right of residence. </w:t>
      </w:r>
    </w:p>
    <w:p w:rsidR="00E84697" w:rsidRDefault="00E84697" w:rsidP="00E84697">
      <w:pPr>
        <w:spacing w:after="120"/>
        <w:jc w:val="both"/>
        <w:rPr>
          <w:rFonts w:ascii="Sylfaen" w:hAnsi="Sylfaen" w:cs="Arial"/>
        </w:rPr>
      </w:pPr>
    </w:p>
    <w:p w:rsidR="00E84697" w:rsidRDefault="00E84697" w:rsidP="00BD3A9C">
      <w:pPr>
        <w:numPr>
          <w:ilvl w:val="0"/>
          <w:numId w:val="1"/>
        </w:numPr>
        <w:tabs>
          <w:tab w:val="clear" w:pos="757"/>
        </w:tabs>
        <w:spacing w:after="120"/>
        <w:ind w:left="540" w:hanging="540"/>
        <w:jc w:val="both"/>
        <w:rPr>
          <w:rFonts w:ascii="Sylfaen" w:hAnsi="Sylfaen" w:cs="Arial"/>
        </w:rPr>
      </w:pPr>
      <w:r>
        <w:rPr>
          <w:rFonts w:ascii="Sylfaen" w:hAnsi="Sylfaen" w:cs="Arial"/>
        </w:rPr>
        <w:lastRenderedPageBreak/>
        <w:t xml:space="preserve">On 6 April 2016 that application was refused: the appellant’s marriage had not been brought to an end by divorce, so that no retained right arose. However, it was also considered under reg. 6, but refused on that too, as it was not accepted that the appellant’s husband was a ‘qualified person’ exercising </w:t>
      </w:r>
      <w:r w:rsidRPr="00E84697">
        <w:rPr>
          <w:rFonts w:ascii="Sylfaen" w:hAnsi="Sylfaen" w:cs="Arial"/>
        </w:rPr>
        <w:t>Treaty rights</w:t>
      </w:r>
      <w:r>
        <w:rPr>
          <w:rFonts w:ascii="Sylfaen" w:hAnsi="Sylfaen" w:cs="Arial"/>
        </w:rPr>
        <w:t xml:space="preserve"> at the date of the decision. As the judge noted at paragraph 7, the Home Office had made their own inquiries with </w:t>
      </w:r>
      <w:r w:rsidRPr="00E84697">
        <w:rPr>
          <w:rFonts w:ascii="Sylfaen" w:hAnsi="Sylfaen" w:cs="Arial"/>
        </w:rPr>
        <w:t>HM Revenue and Customs</w:t>
      </w:r>
      <w:r>
        <w:rPr>
          <w:rFonts w:ascii="Sylfaen" w:hAnsi="Sylfaen" w:cs="Arial"/>
        </w:rPr>
        <w:t>, and the result, dated 4 April, appears at annex I to the appeal bundle. So far this was a fully justifiable decision as it stood.</w:t>
      </w:r>
    </w:p>
    <w:p w:rsidR="00E84697" w:rsidRDefault="00E84697" w:rsidP="00BD3A9C">
      <w:pPr>
        <w:numPr>
          <w:ilvl w:val="0"/>
          <w:numId w:val="1"/>
        </w:numPr>
        <w:tabs>
          <w:tab w:val="clear" w:pos="757"/>
        </w:tabs>
        <w:spacing w:after="120"/>
        <w:ind w:left="540" w:hanging="540"/>
        <w:jc w:val="both"/>
        <w:rPr>
          <w:rFonts w:ascii="Sylfaen" w:hAnsi="Sylfaen" w:cs="Arial"/>
        </w:rPr>
      </w:pPr>
      <w:r>
        <w:rPr>
          <w:rFonts w:ascii="Sylfaen" w:hAnsi="Sylfaen" w:cs="Arial"/>
        </w:rPr>
        <w:t xml:space="preserve">The appellant however, represented at the time by different solicitors, exercised her right of appeal, and on 10 May </w:t>
      </w:r>
      <w:r w:rsidR="000862EE">
        <w:rPr>
          <w:rFonts w:ascii="Sylfaen" w:hAnsi="Sylfaen" w:cs="Arial"/>
        </w:rPr>
        <w:t>2017</w:t>
      </w:r>
      <w:r>
        <w:rPr>
          <w:rFonts w:ascii="Sylfaen" w:hAnsi="Sylfaen" w:cs="Arial"/>
        </w:rPr>
        <w:t xml:space="preserve"> she and they were sent notice of hearing for 18 September. On 2 August her present solicitors wrote in, on the basis that they had changed address, rather than being a different firm, and on 5 September they and the appellant were sent notice of hearing for the 18</w:t>
      </w:r>
      <w:r w:rsidRPr="00E84697">
        <w:rPr>
          <w:rFonts w:ascii="Sylfaen" w:hAnsi="Sylfaen" w:cs="Arial"/>
          <w:vertAlign w:val="superscript"/>
        </w:rPr>
        <w:t>th</w:t>
      </w:r>
      <w:r>
        <w:rPr>
          <w:rFonts w:ascii="Sylfaen" w:hAnsi="Sylfaen" w:cs="Arial"/>
        </w:rPr>
        <w:t xml:space="preserve"> at the address they had given. </w:t>
      </w:r>
    </w:p>
    <w:p w:rsidR="00E84697" w:rsidRPr="00CD7E4C" w:rsidRDefault="00E84697" w:rsidP="00BD3A9C">
      <w:pPr>
        <w:numPr>
          <w:ilvl w:val="0"/>
          <w:numId w:val="1"/>
        </w:numPr>
        <w:tabs>
          <w:tab w:val="clear" w:pos="757"/>
        </w:tabs>
        <w:spacing w:after="120"/>
        <w:ind w:left="540" w:hanging="540"/>
        <w:jc w:val="both"/>
        <w:rPr>
          <w:rFonts w:ascii="Sylfaen" w:hAnsi="Sylfaen" w:cs="Arial"/>
        </w:rPr>
      </w:pPr>
      <w:r>
        <w:rPr>
          <w:rFonts w:ascii="Sylfaen" w:hAnsi="Sylfaen" w:cs="Arial"/>
        </w:rPr>
        <w:t xml:space="preserve">At the hearing the appellant was represented by counsel, not Mr O’Brien. Following some discussion of the </w:t>
      </w:r>
      <w:r w:rsidRPr="00E84697">
        <w:rPr>
          <w:rFonts w:ascii="Sylfaen" w:hAnsi="Sylfaen" w:cs="Arial"/>
        </w:rPr>
        <w:t>marriage of convenience</w:t>
      </w:r>
      <w:r>
        <w:rPr>
          <w:rFonts w:ascii="Sylfaen" w:hAnsi="Sylfaen" w:cs="Arial"/>
        </w:rPr>
        <w:t xml:space="preserve"> point, which remained in issue, counsel </w:t>
      </w:r>
      <w:r w:rsidR="00CD7E4C">
        <w:rPr>
          <w:rFonts w:ascii="Sylfaen" w:hAnsi="Sylfaen" w:cs="Arial"/>
        </w:rPr>
        <w:t xml:space="preserve">accepted that no retained right of residence could arise, and </w:t>
      </w:r>
      <w:r>
        <w:rPr>
          <w:rFonts w:ascii="Sylfaen" w:hAnsi="Sylfaen" w:cs="Arial"/>
        </w:rPr>
        <w:t>applied</w:t>
      </w:r>
      <w:r w:rsidR="00CD7E4C">
        <w:rPr>
          <w:rFonts w:ascii="Sylfaen" w:hAnsi="Sylfaen" w:cs="Arial"/>
        </w:rPr>
        <w:t>, for the first time,</w:t>
      </w:r>
      <w:r>
        <w:rPr>
          <w:rFonts w:ascii="Sylfaen" w:hAnsi="Sylfaen" w:cs="Arial"/>
        </w:rPr>
        <w:t xml:space="preserve"> for what is called an </w:t>
      </w:r>
      <w:r w:rsidR="000862EE" w:rsidRPr="000862EE">
        <w:rPr>
          <w:rStyle w:val="Hyperlink"/>
          <w:rFonts w:ascii="Sylfaen" w:hAnsi="Sylfaen" w:cs="Arial"/>
          <w:i/>
          <w:color w:val="000000"/>
          <w:u w:val="none"/>
        </w:rPr>
        <w:t>Amos</w:t>
      </w:r>
      <w:r>
        <w:rPr>
          <w:rFonts w:ascii="Sylfaen" w:hAnsi="Sylfaen" w:cs="Arial"/>
          <w:i/>
        </w:rPr>
        <w:t xml:space="preserve"> </w:t>
      </w:r>
      <w:r>
        <w:rPr>
          <w:rFonts w:ascii="Sylfaen" w:hAnsi="Sylfaen" w:cs="Arial"/>
        </w:rPr>
        <w:t xml:space="preserve">direction: the reference is to </w:t>
      </w:r>
      <w:hyperlink r:id="rId9" w:history="1">
        <w:r w:rsidR="000862EE" w:rsidRPr="000862EE">
          <w:rPr>
            <w:rStyle w:val="Hyperlink"/>
            <w:rFonts w:ascii="Sylfaen" w:hAnsi="Sylfaen"/>
            <w:i/>
            <w:color w:val="000000"/>
            <w:u w:val="none"/>
          </w:rPr>
          <w:t>Amos</w:t>
        </w:r>
        <w:r w:rsidRPr="00CD7E4C">
          <w:rPr>
            <w:rStyle w:val="Hyperlink"/>
            <w:rFonts w:ascii="Sylfaen" w:hAnsi="Sylfaen"/>
            <w:color w:val="000000"/>
            <w:u w:val="none"/>
          </w:rPr>
          <w:t xml:space="preserve"> [2011] EWCA </w:t>
        </w:r>
        <w:proofErr w:type="spellStart"/>
        <w:r w:rsidRPr="00CD7E4C">
          <w:rPr>
            <w:rStyle w:val="Hyperlink"/>
            <w:rFonts w:ascii="Sylfaen" w:hAnsi="Sylfaen"/>
            <w:color w:val="000000"/>
            <w:u w:val="none"/>
          </w:rPr>
          <w:t>Civ</w:t>
        </w:r>
        <w:proofErr w:type="spellEnd"/>
        <w:r w:rsidRPr="00CD7E4C">
          <w:rPr>
            <w:rStyle w:val="Hyperlink"/>
            <w:rFonts w:ascii="Sylfaen" w:hAnsi="Sylfaen"/>
            <w:color w:val="000000"/>
            <w:u w:val="none"/>
          </w:rPr>
          <w:t xml:space="preserve"> 552</w:t>
        </w:r>
      </w:hyperlink>
      <w:r w:rsidR="00CD7E4C">
        <w:rPr>
          <w:color w:val="000000"/>
        </w:rPr>
        <w:t xml:space="preserve">. </w:t>
      </w:r>
      <w:r w:rsidR="00CD7E4C" w:rsidRPr="00CD7E4C">
        <w:rPr>
          <w:rFonts w:ascii="Sylfaen" w:hAnsi="Sylfaen"/>
          <w:color w:val="000000"/>
        </w:rPr>
        <w:t xml:space="preserve">This </w:t>
      </w:r>
      <w:r w:rsidR="00CD7E4C">
        <w:rPr>
          <w:rFonts w:ascii="Sylfaen" w:hAnsi="Sylfaen"/>
          <w:color w:val="000000"/>
        </w:rPr>
        <w:t>would have required the Home Office to make further inquiries with the Revenue to establish whether the appellant’s husband was by now a ‘qualified person’ or not. If this had been a retained right case, then his status would have been fixed for appeal purposes as at the date of the decree absolute; but there had been no divorce, so it was accepted that the date of the hearing was the relevant moment.</w:t>
      </w:r>
    </w:p>
    <w:p w:rsidR="00CD7E4C" w:rsidRPr="00CD7E4C" w:rsidRDefault="00CD7E4C" w:rsidP="00BD3A9C">
      <w:pPr>
        <w:numPr>
          <w:ilvl w:val="0"/>
          <w:numId w:val="1"/>
        </w:numPr>
        <w:tabs>
          <w:tab w:val="clear" w:pos="757"/>
        </w:tabs>
        <w:spacing w:after="120"/>
        <w:ind w:left="540" w:hanging="540"/>
        <w:jc w:val="both"/>
        <w:rPr>
          <w:rFonts w:ascii="Sylfaen" w:hAnsi="Sylfaen" w:cs="Arial"/>
        </w:rPr>
      </w:pPr>
      <w:r>
        <w:rPr>
          <w:rFonts w:ascii="Sylfaen" w:hAnsi="Sylfaen"/>
          <w:color w:val="000000"/>
        </w:rPr>
        <w:t xml:space="preserve">The judge took the view (at 17) that there would </w:t>
      </w:r>
      <w:r w:rsidRPr="00CD7E4C">
        <w:rPr>
          <w:rFonts w:ascii="Sylfaen" w:hAnsi="Sylfaen" w:cs="Arial"/>
          <w:color w:val="000000"/>
        </w:rPr>
        <w:t>inevitably</w:t>
      </w:r>
      <w:r>
        <w:rPr>
          <w:rFonts w:ascii="Sylfaen" w:hAnsi="Sylfaen"/>
          <w:color w:val="000000"/>
        </w:rPr>
        <w:t xml:space="preserve"> be a gap between the date of the decision and the hearing, and there would be a further one before any adjourned date, the soonest available being in April 2018. In the judge’s view, it would then have been open to the appellant to seek yet another adjournment, and so on; </w:t>
      </w:r>
      <w:proofErr w:type="gramStart"/>
      <w:r>
        <w:rPr>
          <w:rFonts w:ascii="Sylfaen" w:hAnsi="Sylfaen"/>
          <w:color w:val="000000"/>
        </w:rPr>
        <w:t>so</w:t>
      </w:r>
      <w:proofErr w:type="gramEnd"/>
      <w:r>
        <w:rPr>
          <w:rFonts w:ascii="Sylfaen" w:hAnsi="Sylfaen"/>
          <w:color w:val="000000"/>
        </w:rPr>
        <w:t xml:space="preserve"> he refused to grant one.</w:t>
      </w:r>
    </w:p>
    <w:p w:rsidR="00CD7E4C" w:rsidRPr="000862EE" w:rsidRDefault="00CD7E4C" w:rsidP="00BD3A9C">
      <w:pPr>
        <w:numPr>
          <w:ilvl w:val="0"/>
          <w:numId w:val="1"/>
        </w:numPr>
        <w:tabs>
          <w:tab w:val="clear" w:pos="757"/>
        </w:tabs>
        <w:spacing w:after="120"/>
        <w:ind w:left="540" w:hanging="540"/>
        <w:jc w:val="both"/>
        <w:rPr>
          <w:rFonts w:ascii="Sylfaen" w:hAnsi="Sylfaen" w:cs="Arial"/>
        </w:rPr>
      </w:pPr>
      <w:r>
        <w:rPr>
          <w:rFonts w:ascii="Sylfaen" w:hAnsi="Sylfaen"/>
          <w:color w:val="000000"/>
        </w:rPr>
        <w:t>The judge’s reasons are easy to understand</w:t>
      </w:r>
      <w:r w:rsidR="000862EE">
        <w:rPr>
          <w:rFonts w:ascii="Sylfaen" w:hAnsi="Sylfaen"/>
          <w:color w:val="000000"/>
        </w:rPr>
        <w:t xml:space="preserve">; but the appellant was entitled, following </w:t>
      </w:r>
      <w:r w:rsidR="000862EE" w:rsidRPr="000862EE">
        <w:rPr>
          <w:rStyle w:val="Hyperlink"/>
          <w:rFonts w:ascii="Sylfaen" w:hAnsi="Sylfaen" w:cs="Arial"/>
          <w:i/>
          <w:color w:val="000000"/>
          <w:u w:val="none"/>
        </w:rPr>
        <w:t>Amos</w:t>
      </w:r>
      <w:r w:rsidR="000862EE">
        <w:rPr>
          <w:rFonts w:ascii="Sylfaen" w:hAnsi="Sylfaen"/>
          <w:color w:val="000000"/>
        </w:rPr>
        <w:t>, to assistance from Her Majesty’s Government in establishing her case under the EEA Regulations. On the other hand, she and her legal advisers needed to co-operate by requesting that at the earliest possible stage. In this case, that would have been as soon as she and her first solicitors received the first notice of hearing, sent 10 May 2017; and at latest when her present solicitors got theirs, sent on 5 September.</w:t>
      </w:r>
    </w:p>
    <w:p w:rsidR="000862EE" w:rsidRPr="000862EE" w:rsidRDefault="000862EE" w:rsidP="00BD3A9C">
      <w:pPr>
        <w:numPr>
          <w:ilvl w:val="0"/>
          <w:numId w:val="1"/>
        </w:numPr>
        <w:tabs>
          <w:tab w:val="clear" w:pos="757"/>
        </w:tabs>
        <w:spacing w:after="120"/>
        <w:ind w:left="540" w:hanging="540"/>
        <w:jc w:val="both"/>
        <w:rPr>
          <w:rFonts w:ascii="Sylfaen" w:hAnsi="Sylfaen" w:cs="Arial"/>
        </w:rPr>
      </w:pPr>
      <w:r>
        <w:rPr>
          <w:rFonts w:ascii="Sylfaen" w:hAnsi="Sylfaen"/>
          <w:color w:val="000000"/>
        </w:rPr>
        <w:t xml:space="preserve">I asked </w:t>
      </w:r>
      <w:r w:rsidRPr="000862EE">
        <w:rPr>
          <w:rFonts w:ascii="Sylfaen" w:hAnsi="Sylfaen" w:cs="Arial"/>
          <w:color w:val="000000"/>
        </w:rPr>
        <w:t>Mr O’Brien</w:t>
      </w:r>
      <w:r>
        <w:rPr>
          <w:rFonts w:ascii="Sylfaen" w:hAnsi="Sylfaen"/>
          <w:color w:val="000000"/>
        </w:rPr>
        <w:t xml:space="preserve"> why this had not been done: the best explanation he could give was that it had not been appreciated at any time before counsel was instructed for the first-tier hearing that this was not a retained right case. </w:t>
      </w:r>
      <w:r w:rsidRPr="000862EE">
        <w:rPr>
          <w:rFonts w:ascii="Sylfaen" w:hAnsi="Sylfaen" w:cs="Arial"/>
          <w:color w:val="000000"/>
        </w:rPr>
        <w:t>Mr O’Brien</w:t>
      </w:r>
      <w:r>
        <w:rPr>
          <w:rFonts w:ascii="Sylfaen" w:hAnsi="Sylfaen"/>
          <w:color w:val="000000"/>
        </w:rPr>
        <w:t xml:space="preserve"> accepted that this represented a failing by the appellant’s legal advisers, which ought not to have happened. Perhaps if counsel before the judge had conceded as much, then the judge might have been more sympathetic to his application. </w:t>
      </w:r>
    </w:p>
    <w:p w:rsidR="000862EE" w:rsidRDefault="00BC7C94" w:rsidP="00BD3A9C">
      <w:pPr>
        <w:numPr>
          <w:ilvl w:val="0"/>
          <w:numId w:val="1"/>
        </w:numPr>
        <w:tabs>
          <w:tab w:val="clear" w:pos="757"/>
        </w:tabs>
        <w:spacing w:after="120"/>
        <w:ind w:left="540" w:hanging="540"/>
        <w:jc w:val="both"/>
        <w:rPr>
          <w:rFonts w:ascii="Sylfaen" w:hAnsi="Sylfaen" w:cs="Arial"/>
        </w:rPr>
      </w:pPr>
      <w:r>
        <w:rPr>
          <w:rFonts w:ascii="Sylfaen" w:hAnsi="Sylfaen" w:cs="Arial"/>
        </w:rPr>
        <w:t xml:space="preserve">Mr Howells for his part accepted that the relevant date in a reg. 6 case was the date of the hearing, and that the appellant was entitled, other things being equal, to an </w:t>
      </w:r>
      <w:r w:rsidRPr="00BC7C94">
        <w:rPr>
          <w:rStyle w:val="Hyperlink"/>
          <w:rFonts w:ascii="Sylfaen" w:hAnsi="Sylfaen" w:cs="Arial"/>
          <w:i/>
          <w:color w:val="000000"/>
          <w:u w:val="none"/>
        </w:rPr>
        <w:t>Amos</w:t>
      </w:r>
      <w:r>
        <w:rPr>
          <w:rFonts w:ascii="Sylfaen" w:hAnsi="Sylfaen" w:cs="Arial"/>
          <w:i/>
        </w:rPr>
        <w:t xml:space="preserve"> </w:t>
      </w:r>
      <w:r>
        <w:rPr>
          <w:rFonts w:ascii="Sylfaen" w:hAnsi="Sylfaen" w:cs="Arial"/>
        </w:rPr>
        <w:t xml:space="preserve">direction. Both advocates agreed that, in the circumstances which had unfortunately arisen, there was </w:t>
      </w:r>
      <w:r>
        <w:rPr>
          <w:rFonts w:ascii="Sylfaen" w:hAnsi="Sylfaen" w:cs="Arial"/>
        </w:rPr>
        <w:lastRenderedPageBreak/>
        <w:t xml:space="preserve">no alternative to setting aside the first-tier decision, with a view to a fresh hearing, and an application for an </w:t>
      </w:r>
      <w:r w:rsidRPr="00BC7C94">
        <w:rPr>
          <w:rStyle w:val="Hyperlink"/>
          <w:rFonts w:ascii="Sylfaen" w:hAnsi="Sylfaen" w:cs="Arial"/>
          <w:i/>
          <w:color w:val="000000"/>
          <w:u w:val="none"/>
        </w:rPr>
        <w:t>Amos</w:t>
      </w:r>
      <w:r>
        <w:rPr>
          <w:rFonts w:ascii="Sylfaen" w:hAnsi="Sylfaen" w:cs="Arial"/>
          <w:i/>
        </w:rPr>
        <w:t xml:space="preserve"> </w:t>
      </w:r>
      <w:r>
        <w:rPr>
          <w:rFonts w:ascii="Sylfaen" w:hAnsi="Sylfaen" w:cs="Arial"/>
        </w:rPr>
        <w:t>direction well in advance of it.</w:t>
      </w:r>
    </w:p>
    <w:p w:rsidR="00AC3335" w:rsidRDefault="00BC7C94" w:rsidP="00BD3A9C">
      <w:pPr>
        <w:numPr>
          <w:ilvl w:val="0"/>
          <w:numId w:val="1"/>
        </w:numPr>
        <w:tabs>
          <w:tab w:val="clear" w:pos="757"/>
        </w:tabs>
        <w:spacing w:after="120"/>
        <w:ind w:left="540" w:hanging="540"/>
        <w:jc w:val="both"/>
        <w:rPr>
          <w:rFonts w:ascii="Sylfaen" w:hAnsi="Sylfaen" w:cs="Arial"/>
        </w:rPr>
      </w:pPr>
      <w:r>
        <w:rPr>
          <w:rFonts w:ascii="Sylfaen" w:hAnsi="Sylfaen" w:cs="Arial"/>
        </w:rPr>
        <w:t xml:space="preserve">The arrangements for that will be in the hands of the resident judge at Hatton Cross, and any judge acting as duty judge on his behalf; but it may help if I set out my general views on the point. If, as the judge in this case said, there will normally be a </w:t>
      </w:r>
      <w:r w:rsidRPr="00BC7C94">
        <w:rPr>
          <w:rFonts w:ascii="Sylfaen" w:hAnsi="Sylfaen" w:cs="Arial"/>
        </w:rPr>
        <w:t>significant</w:t>
      </w:r>
      <w:r>
        <w:rPr>
          <w:rFonts w:ascii="Sylfaen" w:hAnsi="Sylfaen" w:cs="Arial"/>
        </w:rPr>
        <w:t xml:space="preserve"> gap (by which I should mean more than three months) between the decision and the hearing in a reg. 6 case, then an </w:t>
      </w:r>
      <w:r w:rsidRPr="00BC7C94">
        <w:rPr>
          <w:rStyle w:val="Hyperlink"/>
          <w:rFonts w:ascii="Sylfaen" w:hAnsi="Sylfaen" w:cs="Arial"/>
          <w:i/>
          <w:color w:val="000000"/>
          <w:u w:val="none"/>
        </w:rPr>
        <w:t>Amos</w:t>
      </w:r>
      <w:r>
        <w:rPr>
          <w:rFonts w:ascii="Sylfaen" w:hAnsi="Sylfaen" w:cs="Arial"/>
          <w:i/>
        </w:rPr>
        <w:t xml:space="preserve"> </w:t>
      </w:r>
      <w:r>
        <w:rPr>
          <w:rFonts w:ascii="Sylfaen" w:hAnsi="Sylfaen" w:cs="Arial"/>
        </w:rPr>
        <w:t xml:space="preserve">direction may reasonably be requested. </w:t>
      </w:r>
    </w:p>
    <w:p w:rsidR="00BC7C94" w:rsidRDefault="00BC7C94" w:rsidP="00BD3A9C">
      <w:pPr>
        <w:numPr>
          <w:ilvl w:val="0"/>
          <w:numId w:val="1"/>
        </w:numPr>
        <w:tabs>
          <w:tab w:val="clear" w:pos="757"/>
        </w:tabs>
        <w:spacing w:after="120"/>
        <w:ind w:left="540" w:hanging="540"/>
        <w:jc w:val="both"/>
        <w:rPr>
          <w:rFonts w:ascii="Sylfaen" w:hAnsi="Sylfaen" w:cs="Arial"/>
        </w:rPr>
      </w:pPr>
      <w:r>
        <w:rPr>
          <w:rFonts w:ascii="Sylfaen" w:hAnsi="Sylfaen" w:cs="Arial"/>
        </w:rPr>
        <w:t>On the other hand, it is the clear duty of solicitors and other authorized representatives t</w:t>
      </w:r>
      <w:r w:rsidR="00AC3335">
        <w:rPr>
          <w:rFonts w:ascii="Sylfaen" w:hAnsi="Sylfaen" w:cs="Arial"/>
        </w:rPr>
        <w:t xml:space="preserve">o consider carefully whether an </w:t>
      </w:r>
      <w:r w:rsidR="00AC3335" w:rsidRPr="00AC3335">
        <w:rPr>
          <w:rStyle w:val="Hyperlink"/>
          <w:rFonts w:ascii="Sylfaen" w:hAnsi="Sylfaen" w:cs="Arial"/>
          <w:i/>
          <w:color w:val="000000"/>
          <w:u w:val="none"/>
        </w:rPr>
        <w:t>Amos</w:t>
      </w:r>
      <w:r w:rsidR="00AC3335">
        <w:rPr>
          <w:rFonts w:ascii="Sylfaen" w:hAnsi="Sylfaen" w:cs="Arial"/>
          <w:i/>
        </w:rPr>
        <w:t xml:space="preserve"> </w:t>
      </w:r>
      <w:r w:rsidR="00AC3335">
        <w:rPr>
          <w:rFonts w:ascii="Sylfaen" w:hAnsi="Sylfaen" w:cs="Arial"/>
        </w:rPr>
        <w:t>direction</w:t>
      </w:r>
      <w:r>
        <w:rPr>
          <w:rFonts w:ascii="Sylfaen" w:hAnsi="Sylfaen" w:cs="Arial"/>
        </w:rPr>
        <w:t xml:space="preserve"> is needed, and, if so, to make an urgent application for it, within at latest 14 days of receiving notice of hearing. Given the regular time-lag between that and the date of the hearing, it should be possible for the Home Office to comply with the direction in time to avoid any adjournment; but, if one</w:t>
      </w:r>
      <w:r w:rsidR="00AC3335">
        <w:rPr>
          <w:rFonts w:ascii="Sylfaen" w:hAnsi="Sylfaen" w:cs="Arial"/>
        </w:rPr>
        <w:t xml:space="preserve"> does become necessary, then representatives should not expect any further </w:t>
      </w:r>
      <w:r w:rsidR="00AC3335" w:rsidRPr="00AC3335">
        <w:rPr>
          <w:rStyle w:val="Hyperlink"/>
          <w:rFonts w:ascii="Sylfaen" w:hAnsi="Sylfaen" w:cs="Arial"/>
          <w:i/>
          <w:color w:val="000000"/>
          <w:u w:val="none"/>
        </w:rPr>
        <w:t>Amos</w:t>
      </w:r>
      <w:r w:rsidR="00AC3335">
        <w:rPr>
          <w:rFonts w:ascii="Sylfaen" w:hAnsi="Sylfaen" w:cs="Arial"/>
          <w:i/>
        </w:rPr>
        <w:t xml:space="preserve"> </w:t>
      </w:r>
      <w:r w:rsidR="00AC3335">
        <w:rPr>
          <w:rFonts w:ascii="Sylfaen" w:hAnsi="Sylfaen" w:cs="Arial"/>
        </w:rPr>
        <w:t>inquiries to be made.</w:t>
      </w:r>
    </w:p>
    <w:p w:rsidR="00AC3335" w:rsidRPr="00CD7E4C" w:rsidRDefault="00A14B77" w:rsidP="00BD3A9C">
      <w:pPr>
        <w:numPr>
          <w:ilvl w:val="0"/>
          <w:numId w:val="1"/>
        </w:numPr>
        <w:tabs>
          <w:tab w:val="clear" w:pos="757"/>
        </w:tabs>
        <w:spacing w:after="120"/>
        <w:ind w:left="540" w:hanging="540"/>
        <w:jc w:val="both"/>
        <w:rPr>
          <w:rFonts w:ascii="Sylfaen" w:hAnsi="Sylfaen" w:cs="Arial"/>
        </w:rPr>
      </w:pPr>
      <w:r>
        <w:rPr>
          <w:rFonts w:ascii="Sylfaen" w:hAnsi="Sylfaen" w:cs="Arial"/>
        </w:rPr>
        <w:t xml:space="preserve">Counsel’s draft </w:t>
      </w:r>
      <w:r w:rsidRPr="00A14B77">
        <w:rPr>
          <w:rStyle w:val="Hyperlink"/>
          <w:rFonts w:ascii="Sylfaen" w:hAnsi="Sylfaen" w:cs="Arial"/>
          <w:i/>
          <w:color w:val="000000"/>
          <w:u w:val="none"/>
        </w:rPr>
        <w:t>Amos</w:t>
      </w:r>
      <w:r>
        <w:rPr>
          <w:rFonts w:ascii="Sylfaen" w:hAnsi="Sylfaen" w:cs="Arial"/>
        </w:rPr>
        <w:t xml:space="preserve"> direction is attached to this decision; but it will be for those representing the appellant to make their application to the resident judge at Hatton Cross as soon as they receive notice of hearing there. </w:t>
      </w:r>
      <w:r w:rsidR="00AC3335">
        <w:rPr>
          <w:rFonts w:ascii="Sylfaen" w:hAnsi="Sylfaen" w:cs="Arial"/>
        </w:rPr>
        <w:t xml:space="preserve">If a timely application were made for an </w:t>
      </w:r>
      <w:r w:rsidR="00AC3335" w:rsidRPr="00AC3335">
        <w:rPr>
          <w:rStyle w:val="Hyperlink"/>
          <w:rFonts w:ascii="Sylfaen" w:hAnsi="Sylfaen" w:cs="Arial"/>
          <w:i/>
          <w:color w:val="000000"/>
          <w:u w:val="none"/>
        </w:rPr>
        <w:t>Amos</w:t>
      </w:r>
      <w:r w:rsidR="00AC3335">
        <w:rPr>
          <w:rFonts w:ascii="Sylfaen" w:hAnsi="Sylfaen" w:cs="Arial"/>
          <w:i/>
        </w:rPr>
        <w:t xml:space="preserve"> </w:t>
      </w:r>
      <w:r w:rsidR="00AC3335">
        <w:rPr>
          <w:rFonts w:ascii="Sylfaen" w:hAnsi="Sylfaen" w:cs="Arial"/>
        </w:rPr>
        <w:t>direction, then I should expect it would normally be granted by the duty judge. On the other hand, if that were not done, then I should expect that the duty judge, and still more any hearing judge faced with such a request for the first time, would require some very exceptional reasons why a direction should be given.</w:t>
      </w:r>
    </w:p>
    <w:p w:rsidR="009F5220" w:rsidRDefault="008F23F4" w:rsidP="00780F86">
      <w:pPr>
        <w:ind w:left="540" w:hanging="540"/>
        <w:jc w:val="both"/>
        <w:rPr>
          <w:rFonts w:ascii="Sylfaen" w:hAnsi="Sylfaen" w:cs="Arial"/>
          <w:b/>
        </w:rPr>
      </w:pPr>
      <w:r>
        <w:rPr>
          <w:rFonts w:ascii="Sylfaen" w:hAnsi="Sylfaen" w:cs="Arial"/>
          <w:b/>
        </w:rPr>
        <w:t xml:space="preserve">Appeal </w:t>
      </w:r>
      <w:bookmarkStart w:id="6" w:name="Dropdown3"/>
      <w:r w:rsidR="00AC3335">
        <w:rPr>
          <w:rFonts w:ascii="Sylfaen" w:hAnsi="Sylfaen" w:cs="Arial"/>
          <w:b/>
        </w:rPr>
        <w:fldChar w:fldCharType="begin">
          <w:ffData>
            <w:name w:val="Dropdown3"/>
            <w:enabled/>
            <w:calcOnExit w:val="0"/>
            <w:ddList>
              <w:listEntry w:val="allowed"/>
              <w:listEntry w:val="dismissed"/>
            </w:ddList>
          </w:ffData>
        </w:fldChar>
      </w:r>
      <w:r w:rsidR="00AC3335">
        <w:rPr>
          <w:rFonts w:ascii="Sylfaen" w:hAnsi="Sylfaen" w:cs="Arial"/>
          <w:b/>
        </w:rPr>
        <w:instrText xml:space="preserve"> FORMDROPDOWN </w:instrText>
      </w:r>
      <w:r w:rsidR="008E0A19">
        <w:rPr>
          <w:rFonts w:ascii="Sylfaen" w:hAnsi="Sylfaen" w:cs="Arial"/>
          <w:b/>
        </w:rPr>
      </w:r>
      <w:r w:rsidR="008E0A19">
        <w:rPr>
          <w:rFonts w:ascii="Sylfaen" w:hAnsi="Sylfaen" w:cs="Arial"/>
          <w:b/>
        </w:rPr>
        <w:fldChar w:fldCharType="separate"/>
      </w:r>
      <w:r w:rsidR="00AC3335">
        <w:rPr>
          <w:rFonts w:ascii="Sylfaen" w:hAnsi="Sylfaen" w:cs="Arial"/>
          <w:b/>
        </w:rPr>
        <w:fldChar w:fldCharType="end"/>
      </w:r>
      <w:bookmarkEnd w:id="6"/>
      <w:r w:rsidR="00AC3335">
        <w:rPr>
          <w:rFonts w:ascii="Sylfaen" w:hAnsi="Sylfaen" w:cs="Arial"/>
          <w:b/>
        </w:rPr>
        <w:t>: first-tier decision set aside</w:t>
      </w:r>
    </w:p>
    <w:p w:rsidR="00AC3335" w:rsidRPr="008F23F4" w:rsidRDefault="00AC3335" w:rsidP="00780F86">
      <w:pPr>
        <w:ind w:left="540" w:hanging="540"/>
        <w:jc w:val="both"/>
        <w:rPr>
          <w:rFonts w:ascii="Sylfaen" w:hAnsi="Sylfaen" w:cs="Arial"/>
          <w:b/>
        </w:rPr>
      </w:pPr>
      <w:r>
        <w:rPr>
          <w:rFonts w:ascii="Sylfaen" w:hAnsi="Sylfaen" w:cs="Arial"/>
          <w:b/>
        </w:rPr>
        <w:t>Fresh hearing in First-tier Tribunal at Hatton Cross, not before Judge Hembrough</w:t>
      </w:r>
    </w:p>
    <w:p w:rsidR="00A14B77" w:rsidRDefault="002A2F7A" w:rsidP="00F07170">
      <w:pPr>
        <w:ind w:left="4508" w:hanging="539"/>
        <w:rPr>
          <w:rFonts w:ascii="Sylfaen" w:hAnsi="Sylfaen" w:cs="Arial"/>
          <w:color w:val="000000"/>
        </w:rPr>
      </w:pPr>
      <w:r w:rsidRPr="00A544A8">
        <w:rPr>
          <w:rFonts w:ascii="Sylfaen" w:hAnsi="Sylfaen" w:cs="Arial"/>
          <w:b/>
          <w:noProof/>
        </w:rPr>
        <w:drawing>
          <wp:inline distT="0" distB="0" distL="0" distR="0">
            <wp:extent cx="2139950" cy="1041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9950" cy="1041400"/>
                    </a:xfrm>
                    <a:prstGeom prst="rect">
                      <a:avLst/>
                    </a:prstGeom>
                    <a:noFill/>
                    <a:ln>
                      <a:noFill/>
                    </a:ln>
                  </pic:spPr>
                </pic:pic>
              </a:graphicData>
            </a:graphic>
          </wp:inline>
        </w:drawing>
      </w:r>
      <w:r w:rsidR="00A544A8">
        <w:rPr>
          <w:rFonts w:ascii="Sylfaen" w:hAnsi="Sylfaen" w:cs="Arial"/>
        </w:rPr>
        <w:t xml:space="preserve"> </w:t>
      </w:r>
      <w:r w:rsidR="00780F86" w:rsidRPr="00A544A8">
        <w:rPr>
          <w:rFonts w:ascii="Sylfaen" w:hAnsi="Sylfaen" w:cs="Arial"/>
        </w:rPr>
        <w:tab/>
      </w:r>
      <w:r w:rsidR="00780F86" w:rsidRPr="00A544A8">
        <w:rPr>
          <w:rFonts w:ascii="Sylfaen" w:hAnsi="Sylfaen" w:cs="Arial"/>
        </w:rPr>
        <w:tab/>
      </w:r>
      <w:r w:rsidR="00780F86" w:rsidRPr="00A544A8">
        <w:rPr>
          <w:rFonts w:ascii="Sylfaen" w:hAnsi="Sylfaen" w:cs="Arial"/>
        </w:rPr>
        <w:tab/>
      </w:r>
      <w:r w:rsidR="00780F86" w:rsidRPr="00A544A8">
        <w:rPr>
          <w:rFonts w:ascii="Sylfaen" w:hAnsi="Sylfaen" w:cs="Arial"/>
        </w:rPr>
        <w:tab/>
      </w:r>
      <w:r w:rsidR="00780F86" w:rsidRPr="00A544A8">
        <w:rPr>
          <w:rFonts w:ascii="Sylfaen" w:hAnsi="Sylfaen" w:cs="Arial"/>
        </w:rPr>
        <w:tab/>
      </w:r>
      <w:r w:rsidR="00D9111A" w:rsidRPr="00A544A8">
        <w:rPr>
          <w:rFonts w:ascii="Sylfaen" w:hAnsi="Sylfaen" w:cs="Arial"/>
          <w:color w:val="000000"/>
        </w:rPr>
        <w:t xml:space="preserve"> </w:t>
      </w:r>
      <w:r w:rsidR="00A544A8">
        <w:rPr>
          <w:rFonts w:ascii="Sylfaen" w:hAnsi="Sylfaen" w:cs="Arial"/>
          <w:color w:val="000000"/>
        </w:rPr>
        <w:t xml:space="preserve">(a </w:t>
      </w:r>
      <w:r w:rsidR="00A544A8" w:rsidRPr="00A544A8">
        <w:rPr>
          <w:rFonts w:ascii="Sylfaen" w:hAnsi="Sylfaen" w:cs="Arial"/>
          <w:color w:val="000000"/>
        </w:rPr>
        <w:t xml:space="preserve">judge </w:t>
      </w:r>
      <w:r w:rsidR="00A544A8">
        <w:rPr>
          <w:rFonts w:ascii="Sylfaen" w:hAnsi="Sylfaen" w:cs="Arial"/>
          <w:color w:val="000000"/>
        </w:rPr>
        <w:t xml:space="preserve">of the </w:t>
      </w:r>
      <w:smartTag w:uri="urn:schemas-microsoft-com:office:smarttags" w:element="PersonName">
        <w:r w:rsidR="00A544A8">
          <w:rPr>
            <w:rFonts w:ascii="Sylfaen" w:hAnsi="Sylfaen" w:cs="Arial"/>
            <w:color w:val="000000"/>
          </w:rPr>
          <w:t>Upper Tribunal</w:t>
        </w:r>
      </w:smartTag>
      <w:r w:rsidR="00A544A8">
        <w:rPr>
          <w:rFonts w:ascii="Sylfaen" w:hAnsi="Sylfaen" w:cs="Arial"/>
          <w:color w:val="000000"/>
        </w:rPr>
        <w:t>)</w:t>
      </w:r>
    </w:p>
    <w:p w:rsidR="002A2F7A" w:rsidRDefault="002A2F7A" w:rsidP="00F07170">
      <w:pPr>
        <w:ind w:left="4508" w:hanging="539"/>
        <w:rPr>
          <w:rFonts w:ascii="Sylfaen" w:hAnsi="Sylfaen" w:cs="Arial"/>
          <w:color w:val="000000"/>
        </w:rPr>
      </w:pPr>
    </w:p>
    <w:p w:rsidR="002A2F7A" w:rsidRDefault="002A2F7A" w:rsidP="00F07170">
      <w:pPr>
        <w:ind w:left="4508" w:hanging="539"/>
        <w:rPr>
          <w:rFonts w:ascii="Sylfaen" w:hAnsi="Sylfaen" w:cs="Arial"/>
          <w:color w:val="000000"/>
        </w:rPr>
      </w:pPr>
      <w:r>
        <w:rPr>
          <w:rFonts w:ascii="Sylfaen" w:hAnsi="Sylfaen" w:cs="Arial"/>
          <w:color w:val="000000"/>
        </w:rPr>
        <w:t xml:space="preserve">Dated 05.09.2018 </w:t>
      </w:r>
    </w:p>
    <w:p w:rsidR="00517E46" w:rsidRPr="00FA24E8" w:rsidRDefault="00A14B77" w:rsidP="00517E46">
      <w:pPr>
        <w:ind w:left="6096" w:hanging="6096"/>
        <w:rPr>
          <w:u w:val="single"/>
        </w:rPr>
      </w:pPr>
      <w:r>
        <w:rPr>
          <w:rFonts w:ascii="Sylfaen" w:hAnsi="Sylfaen" w:cs="Arial"/>
          <w:color w:val="000000"/>
        </w:rPr>
        <w:br w:type="page"/>
      </w:r>
      <w:r w:rsidR="00517E46" w:rsidRPr="00FA24E8">
        <w:rPr>
          <w:u w:val="single"/>
        </w:rPr>
        <w:lastRenderedPageBreak/>
        <w:t xml:space="preserve">IN THE </w:t>
      </w:r>
      <w:r w:rsidR="00517E46">
        <w:rPr>
          <w:u w:val="single"/>
        </w:rPr>
        <w:t xml:space="preserve">FIRST TIER </w:t>
      </w:r>
      <w:r w:rsidR="00517E46" w:rsidRPr="00FA24E8">
        <w:rPr>
          <w:u w:val="single"/>
        </w:rPr>
        <w:t>TRIBUNAL</w:t>
      </w:r>
      <w:r w:rsidR="00517E46" w:rsidRPr="00FA24E8">
        <w:tab/>
      </w:r>
      <w:r w:rsidR="00517E46" w:rsidRPr="00FA24E8">
        <w:rPr>
          <w:u w:val="single"/>
        </w:rPr>
        <w:t>App.no. EA/04792/2016</w:t>
      </w:r>
    </w:p>
    <w:p w:rsidR="00517E46" w:rsidRPr="00FA24E8" w:rsidRDefault="00517E46" w:rsidP="00517E46">
      <w:pPr>
        <w:rPr>
          <w:u w:val="single"/>
        </w:rPr>
      </w:pPr>
      <w:r w:rsidRPr="00FA24E8">
        <w:rPr>
          <w:u w:val="single"/>
        </w:rPr>
        <w:t>(IMMIGRATION AND ASYLUM CHAMBER)</w:t>
      </w:r>
    </w:p>
    <w:p w:rsidR="00517E46" w:rsidRDefault="00517E46" w:rsidP="00517E46">
      <w:r>
        <w:t>BETWEEN:</w:t>
      </w:r>
    </w:p>
    <w:p w:rsidR="00517E46" w:rsidRDefault="00517E46" w:rsidP="00517E46">
      <w:pPr>
        <w:jc w:val="center"/>
      </w:pPr>
      <w:r>
        <w:t xml:space="preserve">NADEZDA </w:t>
      </w:r>
      <w:r w:rsidR="00F91D32">
        <w:t>[</w:t>
      </w:r>
      <w:r>
        <w:t>V</w:t>
      </w:r>
      <w:r w:rsidR="00F91D32">
        <w:t>]</w:t>
      </w:r>
    </w:p>
    <w:p w:rsidR="00517E46" w:rsidRPr="00FA24E8" w:rsidRDefault="00517E46" w:rsidP="00517E46">
      <w:pPr>
        <w:jc w:val="right"/>
        <w:rPr>
          <w:u w:val="single"/>
        </w:rPr>
      </w:pPr>
      <w:r w:rsidRPr="00FA24E8">
        <w:rPr>
          <w:u w:val="single"/>
        </w:rPr>
        <w:t>Appellant</w:t>
      </w:r>
    </w:p>
    <w:p w:rsidR="00517E46" w:rsidRDefault="00517E46" w:rsidP="00517E46">
      <w:pPr>
        <w:jc w:val="center"/>
      </w:pPr>
      <w:r>
        <w:t>-and-</w:t>
      </w:r>
    </w:p>
    <w:p w:rsidR="00517E46" w:rsidRDefault="00517E46" w:rsidP="00517E46">
      <w:pPr>
        <w:jc w:val="center"/>
      </w:pPr>
    </w:p>
    <w:p w:rsidR="00517E46" w:rsidRDefault="00517E46" w:rsidP="00517E46">
      <w:pPr>
        <w:jc w:val="center"/>
      </w:pPr>
      <w:r>
        <w:t>THE SECRETARY OF STATE FOR THE HOME DEPARTMENT</w:t>
      </w:r>
    </w:p>
    <w:p w:rsidR="00517E46" w:rsidRPr="00FA24E8" w:rsidRDefault="00517E46" w:rsidP="00517E46">
      <w:pPr>
        <w:jc w:val="right"/>
        <w:rPr>
          <w:u w:val="single"/>
        </w:rPr>
      </w:pPr>
      <w:r w:rsidRPr="00FA24E8">
        <w:rPr>
          <w:u w:val="single"/>
        </w:rPr>
        <w:t>Respondent</w:t>
      </w:r>
    </w:p>
    <w:p w:rsidR="00517E46" w:rsidRDefault="00517E46" w:rsidP="00517E46">
      <w:pPr>
        <w:jc w:val="center"/>
      </w:pPr>
    </w:p>
    <w:p w:rsidR="00517E46" w:rsidRDefault="00517E46" w:rsidP="00517E46">
      <w:pPr>
        <w:jc w:val="center"/>
      </w:pPr>
      <w:r>
        <w:t>Draft/ORDER FOR DIRECTIONS</w:t>
      </w:r>
    </w:p>
    <w:p w:rsidR="00517E46" w:rsidRDefault="00517E46" w:rsidP="00517E46">
      <w:pPr>
        <w:jc w:val="center"/>
      </w:pPr>
    </w:p>
    <w:p w:rsidR="00517E46" w:rsidRDefault="00517E46" w:rsidP="00517E46">
      <w:pPr>
        <w:spacing w:line="360" w:lineRule="auto"/>
        <w:jc w:val="both"/>
      </w:pPr>
      <w:r>
        <w:t xml:space="preserve">Pursuant to Procedure Rules 4(2) and 4(3)(d) the Respondent must send to the Tribunal and </w:t>
      </w:r>
      <w:r w:rsidRPr="00926AD6">
        <w:t>the Appellant no later than two weeks before the date on which this appeal will next be heard,</w:t>
      </w:r>
      <w:r>
        <w:t xml:space="preserve"> the following information and evidence:</w:t>
      </w:r>
    </w:p>
    <w:p w:rsidR="00517E46" w:rsidRDefault="00517E46" w:rsidP="00517E46">
      <w:pPr>
        <w:spacing w:line="360" w:lineRule="auto"/>
        <w:ind w:left="709" w:hanging="709"/>
        <w:jc w:val="both"/>
      </w:pPr>
      <w:r>
        <w:t>(</w:t>
      </w:r>
      <w:proofErr w:type="spellStart"/>
      <w:r>
        <w:t>i</w:t>
      </w:r>
      <w:proofErr w:type="spellEnd"/>
      <w:r>
        <w:t>)</w:t>
      </w:r>
      <w:r>
        <w:tab/>
        <w:t xml:space="preserve">copies of a further letter or other document from Her Majesty’s Revenue and Customs, updating the information regarding the Appellant’s husband </w:t>
      </w:r>
      <w:r w:rsidR="00F91D32">
        <w:t>[</w:t>
      </w:r>
      <w:r>
        <w:t>IS</w:t>
      </w:r>
      <w:r w:rsidR="00F91D32">
        <w:t xml:space="preserve">] </w:t>
      </w:r>
      <w:r>
        <w:t>set out in HMRC’s letter dated 4</w:t>
      </w:r>
      <w:r w:rsidRPr="00F9553F">
        <w:rPr>
          <w:vertAlign w:val="superscript"/>
        </w:rPr>
        <w:t>th</w:t>
      </w:r>
      <w:r>
        <w:t xml:space="preserve"> April 2016 (Respondent’s bundle document I);</w:t>
      </w:r>
    </w:p>
    <w:p w:rsidR="00517E46" w:rsidRDefault="00517E46" w:rsidP="00517E46">
      <w:pPr>
        <w:spacing w:line="360" w:lineRule="auto"/>
        <w:ind w:left="709" w:hanging="709"/>
        <w:jc w:val="both"/>
      </w:pPr>
      <w:r>
        <w:t>(ii)</w:t>
      </w:r>
      <w:r>
        <w:tab/>
        <w:t xml:space="preserve">copies of all P60s and any P45s in respect of </w:t>
      </w:r>
      <w:r w:rsidR="00F91D32">
        <w:t>[IS]</w:t>
      </w:r>
      <w:r>
        <w:t>, and of any self-assessment tax returns submitted by him;</w:t>
      </w:r>
    </w:p>
    <w:p w:rsidR="00517E46" w:rsidRPr="00926AD6" w:rsidRDefault="00517E46" w:rsidP="00517E46">
      <w:pPr>
        <w:spacing w:line="360" w:lineRule="auto"/>
        <w:ind w:left="709" w:hanging="709"/>
        <w:jc w:val="both"/>
      </w:pPr>
      <w:r>
        <w:t>(iii)</w:t>
      </w:r>
      <w:r>
        <w:tab/>
        <w:t xml:space="preserve">copies of any documents notifying </w:t>
      </w:r>
      <w:r w:rsidR="00F91D32">
        <w:t>[IS]</w:t>
      </w:r>
      <w:r w:rsidR="00F91D32">
        <w:t xml:space="preserve"> </w:t>
      </w:r>
      <w:r>
        <w:t xml:space="preserve">or HMRC of the beginning or end of </w:t>
      </w:r>
      <w:r w:rsidRPr="00926AD6">
        <w:t xml:space="preserve">any period during which Mr </w:t>
      </w:r>
      <w:r w:rsidR="00F91D32">
        <w:t>[IS]</w:t>
      </w:r>
      <w:r w:rsidR="00F91D32">
        <w:t xml:space="preserve"> </w:t>
      </w:r>
      <w:r w:rsidRPr="00926AD6">
        <w:t>was in receipt of any state benefits;</w:t>
      </w:r>
    </w:p>
    <w:p w:rsidR="00517E46" w:rsidRPr="00926AD6" w:rsidRDefault="00517E46" w:rsidP="00517E46">
      <w:pPr>
        <w:spacing w:line="360" w:lineRule="auto"/>
        <w:ind w:left="709" w:hanging="709"/>
        <w:jc w:val="both"/>
      </w:pPr>
      <w:r w:rsidRPr="00926AD6">
        <w:t>(iv)</w:t>
      </w:r>
      <w:r w:rsidRPr="00926AD6">
        <w:tab/>
        <w:t xml:space="preserve">copies of a statement on behalf of the Respondent confirming that the Respondent has checked his own records in respect of </w:t>
      </w:r>
      <w:r w:rsidR="00F91D32">
        <w:t>[IS]</w:t>
      </w:r>
      <w:r w:rsidR="00F91D32">
        <w:t xml:space="preserve"> </w:t>
      </w:r>
      <w:r w:rsidRPr="00926AD6">
        <w:t>and setting out all applications made by him for a residence or permanent residence card, stating in each case the outcome and the date of application and decision;</w:t>
      </w:r>
    </w:p>
    <w:p w:rsidR="00517E46" w:rsidRPr="00926AD6" w:rsidRDefault="00517E46" w:rsidP="00517E46">
      <w:pPr>
        <w:spacing w:line="360" w:lineRule="auto"/>
        <w:ind w:left="709" w:hanging="709"/>
        <w:jc w:val="both"/>
      </w:pPr>
      <w:r w:rsidRPr="00926AD6">
        <w:t>(v)</w:t>
      </w:r>
      <w:r w:rsidRPr="00926AD6">
        <w:tab/>
        <w:t xml:space="preserve">copies of all evidence submitted by </w:t>
      </w:r>
      <w:r w:rsidR="00F91D32">
        <w:t>[IS]</w:t>
      </w:r>
      <w:r w:rsidR="00F91D32">
        <w:t xml:space="preserve"> </w:t>
      </w:r>
      <w:r w:rsidRPr="00926AD6">
        <w:t>in support of any application identified in the statement required under paragraph (iv), insofar as it relates to his employment, self-employment, status as a jobseeker or other claimed “qualified person” status</w:t>
      </w:r>
      <w:r>
        <w:t>;</w:t>
      </w:r>
    </w:p>
    <w:p w:rsidR="00517E46" w:rsidRPr="00926AD6" w:rsidRDefault="00517E46" w:rsidP="00517E46">
      <w:pPr>
        <w:spacing w:line="360" w:lineRule="auto"/>
        <w:jc w:val="both"/>
      </w:pPr>
      <w:r w:rsidRPr="00926AD6">
        <w:t>all such information and evidence to be up to date as at the date falling t</w:t>
      </w:r>
      <w:r>
        <w:t>hree</w:t>
      </w:r>
      <w:r w:rsidRPr="00926AD6">
        <w:t xml:space="preserve"> weeks before the date on which the appeal will next be heard.</w:t>
      </w:r>
    </w:p>
    <w:p w:rsidR="00B95326" w:rsidRPr="00A544A8" w:rsidRDefault="00B95326" w:rsidP="00F07170">
      <w:pPr>
        <w:ind w:left="4508" w:hanging="539"/>
        <w:rPr>
          <w:rFonts w:ascii="Sylfaen" w:hAnsi="Sylfaen" w:cs="Arial"/>
          <w:color w:val="000000"/>
        </w:rPr>
      </w:pPr>
    </w:p>
    <w:sectPr w:rsidR="00B95326" w:rsidRPr="00A544A8" w:rsidSect="00776E97">
      <w:headerReference w:type="default" r:id="rId11"/>
      <w:footerReference w:type="default" r:id="rId12"/>
      <w:footerReference w:type="first" r:id="rId13"/>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7E55" w:rsidRDefault="00C37E55">
      <w:r>
        <w:separator/>
      </w:r>
    </w:p>
  </w:endnote>
  <w:endnote w:type="continuationSeparator" w:id="0">
    <w:p w:rsidR="00C37E55" w:rsidRDefault="00C37E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lfaen">
    <w:panose1 w:val="010A0502050306030303"/>
    <w:charset w:val="00"/>
    <w:family w:val="roman"/>
    <w:pitch w:val="variable"/>
    <w:sig w:usb0="04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981" w:rsidRPr="006B058B" w:rsidRDefault="00374981" w:rsidP="00593795">
    <w:pPr>
      <w:pStyle w:val="Footer"/>
      <w:jc w:val="center"/>
      <w:rPr>
        <w:rFonts w:ascii="Sylfaen" w:hAnsi="Sylfaen" w:cs="Arial"/>
        <w:sz w:val="22"/>
        <w:szCs w:val="22"/>
      </w:rPr>
    </w:pPr>
    <w:r w:rsidRPr="006B058B">
      <w:rPr>
        <w:rStyle w:val="PageNumber"/>
        <w:rFonts w:ascii="Sylfaen" w:hAnsi="Sylfaen" w:cs="Arial"/>
        <w:sz w:val="22"/>
        <w:szCs w:val="22"/>
      </w:rPr>
      <w:fldChar w:fldCharType="begin"/>
    </w:r>
    <w:r w:rsidRPr="006B058B">
      <w:rPr>
        <w:rStyle w:val="PageNumber"/>
        <w:rFonts w:ascii="Sylfaen" w:hAnsi="Sylfaen" w:cs="Arial"/>
        <w:sz w:val="22"/>
        <w:szCs w:val="22"/>
      </w:rPr>
      <w:instrText xml:space="preserve"> PAGE </w:instrText>
    </w:r>
    <w:r w:rsidRPr="006B058B">
      <w:rPr>
        <w:rStyle w:val="PageNumber"/>
        <w:rFonts w:ascii="Sylfaen" w:hAnsi="Sylfaen" w:cs="Arial"/>
        <w:sz w:val="22"/>
        <w:szCs w:val="22"/>
      </w:rPr>
      <w:fldChar w:fldCharType="separate"/>
    </w:r>
    <w:r w:rsidR="008E0A19">
      <w:rPr>
        <w:rStyle w:val="PageNumber"/>
        <w:rFonts w:ascii="Sylfaen" w:hAnsi="Sylfaen" w:cs="Arial"/>
        <w:noProof/>
        <w:sz w:val="22"/>
        <w:szCs w:val="22"/>
      </w:rPr>
      <w:t>4</w:t>
    </w:r>
    <w:r w:rsidRPr="006B058B">
      <w:rPr>
        <w:rStyle w:val="PageNumber"/>
        <w:rFonts w:ascii="Sylfaen" w:hAnsi="Sylfaen" w:cs="Arial"/>
        <w:sz w:val="22"/>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5496" w:rsidRPr="00686C0C" w:rsidRDefault="00C45496" w:rsidP="00FF5012">
    <w:pPr>
      <w:ind w:left="720" w:hanging="720"/>
      <w:jc w:val="both"/>
      <w:rPr>
        <w:rFonts w:ascii="Sylfaen" w:hAnsi="Sylfaen" w:cs="Arial"/>
        <w:i/>
        <w:spacing w:val="-6"/>
        <w:sz w:val="22"/>
        <w:szCs w:val="22"/>
      </w:rPr>
    </w:pPr>
    <w:r w:rsidRPr="00686C0C">
      <w:rPr>
        <w:rFonts w:ascii="Sylfaen" w:hAnsi="Sylfaen" w:cs="Arial"/>
        <w:i/>
        <w:spacing w:val="-6"/>
        <w:sz w:val="22"/>
        <w:szCs w:val="22"/>
        <w:u w:val="single"/>
      </w:rPr>
      <w:t>NOTE</w:t>
    </w:r>
    <w:r w:rsidRPr="00686C0C">
      <w:rPr>
        <w:rFonts w:ascii="Sylfaen" w:hAnsi="Sylfaen" w:cs="Arial"/>
        <w:i/>
        <w:spacing w:val="-6"/>
        <w:sz w:val="22"/>
        <w:szCs w:val="22"/>
      </w:rPr>
      <w:t xml:space="preserve">: </w:t>
    </w:r>
    <w:r w:rsidR="00D50A21">
      <w:rPr>
        <w:rFonts w:ascii="Sylfaen" w:hAnsi="Sylfaen" w:cs="Arial"/>
        <w:i/>
        <w:spacing w:val="-6"/>
        <w:sz w:val="22"/>
        <w:szCs w:val="22"/>
      </w:rPr>
      <w:tab/>
      <w:t>(1)</w:t>
    </w:r>
    <w:r w:rsidR="00D50A21">
      <w:rPr>
        <w:rFonts w:ascii="Sylfaen" w:hAnsi="Sylfaen" w:cs="Arial"/>
        <w:i/>
        <w:spacing w:val="-6"/>
        <w:sz w:val="22"/>
        <w:szCs w:val="22"/>
      </w:rPr>
      <w:tab/>
    </w:r>
    <w:r w:rsidRPr="00686C0C">
      <w:rPr>
        <w:rFonts w:ascii="Sylfaen" w:hAnsi="Sylfaen" w:cs="Arial"/>
        <w:i/>
        <w:spacing w:val="-6"/>
        <w:sz w:val="22"/>
        <w:szCs w:val="22"/>
      </w:rPr>
      <w:t xml:space="preserve">no anonymity direction made at first instance </w:t>
    </w:r>
    <w:r w:rsidR="007B67B0">
      <w:rPr>
        <w:rFonts w:ascii="Sylfaen" w:hAnsi="Sylfaen" w:cs="Arial"/>
        <w:i/>
        <w:spacing w:val="-6"/>
        <w:sz w:val="22"/>
        <w:szCs w:val="22"/>
      </w:rPr>
      <w:t xml:space="preserve">will continue, unless extended </w:t>
    </w:r>
    <w:r w:rsidR="00742454" w:rsidRPr="00686C0C">
      <w:rPr>
        <w:rFonts w:ascii="Sylfaen" w:hAnsi="Sylfaen" w:cs="Arial"/>
        <w:i/>
        <w:spacing w:val="-6"/>
        <w:sz w:val="22"/>
        <w:szCs w:val="22"/>
      </w:rPr>
      <w:t>by me</w:t>
    </w:r>
    <w:r w:rsidR="00FF5012" w:rsidRPr="00686C0C">
      <w:rPr>
        <w:rFonts w:ascii="Sylfaen" w:hAnsi="Sylfaen" w:cs="Arial"/>
        <w:i/>
        <w:spacing w:val="-6"/>
        <w:sz w:val="22"/>
        <w:szCs w:val="22"/>
      </w:rPr>
      <w:t>.</w:t>
    </w:r>
  </w:p>
  <w:p w:rsidR="00686C0C" w:rsidRPr="00686C0C" w:rsidRDefault="00D50A21" w:rsidP="00FF5012">
    <w:pPr>
      <w:ind w:left="720" w:hanging="720"/>
      <w:jc w:val="both"/>
      <w:rPr>
        <w:rFonts w:ascii="Sylfaen" w:hAnsi="Sylfaen" w:cs="Arial"/>
        <w:i/>
        <w:spacing w:val="-6"/>
        <w:sz w:val="22"/>
        <w:szCs w:val="22"/>
      </w:rPr>
    </w:pPr>
    <w:r>
      <w:rPr>
        <w:rFonts w:ascii="Sylfaen" w:hAnsi="Sylfaen" w:cs="Arial"/>
        <w:i/>
        <w:spacing w:val="-6"/>
        <w:sz w:val="22"/>
        <w:szCs w:val="22"/>
      </w:rPr>
      <w:tab/>
      <w:t>(2)</w:t>
    </w:r>
    <w:r>
      <w:rPr>
        <w:rFonts w:ascii="Sylfaen" w:hAnsi="Sylfaen" w:cs="Arial"/>
        <w:i/>
        <w:spacing w:val="-6"/>
        <w:sz w:val="22"/>
        <w:szCs w:val="22"/>
      </w:rPr>
      <w:tab/>
      <w:t>persons under 18 are referred to by initials, and must not be further identified.</w:t>
    </w:r>
  </w:p>
  <w:p w:rsidR="00DE723A" w:rsidRDefault="00DE723A" w:rsidP="00090CF9">
    <w:pPr>
      <w:jc w:val="center"/>
      <w:rPr>
        <w:rFonts w:ascii="Sylfaen" w:hAnsi="Sylfaen" w:cs="Arial"/>
        <w:i/>
        <w:spacing w:val="-6"/>
        <w:sz w:val="22"/>
        <w:szCs w:val="22"/>
      </w:rPr>
    </w:pPr>
  </w:p>
  <w:p w:rsidR="00374981" w:rsidRPr="00DE723A" w:rsidRDefault="00374981" w:rsidP="00090CF9">
    <w:pPr>
      <w:jc w:val="center"/>
      <w:rPr>
        <w:rFonts w:ascii="Sylfaen" w:hAnsi="Sylfaen" w:cs="Arial"/>
        <w:b/>
        <w:i/>
        <w:sz w:val="22"/>
        <w:szCs w:val="22"/>
      </w:rPr>
    </w:pPr>
    <w:r w:rsidRPr="00DE723A">
      <w:rPr>
        <w:rFonts w:ascii="Sylfaen" w:hAnsi="Sylfaen" w:cs="Arial"/>
        <w:b/>
        <w:i/>
        <w:spacing w:val="-6"/>
        <w:sz w:val="22"/>
        <w:szCs w:val="22"/>
      </w:rPr>
      <w:t>©</w:t>
    </w:r>
    <w:r w:rsidRPr="00DE723A">
      <w:rPr>
        <w:rFonts w:ascii="Sylfaen" w:hAnsi="Sylfaen" w:cs="Arial"/>
        <w:b/>
        <w:i/>
        <w:sz w:val="22"/>
        <w:szCs w:val="22"/>
      </w:rPr>
      <w:t xml:space="preserve"> CROWN COPYRIGHT 201</w:t>
    </w:r>
    <w:r w:rsidR="00057E2B" w:rsidRPr="00DE723A">
      <w:rPr>
        <w:rFonts w:ascii="Sylfaen" w:hAnsi="Sylfaen" w:cs="Arial"/>
        <w:b/>
        <w:i/>
        <w:sz w:val="22"/>
        <w:szCs w:val="22"/>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7E55" w:rsidRDefault="00C37E55">
      <w:r>
        <w:separator/>
      </w:r>
    </w:p>
  </w:footnote>
  <w:footnote w:type="continuationSeparator" w:id="0">
    <w:p w:rsidR="00C37E55" w:rsidRDefault="00C37E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2F7A" w:rsidRDefault="002A2F7A">
    <w:pPr>
      <w:pStyle w:val="Header"/>
    </w:pPr>
    <w:r>
      <w:t xml:space="preserve">                                                                                                                 </w:t>
    </w:r>
    <w:r w:rsidRPr="002A2F7A">
      <w:t>Appeal no: EA/04792/2016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7C2D46"/>
    <w:multiLevelType w:val="hybridMultilevel"/>
    <w:tmpl w:val="8760021E"/>
    <w:lvl w:ilvl="0" w:tplc="0542F5A8">
      <w:start w:val="2"/>
      <w:numFmt w:val="decimal"/>
      <w:lvlText w:val="%1."/>
      <w:lvlJc w:val="left"/>
      <w:pPr>
        <w:tabs>
          <w:tab w:val="num" w:pos="757"/>
        </w:tabs>
        <w:ind w:left="757" w:hanging="397"/>
      </w:pPr>
      <w:rPr>
        <w:rFonts w:ascii="Sylfaen" w:hAnsi="Sylfaen" w:hint="default"/>
        <w:b/>
        <w:i w:val="0"/>
        <w:sz w:val="24"/>
        <w:szCs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59252B96"/>
    <w:multiLevelType w:val="multilevel"/>
    <w:tmpl w:val="49B4DD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908"/>
    <w:rsid w:val="00000621"/>
    <w:rsid w:val="000036C2"/>
    <w:rsid w:val="00033D3D"/>
    <w:rsid w:val="00057601"/>
    <w:rsid w:val="00057E2B"/>
    <w:rsid w:val="00062F02"/>
    <w:rsid w:val="00071A7E"/>
    <w:rsid w:val="000746C0"/>
    <w:rsid w:val="00074D1D"/>
    <w:rsid w:val="000857AF"/>
    <w:rsid w:val="000862EE"/>
    <w:rsid w:val="00090CF9"/>
    <w:rsid w:val="00092580"/>
    <w:rsid w:val="00093D4D"/>
    <w:rsid w:val="000A1210"/>
    <w:rsid w:val="000B2183"/>
    <w:rsid w:val="000D5D94"/>
    <w:rsid w:val="000F1A0E"/>
    <w:rsid w:val="00102EBC"/>
    <w:rsid w:val="001165A7"/>
    <w:rsid w:val="00117FD8"/>
    <w:rsid w:val="001401BB"/>
    <w:rsid w:val="001435AF"/>
    <w:rsid w:val="00167D3A"/>
    <w:rsid w:val="00194E6E"/>
    <w:rsid w:val="001A2140"/>
    <w:rsid w:val="001A3082"/>
    <w:rsid w:val="001A5D86"/>
    <w:rsid w:val="001B186A"/>
    <w:rsid w:val="001B2F75"/>
    <w:rsid w:val="001E6DE8"/>
    <w:rsid w:val="001F114E"/>
    <w:rsid w:val="001F2716"/>
    <w:rsid w:val="00206F6B"/>
    <w:rsid w:val="00207617"/>
    <w:rsid w:val="0023134B"/>
    <w:rsid w:val="0025423E"/>
    <w:rsid w:val="0026015E"/>
    <w:rsid w:val="002667BE"/>
    <w:rsid w:val="00270E13"/>
    <w:rsid w:val="00283659"/>
    <w:rsid w:val="002A2F7A"/>
    <w:rsid w:val="002B5149"/>
    <w:rsid w:val="002C6BD4"/>
    <w:rsid w:val="002D68BF"/>
    <w:rsid w:val="002F6B98"/>
    <w:rsid w:val="00310B90"/>
    <w:rsid w:val="00310C2F"/>
    <w:rsid w:val="00336CBF"/>
    <w:rsid w:val="00343FE3"/>
    <w:rsid w:val="003546C8"/>
    <w:rsid w:val="00374981"/>
    <w:rsid w:val="003860CF"/>
    <w:rsid w:val="003A3DA7"/>
    <w:rsid w:val="003A7CF2"/>
    <w:rsid w:val="003C5CE5"/>
    <w:rsid w:val="003E267B"/>
    <w:rsid w:val="003E5773"/>
    <w:rsid w:val="003E7CD1"/>
    <w:rsid w:val="003F2E3F"/>
    <w:rsid w:val="00402B9E"/>
    <w:rsid w:val="00420643"/>
    <w:rsid w:val="004249CB"/>
    <w:rsid w:val="0044127D"/>
    <w:rsid w:val="004448DB"/>
    <w:rsid w:val="00446C9A"/>
    <w:rsid w:val="00452F2B"/>
    <w:rsid w:val="004617F0"/>
    <w:rsid w:val="00473EEA"/>
    <w:rsid w:val="00477193"/>
    <w:rsid w:val="00480D87"/>
    <w:rsid w:val="004A1848"/>
    <w:rsid w:val="004A6F4A"/>
    <w:rsid w:val="004C5C63"/>
    <w:rsid w:val="004E4717"/>
    <w:rsid w:val="005035E7"/>
    <w:rsid w:val="00507FEC"/>
    <w:rsid w:val="00510F0E"/>
    <w:rsid w:val="00517E46"/>
    <w:rsid w:val="00531929"/>
    <w:rsid w:val="005479E1"/>
    <w:rsid w:val="00553E0A"/>
    <w:rsid w:val="005570FD"/>
    <w:rsid w:val="005575EA"/>
    <w:rsid w:val="00574E42"/>
    <w:rsid w:val="0057790C"/>
    <w:rsid w:val="005829AB"/>
    <w:rsid w:val="00593795"/>
    <w:rsid w:val="00593821"/>
    <w:rsid w:val="00597008"/>
    <w:rsid w:val="005A549B"/>
    <w:rsid w:val="005A75FF"/>
    <w:rsid w:val="005D10AB"/>
    <w:rsid w:val="005D721A"/>
    <w:rsid w:val="005F1F19"/>
    <w:rsid w:val="00601D8F"/>
    <w:rsid w:val="00611011"/>
    <w:rsid w:val="00653E97"/>
    <w:rsid w:val="00655341"/>
    <w:rsid w:val="00676204"/>
    <w:rsid w:val="00684A74"/>
    <w:rsid w:val="00686C0C"/>
    <w:rsid w:val="00690B8A"/>
    <w:rsid w:val="0069160E"/>
    <w:rsid w:val="00696018"/>
    <w:rsid w:val="00696D3B"/>
    <w:rsid w:val="006B058B"/>
    <w:rsid w:val="006F2CF1"/>
    <w:rsid w:val="007038ED"/>
    <w:rsid w:val="00703BC3"/>
    <w:rsid w:val="00704B61"/>
    <w:rsid w:val="007334B3"/>
    <w:rsid w:val="00741157"/>
    <w:rsid w:val="007420F1"/>
    <w:rsid w:val="00742454"/>
    <w:rsid w:val="00750745"/>
    <w:rsid w:val="007552A9"/>
    <w:rsid w:val="00761858"/>
    <w:rsid w:val="00767D59"/>
    <w:rsid w:val="00776E97"/>
    <w:rsid w:val="00780F86"/>
    <w:rsid w:val="007912AD"/>
    <w:rsid w:val="007A37E8"/>
    <w:rsid w:val="007B0824"/>
    <w:rsid w:val="007B5D3C"/>
    <w:rsid w:val="007B67B0"/>
    <w:rsid w:val="00821B72"/>
    <w:rsid w:val="00823EF2"/>
    <w:rsid w:val="008303B8"/>
    <w:rsid w:val="00833DCE"/>
    <w:rsid w:val="00871D34"/>
    <w:rsid w:val="008A414E"/>
    <w:rsid w:val="008B270C"/>
    <w:rsid w:val="008B382D"/>
    <w:rsid w:val="008B5078"/>
    <w:rsid w:val="008C3D3D"/>
    <w:rsid w:val="008D4131"/>
    <w:rsid w:val="008E0A19"/>
    <w:rsid w:val="008F0697"/>
    <w:rsid w:val="008F1932"/>
    <w:rsid w:val="008F23F4"/>
    <w:rsid w:val="00921062"/>
    <w:rsid w:val="00923B15"/>
    <w:rsid w:val="00925AB2"/>
    <w:rsid w:val="009722BC"/>
    <w:rsid w:val="009727A3"/>
    <w:rsid w:val="00977EB3"/>
    <w:rsid w:val="00987774"/>
    <w:rsid w:val="00996FBB"/>
    <w:rsid w:val="009A11E8"/>
    <w:rsid w:val="009C5F92"/>
    <w:rsid w:val="009E30EE"/>
    <w:rsid w:val="009F3381"/>
    <w:rsid w:val="009F5220"/>
    <w:rsid w:val="00A11F19"/>
    <w:rsid w:val="00A14B77"/>
    <w:rsid w:val="00A15234"/>
    <w:rsid w:val="00A201AB"/>
    <w:rsid w:val="00A240AA"/>
    <w:rsid w:val="00A253BF"/>
    <w:rsid w:val="00A31C8B"/>
    <w:rsid w:val="00A509FA"/>
    <w:rsid w:val="00A544A8"/>
    <w:rsid w:val="00A845DC"/>
    <w:rsid w:val="00A8721C"/>
    <w:rsid w:val="00AC3335"/>
    <w:rsid w:val="00AE226C"/>
    <w:rsid w:val="00B20636"/>
    <w:rsid w:val="00B26AA2"/>
    <w:rsid w:val="00B3524D"/>
    <w:rsid w:val="00B40F69"/>
    <w:rsid w:val="00B46616"/>
    <w:rsid w:val="00B7040A"/>
    <w:rsid w:val="00B83391"/>
    <w:rsid w:val="00B95326"/>
    <w:rsid w:val="00BA334F"/>
    <w:rsid w:val="00BB3FC4"/>
    <w:rsid w:val="00BB7997"/>
    <w:rsid w:val="00BC481C"/>
    <w:rsid w:val="00BC4DE5"/>
    <w:rsid w:val="00BC7C94"/>
    <w:rsid w:val="00BD2083"/>
    <w:rsid w:val="00BD3A9C"/>
    <w:rsid w:val="00BD4196"/>
    <w:rsid w:val="00BF22CA"/>
    <w:rsid w:val="00BF23BB"/>
    <w:rsid w:val="00C12F97"/>
    <w:rsid w:val="00C217AF"/>
    <w:rsid w:val="00C26032"/>
    <w:rsid w:val="00C345E1"/>
    <w:rsid w:val="00C37E55"/>
    <w:rsid w:val="00C43BFD"/>
    <w:rsid w:val="00C45496"/>
    <w:rsid w:val="00CB6E35"/>
    <w:rsid w:val="00CC0CC9"/>
    <w:rsid w:val="00CD7E4C"/>
    <w:rsid w:val="00CE1A46"/>
    <w:rsid w:val="00D20757"/>
    <w:rsid w:val="00D22636"/>
    <w:rsid w:val="00D40FD9"/>
    <w:rsid w:val="00D50A21"/>
    <w:rsid w:val="00D53769"/>
    <w:rsid w:val="00D85C13"/>
    <w:rsid w:val="00D9111A"/>
    <w:rsid w:val="00D91BE3"/>
    <w:rsid w:val="00D94AFC"/>
    <w:rsid w:val="00DB1EA9"/>
    <w:rsid w:val="00DB70AE"/>
    <w:rsid w:val="00DD5071"/>
    <w:rsid w:val="00DD5C39"/>
    <w:rsid w:val="00DD6918"/>
    <w:rsid w:val="00DE20CE"/>
    <w:rsid w:val="00DE65C8"/>
    <w:rsid w:val="00DE723A"/>
    <w:rsid w:val="00DE7DB7"/>
    <w:rsid w:val="00DF2161"/>
    <w:rsid w:val="00DF392C"/>
    <w:rsid w:val="00E00A0A"/>
    <w:rsid w:val="00E024EB"/>
    <w:rsid w:val="00E066DE"/>
    <w:rsid w:val="00E0776A"/>
    <w:rsid w:val="00E07F57"/>
    <w:rsid w:val="00E30683"/>
    <w:rsid w:val="00E418CE"/>
    <w:rsid w:val="00E453D8"/>
    <w:rsid w:val="00E50BCE"/>
    <w:rsid w:val="00E574BF"/>
    <w:rsid w:val="00E61292"/>
    <w:rsid w:val="00E617CE"/>
    <w:rsid w:val="00E74B5A"/>
    <w:rsid w:val="00E77294"/>
    <w:rsid w:val="00E77C4D"/>
    <w:rsid w:val="00E80AD9"/>
    <w:rsid w:val="00E81D01"/>
    <w:rsid w:val="00E81F62"/>
    <w:rsid w:val="00E84697"/>
    <w:rsid w:val="00E862ED"/>
    <w:rsid w:val="00E90CE3"/>
    <w:rsid w:val="00EE43F3"/>
    <w:rsid w:val="00EE45D8"/>
    <w:rsid w:val="00F07170"/>
    <w:rsid w:val="00F118C6"/>
    <w:rsid w:val="00F22EDA"/>
    <w:rsid w:val="00F556F2"/>
    <w:rsid w:val="00F62908"/>
    <w:rsid w:val="00F91D32"/>
    <w:rsid w:val="00F97703"/>
    <w:rsid w:val="00FA48DC"/>
    <w:rsid w:val="00FC5AE2"/>
    <w:rsid w:val="00FD79ED"/>
    <w:rsid w:val="00FE4D99"/>
    <w:rsid w:val="00FF50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4DCC14E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ownfootnote">
    <w:name w:val="own footnote"/>
    <w:basedOn w:val="FootnoteText"/>
    <w:autoRedefine/>
    <w:rsid w:val="00DE65C8"/>
    <w:pPr>
      <w:ind w:left="540" w:hanging="540"/>
    </w:pPr>
    <w:rPr>
      <w:rFonts w:ascii="Sylfaen" w:hAnsi="Sylfaen"/>
      <w:sz w:val="22"/>
      <w:szCs w:val="22"/>
    </w:rPr>
  </w:style>
  <w:style w:type="paragraph" w:styleId="FootnoteText">
    <w:name w:val="footnote text"/>
    <w:basedOn w:val="Normal"/>
    <w:semiHidden/>
    <w:rsid w:val="00DE65C8"/>
    <w:rPr>
      <w:sz w:val="20"/>
      <w:szCs w:val="20"/>
    </w:rPr>
  </w:style>
  <w:style w:type="paragraph" w:customStyle="1" w:styleId="pedal">
    <w:name w:val="pedal"/>
    <w:basedOn w:val="Footer"/>
    <w:autoRedefine/>
    <w:rsid w:val="00E862ED"/>
    <w:pPr>
      <w:ind w:left="540" w:hanging="540"/>
    </w:pPr>
    <w:rPr>
      <w:rFonts w:ascii="Sylfaen" w:hAnsi="Sylfaen"/>
      <w:sz w:val="22"/>
      <w:szCs w:val="22"/>
    </w:rPr>
  </w:style>
  <w:style w:type="paragraph" w:customStyle="1" w:styleId="pedal1">
    <w:name w:val="pedal1"/>
    <w:basedOn w:val="pedal"/>
    <w:autoRedefine/>
    <w:rsid w:val="000B2183"/>
    <w:pPr>
      <w:ind w:left="539" w:hanging="539"/>
    </w:pPr>
  </w:style>
  <w:style w:type="paragraph" w:customStyle="1" w:styleId="pedal2">
    <w:name w:val="pedal2"/>
    <w:basedOn w:val="pedal"/>
    <w:autoRedefine/>
    <w:rsid w:val="000B2183"/>
    <w:pPr>
      <w:ind w:left="539" w:hanging="539"/>
      <w:jc w:val="both"/>
    </w:pPr>
  </w:style>
  <w:style w:type="paragraph" w:customStyle="1" w:styleId="foot-note">
    <w:name w:val="foot-note"/>
    <w:basedOn w:val="pedal2"/>
    <w:rsid w:val="003A3D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oogle.co.uk/url?sa=t&amp;rct=j&amp;q=&amp;esrc=s&amp;source=web&amp;cd=3&amp;cad=rja&amp;uact=8&amp;ved=0ahUKEwjK3PDPuv3YAhUFW8AKHTznCYMQFggyMAI&amp;url=http%3A%2F%2Fwww.legislation.gov.uk%2Fuksi%2F2016%2F1052%2Fmade&amp;usg=AOvVaw3Y6h6-jJhVgKtP7KOqc4tQ"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bailii.org/cgi-bin/format.cgi?doc=/ew/cases/EWCA/Civ/2011/552.html&amp;query=%28title:%28+amos+%29%2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1406</Words>
  <Characters>7163</Characters>
  <Application>Microsoft Office Word</Application>
  <DocSecurity>0</DocSecurity>
  <Lines>59</Lines>
  <Paragraphs>17</Paragraphs>
  <ScaleCrop>false</ScaleCrop>
  <Company/>
  <LinksUpToDate>false</LinksUpToDate>
  <CharactersWithSpaces>8552</CharactersWithSpaces>
  <SharedDoc>false</SharedDoc>
  <HLinks>
    <vt:vector size="12" baseType="variant">
      <vt:variant>
        <vt:i4>4653120</vt:i4>
      </vt:variant>
      <vt:variant>
        <vt:i4>14</vt:i4>
      </vt:variant>
      <vt:variant>
        <vt:i4>0</vt:i4>
      </vt:variant>
      <vt:variant>
        <vt:i4>5</vt:i4>
      </vt:variant>
      <vt:variant>
        <vt:lpwstr>http://www.bailii.org/cgi-bin/format.cgi?doc=/ew/cases/EWCA/Civ/2011/552.html&amp;query=%28title:%28+amos+%29%29</vt:lpwstr>
      </vt:variant>
      <vt:variant>
        <vt:lpwstr/>
      </vt:variant>
      <vt:variant>
        <vt:i4>2883644</vt:i4>
      </vt:variant>
      <vt:variant>
        <vt:i4>11</vt:i4>
      </vt:variant>
      <vt:variant>
        <vt:i4>0</vt:i4>
      </vt:variant>
      <vt:variant>
        <vt:i4>5</vt:i4>
      </vt:variant>
      <vt:variant>
        <vt:lpwstr>https://www.google.co.uk/url?sa=t&amp;rct=j&amp;q=&amp;esrc=s&amp;source=web&amp;cd=3&amp;cad=rja&amp;uact=8&amp;ved=0ahUKEwjK3PDPuv3YAhUFW8AKHTznCYMQFggyMAI&amp;url=http%3A%2F%2Fwww.legislation.gov.uk%2Fuksi%2F2016%2F1052%2Fmade&amp;usg=AOvVaw3Y6h6-jJhVgKtP7KOqc4tQ</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2018-09-21T13:32:00Z</dcterms:created>
  <dcterms:modified xsi:type="dcterms:W3CDTF">2018-09-21T13:32:00Z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