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D689B" w14:textId="77777777" w:rsidR="00C321B5" w:rsidRPr="00804E89" w:rsidRDefault="00974EC5" w:rsidP="00C321B5">
      <w:pPr>
        <w:jc w:val="center"/>
        <w:rPr>
          <w:rFonts w:ascii="Book Antiqua" w:hAnsi="Book Antiqua" w:cs="Arial"/>
          <w:sz w:val="16"/>
          <w:szCs w:val="16"/>
        </w:rPr>
      </w:pPr>
      <w:r w:rsidRPr="00804E89">
        <w:rPr>
          <w:noProof/>
        </w:rPr>
        <w:drawing>
          <wp:inline distT="0" distB="0" distL="0" distR="0" wp14:anchorId="5CE50AD8" wp14:editId="59DDD968">
            <wp:extent cx="1043305"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08685"/>
                    </a:xfrm>
                    <a:prstGeom prst="rect">
                      <a:avLst/>
                    </a:prstGeom>
                    <a:noFill/>
                    <a:ln>
                      <a:noFill/>
                    </a:ln>
                  </pic:spPr>
                </pic:pic>
              </a:graphicData>
            </a:graphic>
          </wp:inline>
        </w:drawing>
      </w:r>
    </w:p>
    <w:p w14:paraId="3C42B82F" w14:textId="270955C2" w:rsidR="00D94AFC" w:rsidRPr="00804E89" w:rsidRDefault="00D94AFC">
      <w:pPr>
        <w:rPr>
          <w:rFonts w:ascii="Book Antiqua" w:hAnsi="Book Antiqua" w:cs="Arial"/>
          <w:sz w:val="16"/>
          <w:szCs w:val="16"/>
        </w:rPr>
      </w:pPr>
    </w:p>
    <w:p w14:paraId="66A0AD8D" w14:textId="77777777" w:rsidR="00D94AFC" w:rsidRPr="00804E89" w:rsidRDefault="00D94AFC">
      <w:pPr>
        <w:rPr>
          <w:rFonts w:ascii="Book Antiqua" w:hAnsi="Book Antiqua" w:cs="Arial"/>
        </w:rPr>
      </w:pPr>
    </w:p>
    <w:p w14:paraId="3D2EE931" w14:textId="77777777" w:rsidR="00C321B5" w:rsidRPr="00804E89" w:rsidRDefault="001A1E2C" w:rsidP="00B626FA">
      <w:pPr>
        <w:tabs>
          <w:tab w:val="right" w:pos="9639"/>
        </w:tabs>
        <w:rPr>
          <w:rFonts w:ascii="Book Antiqua" w:hAnsi="Book Antiqua" w:cs="Arial"/>
          <w:b/>
        </w:rPr>
      </w:pPr>
      <w:r w:rsidRPr="00804E89">
        <w:rPr>
          <w:rFonts w:ascii="Book Antiqua" w:hAnsi="Book Antiqua" w:cs="Arial"/>
          <w:b/>
        </w:rPr>
        <w:t xml:space="preserve">Upper </w:t>
      </w:r>
      <w:r w:rsidR="00C321B5" w:rsidRPr="00804E89">
        <w:rPr>
          <w:rFonts w:ascii="Book Antiqua" w:hAnsi="Book Antiqua" w:cs="Arial"/>
          <w:b/>
        </w:rPr>
        <w:t xml:space="preserve">Tribunal </w:t>
      </w:r>
      <w:r w:rsidR="00A51FD2" w:rsidRPr="00804E89">
        <w:rPr>
          <w:rFonts w:ascii="Book Antiqua" w:hAnsi="Book Antiqua" w:cs="Arial"/>
          <w:b/>
        </w:rPr>
        <w:t xml:space="preserve"> </w:t>
      </w:r>
    </w:p>
    <w:p w14:paraId="4BB4D704" w14:textId="77777777" w:rsidR="007B0824" w:rsidRPr="00804E89" w:rsidRDefault="00C321B5" w:rsidP="00B626FA">
      <w:pPr>
        <w:tabs>
          <w:tab w:val="right" w:pos="9639"/>
        </w:tabs>
        <w:rPr>
          <w:rFonts w:ascii="Book Antiqua" w:hAnsi="Book Antiqua" w:cs="Arial"/>
        </w:rPr>
      </w:pPr>
      <w:r w:rsidRPr="00804E89">
        <w:rPr>
          <w:rFonts w:ascii="Book Antiqua" w:hAnsi="Book Antiqua" w:cs="Arial"/>
          <w:b/>
        </w:rPr>
        <w:t>(Immigration and Asylum Chamber)</w:t>
      </w:r>
      <w:r w:rsidR="00B626FA" w:rsidRPr="00804E89">
        <w:rPr>
          <w:rFonts w:ascii="Book Antiqua" w:hAnsi="Book Antiqua" w:cs="Arial"/>
          <w:b/>
        </w:rPr>
        <w:tab/>
      </w:r>
      <w:r w:rsidR="00B3524D" w:rsidRPr="00804E89">
        <w:rPr>
          <w:rFonts w:ascii="Book Antiqua" w:hAnsi="Book Antiqua" w:cs="Arial"/>
        </w:rPr>
        <w:t>Appeal Number</w:t>
      </w:r>
      <w:r w:rsidR="00D53769" w:rsidRPr="00804E89">
        <w:rPr>
          <w:rFonts w:ascii="Book Antiqua" w:hAnsi="Book Antiqua" w:cs="Arial"/>
        </w:rPr>
        <w:t>:</w:t>
      </w:r>
      <w:r w:rsidR="00B3524D" w:rsidRPr="00804E89">
        <w:rPr>
          <w:rFonts w:ascii="Book Antiqua" w:hAnsi="Book Antiqua" w:cs="Arial"/>
        </w:rPr>
        <w:t xml:space="preserve"> </w:t>
      </w:r>
      <w:bookmarkStart w:id="0" w:name="_GoBack"/>
      <w:r w:rsidR="00974EC5" w:rsidRPr="00804E89">
        <w:rPr>
          <w:rFonts w:ascii="Book Antiqua" w:hAnsi="Book Antiqua" w:cs="Arial"/>
          <w:caps/>
        </w:rPr>
        <w:t>EA/04833/2017</w:t>
      </w:r>
      <w:r w:rsidR="00E328F1" w:rsidRPr="00804E89">
        <w:rPr>
          <w:rFonts w:ascii="Book Antiqua" w:hAnsi="Book Antiqua" w:cs="Arial"/>
          <w:caps/>
        </w:rPr>
        <w:t xml:space="preserve">  </w:t>
      </w:r>
      <w:bookmarkEnd w:id="0"/>
    </w:p>
    <w:p w14:paraId="73A9829A" w14:textId="77777777" w:rsidR="00C345E1" w:rsidRPr="00804E89" w:rsidRDefault="00C345E1" w:rsidP="00C345E1">
      <w:pPr>
        <w:jc w:val="center"/>
        <w:rPr>
          <w:rFonts w:ascii="Book Antiqua" w:hAnsi="Book Antiqua" w:cs="Arial"/>
        </w:rPr>
      </w:pPr>
    </w:p>
    <w:p w14:paraId="49043918" w14:textId="77777777" w:rsidR="00C345E1" w:rsidRPr="00804E89" w:rsidRDefault="00C345E1" w:rsidP="00C345E1">
      <w:pPr>
        <w:jc w:val="center"/>
        <w:rPr>
          <w:rFonts w:ascii="Book Antiqua" w:hAnsi="Book Antiqua" w:cs="Arial"/>
        </w:rPr>
      </w:pPr>
    </w:p>
    <w:p w14:paraId="420F1DF8" w14:textId="77777777" w:rsidR="00C345E1" w:rsidRPr="00804E89" w:rsidRDefault="00C345E1" w:rsidP="00C345E1">
      <w:pPr>
        <w:jc w:val="center"/>
        <w:rPr>
          <w:rFonts w:ascii="Book Antiqua" w:hAnsi="Book Antiqua" w:cs="Arial"/>
          <w:b/>
          <w:u w:val="single"/>
        </w:rPr>
      </w:pPr>
      <w:r w:rsidRPr="00804E89">
        <w:rPr>
          <w:rFonts w:ascii="Book Antiqua" w:hAnsi="Book Antiqua" w:cs="Arial"/>
          <w:b/>
          <w:u w:val="single"/>
        </w:rPr>
        <w:t>THE IMMIGRATION ACTS</w:t>
      </w:r>
    </w:p>
    <w:p w14:paraId="58FD7B2C" w14:textId="77777777" w:rsidR="00C345E1" w:rsidRPr="00804E89" w:rsidRDefault="00C345E1" w:rsidP="00C345E1">
      <w:pPr>
        <w:jc w:val="center"/>
        <w:rPr>
          <w:rFonts w:ascii="Book Antiqua" w:hAnsi="Book Antiqua" w:cs="Arial"/>
          <w:b/>
          <w:u w:val="single"/>
        </w:rPr>
      </w:pPr>
    </w:p>
    <w:p w14:paraId="0F6B3D26" w14:textId="77777777" w:rsidR="00C345E1" w:rsidRPr="00804E89"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804E89" w14:paraId="2581245E" w14:textId="77777777" w:rsidTr="00F13D39">
        <w:tc>
          <w:tcPr>
            <w:tcW w:w="6048" w:type="dxa"/>
          </w:tcPr>
          <w:p w14:paraId="20159F71" w14:textId="77777777" w:rsidR="00D22636" w:rsidRPr="00804E89" w:rsidRDefault="00D22636" w:rsidP="004A1848">
            <w:pPr>
              <w:jc w:val="both"/>
              <w:rPr>
                <w:rFonts w:ascii="Book Antiqua" w:hAnsi="Book Antiqua" w:cs="Arial"/>
                <w:b/>
              </w:rPr>
            </w:pPr>
            <w:r w:rsidRPr="00804E89">
              <w:rPr>
                <w:rFonts w:ascii="Book Antiqua" w:hAnsi="Book Antiqua" w:cs="Arial"/>
                <w:b/>
              </w:rPr>
              <w:t xml:space="preserve">Heard at </w:t>
            </w:r>
            <w:r w:rsidR="00D328A1" w:rsidRPr="00804E89">
              <w:rPr>
                <w:rFonts w:ascii="Book Antiqua" w:hAnsi="Book Antiqua" w:cs="Arial"/>
                <w:b/>
              </w:rPr>
              <w:t xml:space="preserve">Field House </w:t>
            </w:r>
            <w:r w:rsidR="00E328F1" w:rsidRPr="00804E89">
              <w:rPr>
                <w:rFonts w:ascii="Book Antiqua" w:hAnsi="Book Antiqua" w:cs="Arial"/>
                <w:b/>
              </w:rPr>
              <w:t xml:space="preserve"> </w:t>
            </w:r>
          </w:p>
        </w:tc>
        <w:tc>
          <w:tcPr>
            <w:tcW w:w="3960" w:type="dxa"/>
          </w:tcPr>
          <w:p w14:paraId="78927436" w14:textId="77777777" w:rsidR="00D22636" w:rsidRPr="00804E89" w:rsidRDefault="00F13D39" w:rsidP="004A1848">
            <w:pPr>
              <w:jc w:val="both"/>
              <w:rPr>
                <w:rFonts w:ascii="Book Antiqua" w:hAnsi="Book Antiqua" w:cs="Arial"/>
                <w:b/>
              </w:rPr>
            </w:pPr>
            <w:r w:rsidRPr="00804E89">
              <w:rPr>
                <w:rFonts w:ascii="Book Antiqua" w:hAnsi="Book Antiqua" w:cs="Arial"/>
                <w:b/>
              </w:rPr>
              <w:t>Decision &amp; Reasons</w:t>
            </w:r>
            <w:r w:rsidR="00283659" w:rsidRPr="00804E89">
              <w:rPr>
                <w:rFonts w:ascii="Book Antiqua" w:hAnsi="Book Antiqua" w:cs="Arial"/>
                <w:b/>
              </w:rPr>
              <w:t xml:space="preserve"> Promulgated</w:t>
            </w:r>
          </w:p>
        </w:tc>
      </w:tr>
      <w:tr w:rsidR="00D22636" w:rsidRPr="00804E89" w14:paraId="02C43B05" w14:textId="77777777" w:rsidTr="00F13D39">
        <w:tc>
          <w:tcPr>
            <w:tcW w:w="6048" w:type="dxa"/>
          </w:tcPr>
          <w:p w14:paraId="665D0196" w14:textId="77777777" w:rsidR="00D22636" w:rsidRPr="00804E89" w:rsidRDefault="00D22636" w:rsidP="004A1848">
            <w:pPr>
              <w:jc w:val="both"/>
              <w:rPr>
                <w:rFonts w:ascii="Book Antiqua" w:hAnsi="Book Antiqua" w:cs="Arial"/>
                <w:b/>
              </w:rPr>
            </w:pPr>
            <w:r w:rsidRPr="00804E89">
              <w:rPr>
                <w:rFonts w:ascii="Book Antiqua" w:hAnsi="Book Antiqua" w:cs="Arial"/>
                <w:b/>
              </w:rPr>
              <w:t xml:space="preserve">On </w:t>
            </w:r>
            <w:r w:rsidR="00D328A1" w:rsidRPr="00804E89">
              <w:rPr>
                <w:rFonts w:ascii="Book Antiqua" w:hAnsi="Book Antiqua" w:cs="Arial"/>
                <w:b/>
              </w:rPr>
              <w:t>11</w:t>
            </w:r>
            <w:r w:rsidR="00D328A1" w:rsidRPr="00804E89">
              <w:rPr>
                <w:rFonts w:ascii="Book Antiqua" w:hAnsi="Book Antiqua" w:cs="Arial"/>
                <w:b/>
                <w:vertAlign w:val="superscript"/>
              </w:rPr>
              <w:t>th</w:t>
            </w:r>
            <w:r w:rsidR="00D328A1" w:rsidRPr="00804E89">
              <w:rPr>
                <w:rFonts w:ascii="Book Antiqua" w:hAnsi="Book Antiqua" w:cs="Arial"/>
                <w:b/>
              </w:rPr>
              <w:t xml:space="preserve"> June 2018 </w:t>
            </w:r>
            <w:r w:rsidR="003451B2" w:rsidRPr="00804E89">
              <w:rPr>
                <w:rFonts w:ascii="Book Antiqua" w:hAnsi="Book Antiqua" w:cs="Arial"/>
                <w:b/>
              </w:rPr>
              <w:t xml:space="preserve"> </w:t>
            </w:r>
          </w:p>
        </w:tc>
        <w:tc>
          <w:tcPr>
            <w:tcW w:w="3960" w:type="dxa"/>
          </w:tcPr>
          <w:p w14:paraId="1912D6B9" w14:textId="2DD72C5D" w:rsidR="00D22636" w:rsidRPr="00804E89" w:rsidRDefault="008C6E78" w:rsidP="004A1848">
            <w:pPr>
              <w:jc w:val="both"/>
              <w:rPr>
                <w:rFonts w:ascii="Book Antiqua" w:hAnsi="Book Antiqua" w:cs="Arial"/>
                <w:b/>
              </w:rPr>
            </w:pPr>
            <w:r>
              <w:rPr>
                <w:rFonts w:ascii="Book Antiqua" w:hAnsi="Book Antiqua" w:cs="Arial"/>
                <w:b/>
              </w:rPr>
              <w:t>On 19</w:t>
            </w:r>
            <w:r w:rsidRPr="008C6E78">
              <w:rPr>
                <w:rFonts w:ascii="Book Antiqua" w:hAnsi="Book Antiqua" w:cs="Arial"/>
                <w:b/>
                <w:vertAlign w:val="superscript"/>
              </w:rPr>
              <w:t>th</w:t>
            </w:r>
            <w:r>
              <w:rPr>
                <w:rFonts w:ascii="Book Antiqua" w:hAnsi="Book Antiqua" w:cs="Arial"/>
                <w:b/>
              </w:rPr>
              <w:t xml:space="preserve"> June 2018</w:t>
            </w:r>
          </w:p>
        </w:tc>
      </w:tr>
      <w:tr w:rsidR="00D22636" w:rsidRPr="00804E89" w14:paraId="56942C39" w14:textId="77777777" w:rsidTr="00F13D39">
        <w:tc>
          <w:tcPr>
            <w:tcW w:w="6048" w:type="dxa"/>
          </w:tcPr>
          <w:p w14:paraId="3D18F10E" w14:textId="77777777" w:rsidR="00D22636" w:rsidRPr="00804E89" w:rsidRDefault="00D22636" w:rsidP="004A1848">
            <w:pPr>
              <w:jc w:val="both"/>
              <w:rPr>
                <w:rFonts w:ascii="Book Antiqua" w:hAnsi="Book Antiqua" w:cs="Arial"/>
                <w:b/>
              </w:rPr>
            </w:pPr>
          </w:p>
        </w:tc>
        <w:tc>
          <w:tcPr>
            <w:tcW w:w="3960" w:type="dxa"/>
          </w:tcPr>
          <w:p w14:paraId="00E46F72" w14:textId="624E81FA" w:rsidR="00D22636" w:rsidRPr="00804E89" w:rsidRDefault="00D22636" w:rsidP="004A1848">
            <w:pPr>
              <w:jc w:val="both"/>
              <w:rPr>
                <w:rFonts w:ascii="Book Antiqua" w:hAnsi="Book Antiqua" w:cs="Arial"/>
                <w:b/>
              </w:rPr>
            </w:pPr>
          </w:p>
        </w:tc>
      </w:tr>
    </w:tbl>
    <w:p w14:paraId="0D716F50" w14:textId="77777777" w:rsidR="00A15234" w:rsidRPr="00804E89" w:rsidRDefault="00A15234" w:rsidP="00A15234">
      <w:pPr>
        <w:jc w:val="center"/>
        <w:rPr>
          <w:rFonts w:ascii="Book Antiqua" w:hAnsi="Book Antiqua" w:cs="Arial"/>
        </w:rPr>
      </w:pPr>
    </w:p>
    <w:p w14:paraId="53C7FE84" w14:textId="77777777" w:rsidR="00A15234" w:rsidRPr="00804E89" w:rsidRDefault="00A15234" w:rsidP="00A15234">
      <w:pPr>
        <w:jc w:val="center"/>
        <w:rPr>
          <w:rFonts w:ascii="Book Antiqua" w:hAnsi="Book Antiqua" w:cs="Arial"/>
        </w:rPr>
      </w:pPr>
    </w:p>
    <w:p w14:paraId="3A7BFF78" w14:textId="77777777" w:rsidR="00A15234" w:rsidRPr="00804E89" w:rsidRDefault="00207617" w:rsidP="00A15234">
      <w:pPr>
        <w:jc w:val="center"/>
        <w:rPr>
          <w:rFonts w:ascii="Book Antiqua" w:hAnsi="Book Antiqua" w:cs="Arial"/>
          <w:b/>
        </w:rPr>
      </w:pPr>
      <w:r w:rsidRPr="00804E89">
        <w:rPr>
          <w:rFonts w:ascii="Book Antiqua" w:hAnsi="Book Antiqua" w:cs="Arial"/>
          <w:b/>
        </w:rPr>
        <w:t>Befo</w:t>
      </w:r>
      <w:r w:rsidR="00A15234" w:rsidRPr="00804E89">
        <w:rPr>
          <w:rFonts w:ascii="Book Antiqua" w:hAnsi="Book Antiqua" w:cs="Arial"/>
          <w:b/>
        </w:rPr>
        <w:t>re</w:t>
      </w:r>
    </w:p>
    <w:p w14:paraId="42047F8D" w14:textId="77777777" w:rsidR="00A15234" w:rsidRPr="00804E89" w:rsidRDefault="00A15234" w:rsidP="00A15234">
      <w:pPr>
        <w:jc w:val="center"/>
        <w:rPr>
          <w:rFonts w:ascii="Book Antiqua" w:hAnsi="Book Antiqua" w:cs="Arial"/>
          <w:b/>
        </w:rPr>
      </w:pPr>
    </w:p>
    <w:p w14:paraId="419E1FB6" w14:textId="77777777" w:rsidR="001A1E2C" w:rsidRPr="00804E89" w:rsidRDefault="00255071" w:rsidP="00A15234">
      <w:pPr>
        <w:jc w:val="center"/>
        <w:rPr>
          <w:rFonts w:ascii="Book Antiqua" w:hAnsi="Book Antiqua" w:cs="Arial"/>
          <w:b/>
        </w:rPr>
      </w:pPr>
      <w:r w:rsidRPr="00804E89">
        <w:rPr>
          <w:rFonts w:ascii="Book Antiqua" w:hAnsi="Book Antiqua" w:cs="Arial"/>
          <w:b/>
        </w:rPr>
        <w:t>DEPUTY UPPER TRIBUNAL</w:t>
      </w:r>
      <w:r w:rsidR="00707DB1" w:rsidRPr="00804E89">
        <w:rPr>
          <w:rFonts w:ascii="Book Antiqua" w:hAnsi="Book Antiqua" w:cs="Arial"/>
          <w:b/>
        </w:rPr>
        <w:t xml:space="preserve"> </w:t>
      </w:r>
      <w:r w:rsidR="00E1040E" w:rsidRPr="00804E89">
        <w:rPr>
          <w:rFonts w:ascii="Book Antiqua" w:hAnsi="Book Antiqua" w:cs="Arial"/>
          <w:b/>
        </w:rPr>
        <w:t>JUDGE M A HALL</w:t>
      </w:r>
      <w:r w:rsidR="00E328F1" w:rsidRPr="00804E89">
        <w:rPr>
          <w:rFonts w:ascii="Book Antiqua" w:hAnsi="Book Antiqua" w:cs="Arial"/>
          <w:b/>
        </w:rPr>
        <w:t xml:space="preserve"> </w:t>
      </w:r>
    </w:p>
    <w:p w14:paraId="6A335AA3" w14:textId="77777777" w:rsidR="00B16F58" w:rsidRPr="00804E89" w:rsidRDefault="00B16F58" w:rsidP="00A15234">
      <w:pPr>
        <w:jc w:val="center"/>
        <w:rPr>
          <w:rFonts w:ascii="Book Antiqua" w:hAnsi="Book Antiqua" w:cs="Arial"/>
          <w:b/>
        </w:rPr>
      </w:pPr>
    </w:p>
    <w:p w14:paraId="4F291108" w14:textId="77777777" w:rsidR="00A845DC" w:rsidRPr="00804E89" w:rsidRDefault="00A845DC" w:rsidP="00A15234">
      <w:pPr>
        <w:jc w:val="center"/>
        <w:rPr>
          <w:rFonts w:ascii="Book Antiqua" w:hAnsi="Book Antiqua" w:cs="Arial"/>
          <w:b/>
        </w:rPr>
      </w:pPr>
      <w:r w:rsidRPr="00804E89">
        <w:rPr>
          <w:rFonts w:ascii="Book Antiqua" w:hAnsi="Book Antiqua" w:cs="Arial"/>
          <w:b/>
        </w:rPr>
        <w:t>Between</w:t>
      </w:r>
    </w:p>
    <w:p w14:paraId="757F365F" w14:textId="77777777" w:rsidR="00A845DC" w:rsidRPr="00804E89" w:rsidRDefault="00A845DC" w:rsidP="00A15234">
      <w:pPr>
        <w:jc w:val="center"/>
        <w:rPr>
          <w:rFonts w:ascii="Book Antiqua" w:hAnsi="Book Antiqua" w:cs="Arial"/>
          <w:b/>
        </w:rPr>
      </w:pPr>
    </w:p>
    <w:p w14:paraId="2C55CBE1" w14:textId="6D19B73C" w:rsidR="00742A8D" w:rsidRPr="00804E89" w:rsidRDefault="00D46182" w:rsidP="00742A8D">
      <w:pPr>
        <w:jc w:val="center"/>
        <w:rPr>
          <w:rFonts w:ascii="Book Antiqua" w:hAnsi="Book Antiqua" w:cs="Arial"/>
          <w:b/>
          <w:caps/>
        </w:rPr>
      </w:pPr>
      <w:r>
        <w:rPr>
          <w:rFonts w:ascii="Book Antiqua" w:hAnsi="Book Antiqua" w:cs="Arial"/>
          <w:b/>
          <w:caps/>
        </w:rPr>
        <w:t>OAA</w:t>
      </w:r>
      <w:r w:rsidR="00667539" w:rsidRPr="00804E89">
        <w:rPr>
          <w:rFonts w:ascii="Book Antiqua" w:hAnsi="Book Antiqua" w:cs="Arial"/>
          <w:b/>
          <w:caps/>
        </w:rPr>
        <w:t xml:space="preserve"> </w:t>
      </w:r>
    </w:p>
    <w:p w14:paraId="727B49D5" w14:textId="77777777" w:rsidR="00F13D39" w:rsidRPr="00804E89" w:rsidRDefault="00F13D39" w:rsidP="00F13D39">
      <w:pPr>
        <w:jc w:val="center"/>
        <w:rPr>
          <w:rFonts w:ascii="Book Antiqua" w:hAnsi="Book Antiqua" w:cs="Arial"/>
          <w:b/>
          <w:caps/>
        </w:rPr>
      </w:pPr>
      <w:r w:rsidRPr="00804E89">
        <w:rPr>
          <w:rFonts w:ascii="Book Antiqua" w:hAnsi="Book Antiqua" w:cs="Arial"/>
          <w:b/>
          <w:caps/>
        </w:rPr>
        <w:t xml:space="preserve">(ANONYMITY DIRECTION </w:t>
      </w:r>
      <w:bookmarkStart w:id="1" w:name="Text21"/>
      <w:r w:rsidRPr="00804E89">
        <w:rPr>
          <w:rFonts w:ascii="Book Antiqua" w:hAnsi="Book Antiqua" w:cs="Arial"/>
          <w:b/>
          <w:caps/>
          <w:noProof/>
        </w:rPr>
        <w:t>MADE</w:t>
      </w:r>
      <w:bookmarkEnd w:id="1"/>
      <w:r w:rsidRPr="00804E89">
        <w:rPr>
          <w:rFonts w:ascii="Book Antiqua" w:hAnsi="Book Antiqua" w:cs="Arial"/>
          <w:b/>
          <w:caps/>
        </w:rPr>
        <w:t>)</w:t>
      </w:r>
      <w:r w:rsidR="00642471" w:rsidRPr="00804E89">
        <w:rPr>
          <w:rFonts w:ascii="Book Antiqua" w:hAnsi="Book Antiqua" w:cs="Arial"/>
          <w:b/>
          <w:caps/>
        </w:rPr>
        <w:t xml:space="preserve"> </w:t>
      </w:r>
    </w:p>
    <w:p w14:paraId="7ECC5B13" w14:textId="77777777" w:rsidR="00704B61" w:rsidRPr="00804E89" w:rsidRDefault="00704B61" w:rsidP="00704B61">
      <w:pPr>
        <w:jc w:val="right"/>
        <w:rPr>
          <w:rFonts w:ascii="Book Antiqua" w:hAnsi="Book Antiqua" w:cs="Arial"/>
          <w:u w:val="single"/>
        </w:rPr>
      </w:pPr>
      <w:r w:rsidRPr="00804E89">
        <w:rPr>
          <w:rFonts w:ascii="Book Antiqua" w:hAnsi="Book Antiqua" w:cs="Arial"/>
          <w:u w:val="single"/>
        </w:rPr>
        <w:t>Appellant</w:t>
      </w:r>
    </w:p>
    <w:p w14:paraId="00CEDAEC" w14:textId="77777777" w:rsidR="006D1DFA" w:rsidRPr="00804E89" w:rsidRDefault="006D1DFA" w:rsidP="00704B61">
      <w:pPr>
        <w:jc w:val="center"/>
        <w:rPr>
          <w:rFonts w:ascii="Book Antiqua" w:hAnsi="Book Antiqua" w:cs="Arial"/>
          <w:b/>
        </w:rPr>
      </w:pPr>
    </w:p>
    <w:p w14:paraId="1AB13C52" w14:textId="77777777" w:rsidR="00704B61" w:rsidRPr="00804E89" w:rsidRDefault="00DD5071" w:rsidP="00704B61">
      <w:pPr>
        <w:jc w:val="center"/>
        <w:rPr>
          <w:rFonts w:ascii="Book Antiqua" w:hAnsi="Book Antiqua" w:cs="Arial"/>
          <w:b/>
        </w:rPr>
      </w:pPr>
      <w:r w:rsidRPr="00804E89">
        <w:rPr>
          <w:rFonts w:ascii="Book Antiqua" w:hAnsi="Book Antiqua" w:cs="Arial"/>
          <w:b/>
        </w:rPr>
        <w:t>and</w:t>
      </w:r>
    </w:p>
    <w:p w14:paraId="1C63CC31" w14:textId="77777777" w:rsidR="00DD5071" w:rsidRPr="00804E89" w:rsidRDefault="00DD5071" w:rsidP="00704B61">
      <w:pPr>
        <w:jc w:val="center"/>
        <w:rPr>
          <w:rFonts w:ascii="Book Antiqua" w:hAnsi="Book Antiqua" w:cs="Arial"/>
          <w:b/>
        </w:rPr>
      </w:pPr>
    </w:p>
    <w:p w14:paraId="3B9D2DD5" w14:textId="77777777" w:rsidR="00DD5071" w:rsidRPr="00804E89" w:rsidRDefault="00DD5071" w:rsidP="00704B61">
      <w:pPr>
        <w:jc w:val="center"/>
        <w:rPr>
          <w:rFonts w:ascii="Book Antiqua" w:hAnsi="Book Antiqua" w:cs="Arial"/>
          <w:b/>
          <w:caps/>
        </w:rPr>
      </w:pPr>
      <w:bookmarkStart w:id="2" w:name="Text7"/>
      <w:r w:rsidRPr="00804E89">
        <w:rPr>
          <w:rFonts w:ascii="Book Antiqua" w:hAnsi="Book Antiqua" w:cs="Arial"/>
          <w:b/>
          <w:caps/>
          <w:noProof/>
        </w:rPr>
        <w:t>THE SECRETARY OF STATE FOR THE HOME DEPARTMENT</w:t>
      </w:r>
      <w:bookmarkEnd w:id="2"/>
      <w:r w:rsidR="00E328F1" w:rsidRPr="00804E89">
        <w:rPr>
          <w:rFonts w:ascii="Book Antiqua" w:hAnsi="Book Antiqua" w:cs="Arial"/>
          <w:b/>
          <w:caps/>
          <w:noProof/>
        </w:rPr>
        <w:t xml:space="preserve"> </w:t>
      </w:r>
    </w:p>
    <w:p w14:paraId="17F42527" w14:textId="77777777" w:rsidR="00DD5071" w:rsidRPr="00804E89" w:rsidRDefault="00DD5071" w:rsidP="00DD5071">
      <w:pPr>
        <w:jc w:val="right"/>
        <w:rPr>
          <w:rFonts w:ascii="Book Antiqua" w:hAnsi="Book Antiqua" w:cs="Arial"/>
          <w:u w:val="single"/>
        </w:rPr>
      </w:pPr>
      <w:r w:rsidRPr="00804E89">
        <w:rPr>
          <w:rFonts w:ascii="Book Antiqua" w:hAnsi="Book Antiqua" w:cs="Arial"/>
          <w:u w:val="single"/>
        </w:rPr>
        <w:t>Respondent</w:t>
      </w:r>
    </w:p>
    <w:p w14:paraId="0C420005" w14:textId="77777777" w:rsidR="00DD5071" w:rsidRPr="00804E89" w:rsidRDefault="00DD5071" w:rsidP="00DD5071">
      <w:pPr>
        <w:rPr>
          <w:rFonts w:ascii="Book Antiqua" w:hAnsi="Book Antiqua" w:cs="Arial"/>
          <w:u w:val="single"/>
        </w:rPr>
      </w:pPr>
    </w:p>
    <w:p w14:paraId="5B0771CB" w14:textId="77777777" w:rsidR="00DD5071" w:rsidRPr="00804E89" w:rsidRDefault="00DD5071" w:rsidP="00DD5071">
      <w:pPr>
        <w:rPr>
          <w:rFonts w:ascii="Book Antiqua" w:hAnsi="Book Antiqua" w:cs="Arial"/>
          <w:u w:val="single"/>
        </w:rPr>
      </w:pPr>
    </w:p>
    <w:p w14:paraId="47A55881" w14:textId="77777777" w:rsidR="00DD5071" w:rsidRPr="00804E89" w:rsidRDefault="00DE7DB7" w:rsidP="00DD5071">
      <w:pPr>
        <w:rPr>
          <w:rFonts w:ascii="Book Antiqua" w:hAnsi="Book Antiqua" w:cs="Arial"/>
        </w:rPr>
      </w:pPr>
      <w:r w:rsidRPr="00804E89">
        <w:rPr>
          <w:rFonts w:ascii="Book Antiqua" w:hAnsi="Book Antiqua" w:cs="Arial"/>
          <w:b/>
          <w:u w:val="single"/>
        </w:rPr>
        <w:t>Representation</w:t>
      </w:r>
      <w:r w:rsidRPr="00804E89">
        <w:rPr>
          <w:rFonts w:ascii="Book Antiqua" w:hAnsi="Book Antiqua" w:cs="Arial"/>
          <w:b/>
        </w:rPr>
        <w:t>:</w:t>
      </w:r>
    </w:p>
    <w:p w14:paraId="2D412BF3" w14:textId="77777777" w:rsidR="00DE7DB7" w:rsidRPr="00804E89" w:rsidRDefault="00DE7DB7" w:rsidP="00DD5071">
      <w:pPr>
        <w:rPr>
          <w:rFonts w:ascii="Book Antiqua" w:hAnsi="Book Antiqua" w:cs="Arial"/>
        </w:rPr>
      </w:pPr>
    </w:p>
    <w:p w14:paraId="383FD003" w14:textId="77777777" w:rsidR="00DE7DB7" w:rsidRPr="00804E89" w:rsidRDefault="00DE7DB7" w:rsidP="00DE7DB7">
      <w:pPr>
        <w:tabs>
          <w:tab w:val="left" w:pos="2520"/>
        </w:tabs>
        <w:rPr>
          <w:rFonts w:ascii="Book Antiqua" w:hAnsi="Book Antiqua" w:cs="Arial"/>
        </w:rPr>
      </w:pPr>
      <w:r w:rsidRPr="00804E89">
        <w:rPr>
          <w:rFonts w:ascii="Book Antiqua" w:hAnsi="Book Antiqua" w:cs="Arial"/>
        </w:rPr>
        <w:t>For the Appellant:</w:t>
      </w:r>
      <w:r w:rsidRPr="00804E89">
        <w:rPr>
          <w:rFonts w:ascii="Book Antiqua" w:hAnsi="Book Antiqua" w:cs="Arial"/>
        </w:rPr>
        <w:tab/>
      </w:r>
      <w:r w:rsidR="00E328F1" w:rsidRPr="00804E89">
        <w:rPr>
          <w:rFonts w:ascii="Book Antiqua" w:hAnsi="Book Antiqua" w:cs="Arial"/>
        </w:rPr>
        <w:t xml:space="preserve">Ms H Short of Counsel  </w:t>
      </w:r>
    </w:p>
    <w:p w14:paraId="031BC88D" w14:textId="77777777" w:rsidR="00DE7DB7" w:rsidRPr="00804E89" w:rsidRDefault="00DE7DB7" w:rsidP="00DE7DB7">
      <w:pPr>
        <w:tabs>
          <w:tab w:val="left" w:pos="2520"/>
        </w:tabs>
        <w:rPr>
          <w:rFonts w:ascii="Book Antiqua" w:hAnsi="Book Antiqua" w:cs="Arial"/>
        </w:rPr>
      </w:pPr>
      <w:r w:rsidRPr="00804E89">
        <w:rPr>
          <w:rFonts w:ascii="Book Antiqua" w:hAnsi="Book Antiqua" w:cs="Arial"/>
        </w:rPr>
        <w:t>For the Respondent:</w:t>
      </w:r>
      <w:r w:rsidRPr="00804E89">
        <w:rPr>
          <w:rFonts w:ascii="Book Antiqua" w:hAnsi="Book Antiqua" w:cs="Arial"/>
        </w:rPr>
        <w:tab/>
      </w:r>
      <w:r w:rsidR="00E328F1" w:rsidRPr="00804E89">
        <w:rPr>
          <w:rFonts w:ascii="Book Antiqua" w:hAnsi="Book Antiqua" w:cs="Arial"/>
        </w:rPr>
        <w:t>Mr N Bramble, Senior Home Office Presenting Officer</w:t>
      </w:r>
      <w:r w:rsidR="002C73FF" w:rsidRPr="00804E89">
        <w:rPr>
          <w:rFonts w:ascii="Book Antiqua" w:hAnsi="Book Antiqua" w:cs="Arial"/>
        </w:rPr>
        <w:t xml:space="preserve">  </w:t>
      </w:r>
    </w:p>
    <w:p w14:paraId="5BE98B4F" w14:textId="77777777" w:rsidR="00DE7DB7" w:rsidRPr="00804E89" w:rsidRDefault="00DE7DB7" w:rsidP="00402B9E">
      <w:pPr>
        <w:tabs>
          <w:tab w:val="left" w:pos="2520"/>
        </w:tabs>
        <w:jc w:val="center"/>
        <w:rPr>
          <w:rFonts w:ascii="Book Antiqua" w:hAnsi="Book Antiqua" w:cs="Arial"/>
        </w:rPr>
      </w:pPr>
    </w:p>
    <w:p w14:paraId="2992377C" w14:textId="77777777" w:rsidR="00DE7DB7" w:rsidRPr="00804E89" w:rsidRDefault="00DE7DB7" w:rsidP="00402B9E">
      <w:pPr>
        <w:tabs>
          <w:tab w:val="left" w:pos="2520"/>
        </w:tabs>
        <w:jc w:val="center"/>
        <w:rPr>
          <w:rFonts w:ascii="Book Antiqua" w:hAnsi="Book Antiqua" w:cs="Arial"/>
        </w:rPr>
      </w:pPr>
    </w:p>
    <w:p w14:paraId="69675C19" w14:textId="77777777" w:rsidR="00DE7DB7" w:rsidRPr="00804E89" w:rsidRDefault="00F13D39" w:rsidP="00402B9E">
      <w:pPr>
        <w:tabs>
          <w:tab w:val="left" w:pos="2520"/>
        </w:tabs>
        <w:jc w:val="center"/>
        <w:rPr>
          <w:rFonts w:ascii="Book Antiqua" w:hAnsi="Book Antiqua" w:cs="Arial"/>
        </w:rPr>
      </w:pPr>
      <w:r w:rsidRPr="00804E89">
        <w:rPr>
          <w:rFonts w:ascii="Book Antiqua" w:hAnsi="Book Antiqua" w:cs="Arial"/>
          <w:b/>
          <w:u w:val="single"/>
        </w:rPr>
        <w:t xml:space="preserve">DECISION </w:t>
      </w:r>
      <w:r w:rsidR="00402B9E" w:rsidRPr="00804E89">
        <w:rPr>
          <w:rFonts w:ascii="Book Antiqua" w:hAnsi="Book Antiqua" w:cs="Arial"/>
          <w:b/>
          <w:u w:val="single"/>
        </w:rPr>
        <w:t>AND REASONS</w:t>
      </w:r>
      <w:r w:rsidR="009D1E22" w:rsidRPr="00804E89">
        <w:rPr>
          <w:rFonts w:ascii="Book Antiqua" w:hAnsi="Book Antiqua" w:cs="Arial"/>
          <w:b/>
          <w:u w:val="single"/>
        </w:rPr>
        <w:t xml:space="preserve">  </w:t>
      </w:r>
    </w:p>
    <w:p w14:paraId="3D4512EF" w14:textId="77777777" w:rsidR="00B626FA" w:rsidRPr="00804E89" w:rsidRDefault="00B626FA" w:rsidP="00402B9E">
      <w:pPr>
        <w:tabs>
          <w:tab w:val="left" w:pos="2520"/>
        </w:tabs>
        <w:jc w:val="both"/>
        <w:rPr>
          <w:rFonts w:ascii="Book Antiqua" w:hAnsi="Book Antiqua" w:cs="Arial"/>
        </w:rPr>
      </w:pPr>
    </w:p>
    <w:p w14:paraId="1DF42B3A" w14:textId="77777777" w:rsidR="00202BE3" w:rsidRPr="00804E89" w:rsidRDefault="009D1E22" w:rsidP="009D1E22">
      <w:pPr>
        <w:spacing w:before="240"/>
        <w:jc w:val="both"/>
        <w:rPr>
          <w:rFonts w:ascii="Book Antiqua" w:hAnsi="Book Antiqua" w:cs="Arial"/>
          <w:b/>
        </w:rPr>
      </w:pPr>
      <w:r w:rsidRPr="00804E89">
        <w:rPr>
          <w:rFonts w:ascii="Book Antiqua" w:hAnsi="Book Antiqua" w:cs="Arial"/>
          <w:b/>
        </w:rPr>
        <w:t xml:space="preserve">Introduction and Background  </w:t>
      </w:r>
    </w:p>
    <w:p w14:paraId="3B2AFFBA" w14:textId="77777777" w:rsidR="00202BE3" w:rsidRPr="00804E89" w:rsidRDefault="009D1E22" w:rsidP="005E5DFF">
      <w:pPr>
        <w:numPr>
          <w:ilvl w:val="0"/>
          <w:numId w:val="3"/>
        </w:numPr>
        <w:spacing w:before="240"/>
        <w:jc w:val="both"/>
        <w:rPr>
          <w:rFonts w:ascii="Book Antiqua" w:hAnsi="Book Antiqua" w:cs="Arial"/>
        </w:rPr>
      </w:pPr>
      <w:r w:rsidRPr="00804E89">
        <w:rPr>
          <w:rFonts w:ascii="Book Antiqua" w:hAnsi="Book Antiqua" w:cs="Arial"/>
        </w:rPr>
        <w:t>The Appellant appeals against a decision of Judge James (the judge) of the First-tier Tribunal (the FtT) promulgated on 29</w:t>
      </w:r>
      <w:r w:rsidRPr="00804E89">
        <w:rPr>
          <w:rFonts w:ascii="Book Antiqua" w:hAnsi="Book Antiqua" w:cs="Arial"/>
          <w:vertAlign w:val="superscript"/>
        </w:rPr>
        <w:t>th</w:t>
      </w:r>
      <w:r w:rsidRPr="00804E89">
        <w:rPr>
          <w:rFonts w:ascii="Book Antiqua" w:hAnsi="Book Antiqua" w:cs="Arial"/>
        </w:rPr>
        <w:t xml:space="preserve"> November 2017.  </w:t>
      </w:r>
    </w:p>
    <w:p w14:paraId="7BA14A20" w14:textId="77777777" w:rsidR="009D1E22" w:rsidRPr="00804E89" w:rsidRDefault="009D1E22" w:rsidP="005E5DFF">
      <w:pPr>
        <w:numPr>
          <w:ilvl w:val="0"/>
          <w:numId w:val="3"/>
        </w:numPr>
        <w:spacing w:before="240"/>
        <w:jc w:val="both"/>
        <w:rPr>
          <w:rFonts w:ascii="Book Antiqua" w:hAnsi="Book Antiqua" w:cs="Arial"/>
        </w:rPr>
      </w:pPr>
      <w:r w:rsidRPr="00804E89">
        <w:rPr>
          <w:rFonts w:ascii="Book Antiqua" w:hAnsi="Book Antiqua" w:cs="Arial"/>
        </w:rPr>
        <w:lastRenderedPageBreak/>
        <w:t>The Appellant is a Nigerian national born 3</w:t>
      </w:r>
      <w:r w:rsidRPr="00804E89">
        <w:rPr>
          <w:rFonts w:ascii="Book Antiqua" w:hAnsi="Book Antiqua" w:cs="Arial"/>
          <w:vertAlign w:val="superscript"/>
        </w:rPr>
        <w:t>rd</w:t>
      </w:r>
      <w:r w:rsidRPr="00804E89">
        <w:rPr>
          <w:rFonts w:ascii="Book Antiqua" w:hAnsi="Book Antiqua" w:cs="Arial"/>
        </w:rPr>
        <w:t xml:space="preserve"> July 1981.  He applied for a derivative residence card pursuant to </w:t>
      </w:r>
      <w:r w:rsidR="004E0E8F" w:rsidRPr="00804E89">
        <w:rPr>
          <w:rFonts w:ascii="Book Antiqua" w:hAnsi="Book Antiqua" w:cs="Arial"/>
        </w:rPr>
        <w:t>regulation</w:t>
      </w:r>
      <w:r w:rsidRPr="00804E89">
        <w:rPr>
          <w:rFonts w:ascii="Book Antiqua" w:hAnsi="Book Antiqua" w:cs="Arial"/>
        </w:rPr>
        <w:t xml:space="preserve"> 16 of the Immigration (European Economic Area) Regulations 2016 as the primary carer of his daughter, who is a British citizen.  </w:t>
      </w:r>
    </w:p>
    <w:p w14:paraId="75A5995E" w14:textId="77777777" w:rsidR="009D1E22" w:rsidRPr="00804E89" w:rsidRDefault="009D1E22" w:rsidP="005E5DFF">
      <w:pPr>
        <w:numPr>
          <w:ilvl w:val="0"/>
          <w:numId w:val="3"/>
        </w:numPr>
        <w:spacing w:before="240"/>
        <w:jc w:val="both"/>
        <w:rPr>
          <w:rFonts w:ascii="Book Antiqua" w:hAnsi="Book Antiqua" w:cs="Arial"/>
        </w:rPr>
      </w:pPr>
      <w:r w:rsidRPr="00804E89">
        <w:rPr>
          <w:rFonts w:ascii="Book Antiqua" w:hAnsi="Book Antiqua" w:cs="Arial"/>
        </w:rPr>
        <w:t>The application was refused on 4</w:t>
      </w:r>
      <w:r w:rsidRPr="00804E89">
        <w:rPr>
          <w:rFonts w:ascii="Book Antiqua" w:hAnsi="Book Antiqua" w:cs="Arial"/>
          <w:vertAlign w:val="superscript"/>
        </w:rPr>
        <w:t>th</w:t>
      </w:r>
      <w:r w:rsidRPr="00804E89">
        <w:rPr>
          <w:rFonts w:ascii="Book Antiqua" w:hAnsi="Book Antiqua" w:cs="Arial"/>
        </w:rPr>
        <w:t xml:space="preserve"> May 2017 and the Appellant appealed to the FtT, and the appeal was heard on 7</w:t>
      </w:r>
      <w:r w:rsidRPr="00804E89">
        <w:rPr>
          <w:rFonts w:ascii="Book Antiqua" w:hAnsi="Book Antiqua" w:cs="Arial"/>
          <w:vertAlign w:val="superscript"/>
        </w:rPr>
        <w:t>th</w:t>
      </w:r>
      <w:r w:rsidRPr="00804E89">
        <w:rPr>
          <w:rFonts w:ascii="Book Antiqua" w:hAnsi="Book Antiqua" w:cs="Arial"/>
        </w:rPr>
        <w:t xml:space="preserve"> November 2017.  </w:t>
      </w:r>
    </w:p>
    <w:p w14:paraId="6CF9B324" w14:textId="77777777" w:rsidR="009D1E22" w:rsidRPr="00804E89" w:rsidRDefault="009D1E22" w:rsidP="005E5DFF">
      <w:pPr>
        <w:numPr>
          <w:ilvl w:val="0"/>
          <w:numId w:val="3"/>
        </w:numPr>
        <w:spacing w:before="240"/>
        <w:jc w:val="both"/>
        <w:rPr>
          <w:rFonts w:ascii="Book Antiqua" w:hAnsi="Book Antiqua" w:cs="Arial"/>
        </w:rPr>
      </w:pPr>
      <w:r w:rsidRPr="00804E89">
        <w:rPr>
          <w:rFonts w:ascii="Book Antiqua" w:hAnsi="Book Antiqua" w:cs="Arial"/>
        </w:rPr>
        <w:t xml:space="preserve">The issue before the FtT was whether the Appellant is the primary carer of his daughter.  His case was that he shared equally the responsibility for his daughter’s care with her mother who is not an exempt person. The judge heard evidence from the Appellant and his daughter’s mother and found that the Appellant and his daughter have a strong bond, share a number of activities together, </w:t>
      </w:r>
      <w:r w:rsidR="00AA6D3B" w:rsidRPr="00804E89">
        <w:rPr>
          <w:rFonts w:ascii="Book Antiqua" w:hAnsi="Book Antiqua" w:cs="Arial"/>
        </w:rPr>
        <w:t xml:space="preserve">he provides her dinner money and has provided shoes for her and other financial support.  </w:t>
      </w:r>
      <w:r w:rsidR="00F43A20" w:rsidRPr="00804E89">
        <w:rPr>
          <w:rFonts w:ascii="Book Antiqua" w:hAnsi="Book Antiqua" w:cs="Arial"/>
        </w:rPr>
        <w:t xml:space="preserve">However the Appellant’s daughter did not live with him and he did not cook, clean or do laundry for her.  </w:t>
      </w:r>
      <w:r w:rsidR="009B2EF7" w:rsidRPr="00804E89">
        <w:rPr>
          <w:rFonts w:ascii="Book Antiqua" w:hAnsi="Book Antiqua" w:cs="Arial"/>
        </w:rPr>
        <w:t xml:space="preserve">The judge did not accept that the Appellant is the primary carer of his daughter, and it was not accepted that he shared equal responsibility for her care.  The judge found that the majority of the daughter’s care was undertaken by her mother, although it was accepted that the Appellant has contact with his daughter and is involved in her life.  The judge found that the requirements of </w:t>
      </w:r>
      <w:r w:rsidR="004E0E8F" w:rsidRPr="00804E89">
        <w:rPr>
          <w:rFonts w:ascii="Book Antiqua" w:hAnsi="Book Antiqua" w:cs="Arial"/>
        </w:rPr>
        <w:t>regulation</w:t>
      </w:r>
      <w:r w:rsidR="009B2EF7" w:rsidRPr="00804E89">
        <w:rPr>
          <w:rFonts w:ascii="Book Antiqua" w:hAnsi="Book Antiqua" w:cs="Arial"/>
        </w:rPr>
        <w:t xml:space="preserve"> 16(8) were not satisfied.  The appeal was therefore dismissed.  </w:t>
      </w:r>
    </w:p>
    <w:p w14:paraId="425A5FFE" w14:textId="77777777" w:rsidR="009B2EF7" w:rsidRPr="00804E89" w:rsidRDefault="009B2EF7" w:rsidP="005E5DFF">
      <w:pPr>
        <w:numPr>
          <w:ilvl w:val="0"/>
          <w:numId w:val="3"/>
        </w:numPr>
        <w:spacing w:before="240"/>
        <w:jc w:val="both"/>
        <w:rPr>
          <w:rFonts w:ascii="Book Antiqua" w:hAnsi="Book Antiqua" w:cs="Arial"/>
        </w:rPr>
      </w:pPr>
      <w:r w:rsidRPr="00804E89">
        <w:rPr>
          <w:rFonts w:ascii="Book Antiqua" w:hAnsi="Book Antiqua" w:cs="Arial"/>
        </w:rPr>
        <w:t xml:space="preserve">The Appellant applied for permission to appeal to the Upper Tribunal.  It was submitted that the judge had materially erred in law by failing to apply the Home Office policy guidance on free movement rights with reference to derivate rights of </w:t>
      </w:r>
      <w:r w:rsidR="0098212C" w:rsidRPr="00804E89">
        <w:rPr>
          <w:rFonts w:ascii="Book Antiqua" w:hAnsi="Book Antiqua" w:cs="Arial"/>
        </w:rPr>
        <w:t>residence, published for Home Office staff on 11</w:t>
      </w:r>
      <w:r w:rsidR="0098212C" w:rsidRPr="00804E89">
        <w:rPr>
          <w:rFonts w:ascii="Book Antiqua" w:hAnsi="Book Antiqua" w:cs="Arial"/>
          <w:vertAlign w:val="superscript"/>
        </w:rPr>
        <w:t>th</w:t>
      </w:r>
      <w:r w:rsidR="0098212C" w:rsidRPr="00804E89">
        <w:rPr>
          <w:rFonts w:ascii="Book Antiqua" w:hAnsi="Book Antiqua" w:cs="Arial"/>
        </w:rPr>
        <w:t xml:space="preserve"> April 2017.  The Appellant quoted from page 48 which relates to sharing equal responsibility with a person who is not exempt.  The guidance states that equal responsibility </w:t>
      </w:r>
      <w:r w:rsidR="00194F80" w:rsidRPr="00804E89">
        <w:rPr>
          <w:rFonts w:ascii="Book Antiqua" w:hAnsi="Book Antiqua" w:cs="Arial"/>
        </w:rPr>
        <w:t xml:space="preserve">does not mean there has to be evidence of equal sharing of responsibilities as this is not always practical.  </w:t>
      </w:r>
      <w:r w:rsidR="00C164D1" w:rsidRPr="00804E89">
        <w:rPr>
          <w:rFonts w:ascii="Book Antiqua" w:hAnsi="Book Antiqua" w:cs="Arial"/>
        </w:rPr>
        <w:t>By way of example the guidance states that while a father might not provide the majority of care for the child, if he is actively involved in the child’s life and continues to have parental responsibility, it should be accepted that both parents share equal responsibility</w:t>
      </w:r>
      <w:r w:rsidR="00121AB8" w:rsidRPr="00804E89">
        <w:rPr>
          <w:rFonts w:ascii="Book Antiqua" w:hAnsi="Book Antiqua" w:cs="Arial"/>
        </w:rPr>
        <w:t xml:space="preserve">.  </w:t>
      </w:r>
    </w:p>
    <w:p w14:paraId="20216D1D" w14:textId="77777777" w:rsidR="00121AB8" w:rsidRPr="00804E89" w:rsidRDefault="00121AB8" w:rsidP="005E5DFF">
      <w:pPr>
        <w:numPr>
          <w:ilvl w:val="0"/>
          <w:numId w:val="3"/>
        </w:numPr>
        <w:spacing w:before="240"/>
        <w:jc w:val="both"/>
        <w:rPr>
          <w:rFonts w:ascii="Book Antiqua" w:hAnsi="Book Antiqua" w:cs="Arial"/>
        </w:rPr>
      </w:pPr>
      <w:r w:rsidRPr="00804E89">
        <w:rPr>
          <w:rFonts w:ascii="Book Antiqua" w:hAnsi="Book Antiqua" w:cs="Arial"/>
        </w:rPr>
        <w:t xml:space="preserve">Permission to appeal was granted by Judge S P J Buchanan of the FtT who found;  </w:t>
      </w:r>
    </w:p>
    <w:p w14:paraId="3D63C335" w14:textId="77777777" w:rsidR="00121AB8" w:rsidRPr="00804E89" w:rsidRDefault="00121AB8" w:rsidP="00121AB8">
      <w:pPr>
        <w:spacing w:before="240"/>
        <w:ind w:left="1134"/>
        <w:jc w:val="both"/>
        <w:rPr>
          <w:rFonts w:ascii="Book Antiqua" w:hAnsi="Book Antiqua" w:cs="Arial"/>
        </w:rPr>
      </w:pPr>
      <w:r w:rsidRPr="00804E89">
        <w:rPr>
          <w:rFonts w:ascii="Book Antiqua" w:hAnsi="Book Antiqua" w:cs="Arial"/>
          <w:sz w:val="22"/>
        </w:rPr>
        <w:t>“It is arguably a material error of law to carry out an evaluative assessment of proportion of effort undertaken by parents in determining whether the father shares equally the responsibility for the child’s care, as responsibility for care might be measured and determined in law by other means.”</w:t>
      </w:r>
      <w:r w:rsidRPr="00804E89">
        <w:rPr>
          <w:rFonts w:ascii="Book Antiqua" w:hAnsi="Book Antiqua" w:cs="Arial"/>
        </w:rPr>
        <w:t xml:space="preserve">    </w:t>
      </w:r>
    </w:p>
    <w:p w14:paraId="3744A1A5" w14:textId="77777777" w:rsidR="00202BE3" w:rsidRPr="00804E89" w:rsidRDefault="000B3DA6" w:rsidP="005E5DFF">
      <w:pPr>
        <w:numPr>
          <w:ilvl w:val="0"/>
          <w:numId w:val="3"/>
        </w:numPr>
        <w:spacing w:before="240"/>
        <w:jc w:val="both"/>
        <w:rPr>
          <w:rFonts w:ascii="Book Antiqua" w:hAnsi="Book Antiqua" w:cs="Arial"/>
        </w:rPr>
      </w:pPr>
      <w:r w:rsidRPr="00804E89">
        <w:rPr>
          <w:rFonts w:ascii="Book Antiqua" w:hAnsi="Book Antiqua" w:cs="Arial"/>
        </w:rPr>
        <w:t xml:space="preserve">Following the grant of permission, the Respondent did not lodge a response pursuant to </w:t>
      </w:r>
      <w:r w:rsidR="00C13FF3" w:rsidRPr="00804E89">
        <w:rPr>
          <w:rFonts w:ascii="Book Antiqua" w:hAnsi="Book Antiqua" w:cs="Arial"/>
        </w:rPr>
        <w:t>rule</w:t>
      </w:r>
      <w:r w:rsidRPr="00804E89">
        <w:rPr>
          <w:rFonts w:ascii="Book Antiqua" w:hAnsi="Book Antiqua" w:cs="Arial"/>
        </w:rPr>
        <w:t xml:space="preserve"> 24 of the Tribunal Procedure (Upper Tribunal) Rules 2008.  </w:t>
      </w:r>
    </w:p>
    <w:p w14:paraId="5EFA052A" w14:textId="77777777" w:rsidR="000B3DA6" w:rsidRPr="00804E89" w:rsidRDefault="000B3DA6" w:rsidP="005E5DFF">
      <w:pPr>
        <w:numPr>
          <w:ilvl w:val="0"/>
          <w:numId w:val="3"/>
        </w:numPr>
        <w:spacing w:before="240"/>
        <w:jc w:val="both"/>
        <w:rPr>
          <w:rFonts w:ascii="Book Antiqua" w:hAnsi="Book Antiqua" w:cs="Arial"/>
        </w:rPr>
      </w:pPr>
      <w:r w:rsidRPr="00804E89">
        <w:rPr>
          <w:rFonts w:ascii="Book Antiqua" w:hAnsi="Book Antiqua" w:cs="Arial"/>
        </w:rPr>
        <w:t>Directions were issued that there should be an oral hearing before the Upper Tribunal to ascertain whether the FtT had erred in law such that the decision should be set aside</w:t>
      </w:r>
      <w:r w:rsidR="005036B9" w:rsidRPr="00804E89">
        <w:rPr>
          <w:rFonts w:ascii="Book Antiqua" w:hAnsi="Book Antiqua" w:cs="Arial"/>
        </w:rPr>
        <w:t xml:space="preserve">.  </w:t>
      </w:r>
    </w:p>
    <w:p w14:paraId="38A50E60" w14:textId="77777777" w:rsidR="00803FAC" w:rsidRPr="00804E89" w:rsidRDefault="00803FAC" w:rsidP="005036B9">
      <w:pPr>
        <w:spacing w:before="240"/>
        <w:jc w:val="both"/>
        <w:rPr>
          <w:rFonts w:ascii="Book Antiqua" w:hAnsi="Book Antiqua" w:cs="Arial"/>
          <w:b/>
        </w:rPr>
      </w:pPr>
    </w:p>
    <w:p w14:paraId="2F2544DB" w14:textId="77777777" w:rsidR="00803FAC" w:rsidRPr="00804E89" w:rsidRDefault="00803FAC" w:rsidP="005036B9">
      <w:pPr>
        <w:spacing w:before="240"/>
        <w:jc w:val="both"/>
        <w:rPr>
          <w:rFonts w:ascii="Book Antiqua" w:hAnsi="Book Antiqua" w:cs="Arial"/>
          <w:b/>
        </w:rPr>
      </w:pPr>
    </w:p>
    <w:p w14:paraId="43CF4014" w14:textId="77777777" w:rsidR="005036B9" w:rsidRPr="00804E89" w:rsidRDefault="005036B9" w:rsidP="005036B9">
      <w:pPr>
        <w:spacing w:before="240"/>
        <w:jc w:val="both"/>
        <w:rPr>
          <w:rFonts w:ascii="Book Antiqua" w:hAnsi="Book Antiqua" w:cs="Arial"/>
          <w:b/>
        </w:rPr>
      </w:pPr>
      <w:r w:rsidRPr="00804E89">
        <w:rPr>
          <w:rFonts w:ascii="Book Antiqua" w:hAnsi="Book Antiqua" w:cs="Arial"/>
          <w:b/>
        </w:rPr>
        <w:lastRenderedPageBreak/>
        <w:t xml:space="preserve">The Upper Tribunal Hearing  </w:t>
      </w:r>
    </w:p>
    <w:p w14:paraId="00DA13CA" w14:textId="77777777" w:rsidR="005036B9" w:rsidRPr="00804E89" w:rsidRDefault="00C07390" w:rsidP="005E5DFF">
      <w:pPr>
        <w:numPr>
          <w:ilvl w:val="0"/>
          <w:numId w:val="3"/>
        </w:numPr>
        <w:spacing w:before="240"/>
        <w:jc w:val="both"/>
        <w:rPr>
          <w:rFonts w:ascii="Book Antiqua" w:hAnsi="Book Antiqua" w:cs="Arial"/>
        </w:rPr>
      </w:pPr>
      <w:r w:rsidRPr="00804E89">
        <w:rPr>
          <w:rFonts w:ascii="Book Antiqua" w:hAnsi="Book Antiqua" w:cs="Arial"/>
        </w:rPr>
        <w:t>On behalf of the Respondent Mr Bramble conceded that the judge had materially erred in law as contended in the grounds seeking permission to appeal.  Mr Bramble acknowledged that the FtT decision should be set aside, and re</w:t>
      </w:r>
      <w:r w:rsidR="009B0C1D" w:rsidRPr="00804E89">
        <w:rPr>
          <w:rFonts w:ascii="Book Antiqua" w:hAnsi="Book Antiqua" w:cs="Arial"/>
        </w:rPr>
        <w:t>-</w:t>
      </w:r>
      <w:r w:rsidRPr="00804E89">
        <w:rPr>
          <w:rFonts w:ascii="Book Antiqua" w:hAnsi="Book Antiqua" w:cs="Arial"/>
        </w:rPr>
        <w:t xml:space="preserve">made by the Upper Tribunal, allowing the Appellant’s appeal, based upon the findings made by the judge.  </w:t>
      </w:r>
    </w:p>
    <w:p w14:paraId="4935DBAA" w14:textId="77777777" w:rsidR="00C07390" w:rsidRPr="00804E89" w:rsidRDefault="00C07390" w:rsidP="005E5DFF">
      <w:pPr>
        <w:numPr>
          <w:ilvl w:val="0"/>
          <w:numId w:val="3"/>
        </w:numPr>
        <w:spacing w:before="240"/>
        <w:jc w:val="both"/>
        <w:rPr>
          <w:rFonts w:ascii="Book Antiqua" w:hAnsi="Book Antiqua" w:cs="Arial"/>
        </w:rPr>
      </w:pPr>
      <w:r w:rsidRPr="00804E89">
        <w:rPr>
          <w:rFonts w:ascii="Book Antiqua" w:hAnsi="Book Antiqua" w:cs="Arial"/>
        </w:rPr>
        <w:t xml:space="preserve">In view of the concession made on behalf of the Respondent, Ms Short had nothing to add.  </w:t>
      </w:r>
    </w:p>
    <w:p w14:paraId="3238D3D7" w14:textId="77777777" w:rsidR="00C07390" w:rsidRPr="00804E89" w:rsidRDefault="00C07390" w:rsidP="00C07390">
      <w:pPr>
        <w:spacing w:before="240"/>
        <w:jc w:val="both"/>
        <w:rPr>
          <w:rFonts w:ascii="Book Antiqua" w:hAnsi="Book Antiqua" w:cs="Arial"/>
          <w:b/>
        </w:rPr>
      </w:pPr>
      <w:r w:rsidRPr="00804E89">
        <w:rPr>
          <w:rFonts w:ascii="Book Antiqua" w:hAnsi="Book Antiqua" w:cs="Arial"/>
          <w:b/>
        </w:rPr>
        <w:t xml:space="preserve">My Findings and Conclusions  </w:t>
      </w:r>
    </w:p>
    <w:p w14:paraId="49239E32" w14:textId="77777777" w:rsidR="00C07390" w:rsidRPr="00804E89" w:rsidRDefault="00C07390" w:rsidP="005E5DFF">
      <w:pPr>
        <w:numPr>
          <w:ilvl w:val="0"/>
          <w:numId w:val="3"/>
        </w:numPr>
        <w:spacing w:before="240"/>
        <w:jc w:val="both"/>
        <w:rPr>
          <w:rFonts w:ascii="Book Antiqua" w:hAnsi="Book Antiqua" w:cs="Arial"/>
        </w:rPr>
      </w:pPr>
      <w:r w:rsidRPr="00804E89">
        <w:rPr>
          <w:rFonts w:ascii="Book Antiqua" w:hAnsi="Book Antiqua" w:cs="Arial"/>
        </w:rPr>
        <w:t xml:space="preserve">I set aside the decision of the FtT.  I find that the judge materially erred in law in failing to apply the Home Office guidance referred to in the grounds seeking permission to appeal, although I can find no indication that this guidance was in fact drawn to the judge’s attention by either party to this appeal.  </w:t>
      </w:r>
    </w:p>
    <w:p w14:paraId="7678BBC1" w14:textId="77777777" w:rsidR="00C07390" w:rsidRPr="00804E89" w:rsidRDefault="00C07390" w:rsidP="005E5DFF">
      <w:pPr>
        <w:numPr>
          <w:ilvl w:val="0"/>
          <w:numId w:val="3"/>
        </w:numPr>
        <w:spacing w:before="240"/>
        <w:jc w:val="both"/>
        <w:rPr>
          <w:rFonts w:ascii="Book Antiqua" w:hAnsi="Book Antiqua" w:cs="Arial"/>
        </w:rPr>
      </w:pPr>
      <w:r w:rsidRPr="00804E89">
        <w:rPr>
          <w:rFonts w:ascii="Book Antiqua" w:hAnsi="Book Antiqua" w:cs="Arial"/>
        </w:rPr>
        <w:t xml:space="preserve">I re-make </w:t>
      </w:r>
      <w:r w:rsidR="00BE2F60" w:rsidRPr="00804E89">
        <w:rPr>
          <w:rFonts w:ascii="Book Antiqua" w:hAnsi="Book Antiqua" w:cs="Arial"/>
        </w:rPr>
        <w:t>the decision by allowing the Appellant’s appeal based upon the findings made by the judge at paragraphs 20-22, in relation to the Appellant’s involvement with his daughter.  When those findings are applied to the Home Office guidance on derivate rights of residence published 11</w:t>
      </w:r>
      <w:r w:rsidR="00BE2F60" w:rsidRPr="00804E89">
        <w:rPr>
          <w:rFonts w:ascii="Book Antiqua" w:hAnsi="Book Antiqua" w:cs="Arial"/>
          <w:vertAlign w:val="superscript"/>
        </w:rPr>
        <w:t>th</w:t>
      </w:r>
      <w:r w:rsidR="00BE2F60" w:rsidRPr="00804E89">
        <w:rPr>
          <w:rFonts w:ascii="Book Antiqua" w:hAnsi="Book Antiqua" w:cs="Arial"/>
        </w:rPr>
        <w:t xml:space="preserve"> April 2017, I find that both the Appellant and his daughter’s mother share equal responsibility for the Appellant’s care.  </w:t>
      </w:r>
    </w:p>
    <w:p w14:paraId="10C7C1EB" w14:textId="77777777" w:rsidR="00BE2F60" w:rsidRPr="00804E89" w:rsidRDefault="00BE2F60" w:rsidP="005E5DFF">
      <w:pPr>
        <w:numPr>
          <w:ilvl w:val="0"/>
          <w:numId w:val="3"/>
        </w:numPr>
        <w:spacing w:before="240"/>
        <w:jc w:val="both"/>
        <w:rPr>
          <w:rFonts w:ascii="Book Antiqua" w:hAnsi="Book Antiqua" w:cs="Arial"/>
        </w:rPr>
      </w:pPr>
      <w:r w:rsidRPr="00804E89">
        <w:rPr>
          <w:rFonts w:ascii="Book Antiqua" w:hAnsi="Book Antiqua" w:cs="Arial"/>
        </w:rPr>
        <w:t xml:space="preserve">Regulation 16(8) of the 2016 </w:t>
      </w:r>
      <w:r w:rsidR="004E0E8F" w:rsidRPr="00804E89">
        <w:rPr>
          <w:rFonts w:ascii="Book Antiqua" w:hAnsi="Book Antiqua" w:cs="Arial"/>
        </w:rPr>
        <w:t>regulation</w:t>
      </w:r>
      <w:r w:rsidR="009D6CAF" w:rsidRPr="00804E89">
        <w:rPr>
          <w:rFonts w:ascii="Book Antiqua" w:hAnsi="Book Antiqua" w:cs="Arial"/>
        </w:rPr>
        <w:t xml:space="preserve">s is set out below;  </w:t>
      </w:r>
    </w:p>
    <w:p w14:paraId="5A670FF0" w14:textId="77777777" w:rsidR="009D6CAF" w:rsidRPr="00804E89" w:rsidRDefault="009D6CAF" w:rsidP="00DC3ECC">
      <w:pPr>
        <w:spacing w:before="240"/>
        <w:ind w:left="1701" w:hanging="567"/>
        <w:jc w:val="both"/>
        <w:rPr>
          <w:rFonts w:ascii="Book Antiqua" w:hAnsi="Book Antiqua" w:cs="Arial"/>
          <w:sz w:val="22"/>
        </w:rPr>
      </w:pPr>
      <w:r w:rsidRPr="00804E89">
        <w:rPr>
          <w:rFonts w:ascii="Book Antiqua" w:hAnsi="Book Antiqua" w:cs="Arial"/>
          <w:sz w:val="22"/>
        </w:rPr>
        <w:t>(8)</w:t>
      </w:r>
      <w:r w:rsidRPr="00804E89">
        <w:rPr>
          <w:rFonts w:ascii="Book Antiqua" w:hAnsi="Book Antiqua" w:cs="Arial"/>
          <w:sz w:val="22"/>
        </w:rPr>
        <w:tab/>
        <w:t xml:space="preserve">A person is the “primary carer” of another person (AP) if -  </w:t>
      </w:r>
    </w:p>
    <w:p w14:paraId="3EDB5389" w14:textId="77777777" w:rsidR="009D6CAF" w:rsidRPr="00804E89" w:rsidRDefault="009D6CAF" w:rsidP="00DC3ECC">
      <w:pPr>
        <w:spacing w:before="240"/>
        <w:ind w:left="2268" w:hanging="567"/>
        <w:jc w:val="both"/>
        <w:rPr>
          <w:rFonts w:ascii="Book Antiqua" w:hAnsi="Book Antiqua" w:cs="Arial"/>
          <w:sz w:val="22"/>
        </w:rPr>
      </w:pPr>
      <w:r w:rsidRPr="00804E89">
        <w:rPr>
          <w:rFonts w:ascii="Book Antiqua" w:hAnsi="Book Antiqua" w:cs="Arial"/>
          <w:sz w:val="22"/>
        </w:rPr>
        <w:t>(a)</w:t>
      </w:r>
      <w:r w:rsidRPr="00804E89">
        <w:rPr>
          <w:rFonts w:ascii="Book Antiqua" w:hAnsi="Book Antiqua" w:cs="Arial"/>
          <w:sz w:val="22"/>
        </w:rPr>
        <w:tab/>
        <w:t xml:space="preserve">the person is a direct relative, or a legal guardian of AP; and  </w:t>
      </w:r>
    </w:p>
    <w:p w14:paraId="7F209771" w14:textId="77777777" w:rsidR="009D6CAF" w:rsidRPr="00804E89" w:rsidRDefault="009D6CAF" w:rsidP="00DC3ECC">
      <w:pPr>
        <w:spacing w:before="240"/>
        <w:ind w:left="2268" w:hanging="567"/>
        <w:jc w:val="both"/>
        <w:rPr>
          <w:rFonts w:ascii="Book Antiqua" w:hAnsi="Book Antiqua" w:cs="Arial"/>
          <w:sz w:val="22"/>
        </w:rPr>
      </w:pPr>
      <w:r w:rsidRPr="00804E89">
        <w:rPr>
          <w:rFonts w:ascii="Book Antiqua" w:hAnsi="Book Antiqua" w:cs="Arial"/>
          <w:sz w:val="22"/>
        </w:rPr>
        <w:t>(b)</w:t>
      </w:r>
      <w:r w:rsidRPr="00804E89">
        <w:rPr>
          <w:rFonts w:ascii="Book Antiqua" w:hAnsi="Book Antiqua" w:cs="Arial"/>
          <w:sz w:val="22"/>
        </w:rPr>
        <w:tab/>
      </w:r>
      <w:r w:rsidR="000005F7" w:rsidRPr="00804E89">
        <w:rPr>
          <w:rFonts w:ascii="Book Antiqua" w:hAnsi="Book Antiqua" w:cs="Arial"/>
          <w:sz w:val="22"/>
        </w:rPr>
        <w:t>either</w:t>
      </w:r>
      <w:r w:rsidR="00DF3405" w:rsidRPr="00804E89">
        <w:rPr>
          <w:rFonts w:ascii="Book Antiqua" w:hAnsi="Book Antiqua" w:cs="Arial"/>
          <w:sz w:val="22"/>
        </w:rPr>
        <w:t xml:space="preserve"> </w:t>
      </w:r>
      <w:r w:rsidR="000005F7" w:rsidRPr="00804E89">
        <w:rPr>
          <w:rFonts w:ascii="Book Antiqua" w:hAnsi="Book Antiqua" w:cs="Arial"/>
          <w:sz w:val="22"/>
        </w:rPr>
        <w:t xml:space="preserve">-  </w:t>
      </w:r>
    </w:p>
    <w:p w14:paraId="205EC0BD" w14:textId="77777777" w:rsidR="000005F7" w:rsidRPr="00804E89" w:rsidRDefault="000005F7" w:rsidP="00DC3ECC">
      <w:pPr>
        <w:spacing w:before="240"/>
        <w:ind w:left="2835" w:hanging="567"/>
        <w:jc w:val="both"/>
        <w:rPr>
          <w:rFonts w:ascii="Book Antiqua" w:hAnsi="Book Antiqua" w:cs="Arial"/>
          <w:sz w:val="22"/>
        </w:rPr>
      </w:pPr>
      <w:r w:rsidRPr="00804E89">
        <w:rPr>
          <w:rFonts w:ascii="Book Antiqua" w:hAnsi="Book Antiqua" w:cs="Arial"/>
          <w:sz w:val="22"/>
        </w:rPr>
        <w:t>(i)</w:t>
      </w:r>
      <w:r w:rsidRPr="00804E89">
        <w:rPr>
          <w:rFonts w:ascii="Book Antiqua" w:hAnsi="Book Antiqua" w:cs="Arial"/>
          <w:sz w:val="22"/>
        </w:rPr>
        <w:tab/>
        <w:t xml:space="preserve">the person has primary responsibility for AP’s care; or  </w:t>
      </w:r>
    </w:p>
    <w:p w14:paraId="6E14E1B5" w14:textId="77777777" w:rsidR="000005F7" w:rsidRPr="00804E89" w:rsidRDefault="000005F7" w:rsidP="00DC3ECC">
      <w:pPr>
        <w:spacing w:before="240"/>
        <w:ind w:left="2835" w:hanging="567"/>
        <w:jc w:val="both"/>
        <w:rPr>
          <w:rFonts w:ascii="Book Antiqua" w:hAnsi="Book Antiqua" w:cs="Arial"/>
        </w:rPr>
      </w:pPr>
      <w:r w:rsidRPr="00804E89">
        <w:rPr>
          <w:rFonts w:ascii="Book Antiqua" w:hAnsi="Book Antiqua" w:cs="Arial"/>
          <w:sz w:val="22"/>
        </w:rPr>
        <w:t>(ii)</w:t>
      </w:r>
      <w:r w:rsidRPr="00804E89">
        <w:rPr>
          <w:rFonts w:ascii="Book Antiqua" w:hAnsi="Book Antiqua" w:cs="Arial"/>
          <w:sz w:val="22"/>
        </w:rPr>
        <w:tab/>
        <w:t>shares equally the responsibility for AP’s care with one other person who is not an exempt person.</w:t>
      </w:r>
      <w:r w:rsidRPr="00804E89">
        <w:rPr>
          <w:rFonts w:ascii="Book Antiqua" w:hAnsi="Book Antiqua" w:cs="Arial"/>
        </w:rPr>
        <w:t xml:space="preserve">  </w:t>
      </w:r>
    </w:p>
    <w:p w14:paraId="3223CECC" w14:textId="77777777" w:rsidR="00202BE3" w:rsidRPr="00804E89" w:rsidRDefault="000005F7" w:rsidP="005E5DFF">
      <w:pPr>
        <w:numPr>
          <w:ilvl w:val="0"/>
          <w:numId w:val="3"/>
        </w:numPr>
        <w:spacing w:before="240"/>
        <w:jc w:val="both"/>
        <w:rPr>
          <w:rFonts w:ascii="Book Antiqua" w:hAnsi="Book Antiqua" w:cs="Arial"/>
        </w:rPr>
      </w:pPr>
      <w:r w:rsidRPr="00804E89">
        <w:rPr>
          <w:rFonts w:ascii="Book Antiqua" w:hAnsi="Book Antiqua" w:cs="Arial"/>
        </w:rPr>
        <w:t xml:space="preserve">I conclude that </w:t>
      </w:r>
      <w:r w:rsidR="004E0E8F" w:rsidRPr="00804E89">
        <w:rPr>
          <w:rFonts w:ascii="Book Antiqua" w:hAnsi="Book Antiqua" w:cs="Arial"/>
        </w:rPr>
        <w:t>regulation</w:t>
      </w:r>
      <w:r w:rsidRPr="00804E89">
        <w:rPr>
          <w:rFonts w:ascii="Book Antiqua" w:hAnsi="Book Antiqua" w:cs="Arial"/>
        </w:rPr>
        <w:t xml:space="preserve"> 16(8) is therefore satisfied on the basis of shared responsibility.  </w:t>
      </w:r>
    </w:p>
    <w:p w14:paraId="22C12D45" w14:textId="77777777" w:rsidR="00F13D39" w:rsidRPr="00804E89" w:rsidRDefault="00F13D39" w:rsidP="00192646">
      <w:pPr>
        <w:spacing w:before="240"/>
        <w:jc w:val="both"/>
        <w:rPr>
          <w:rFonts w:ascii="Book Antiqua" w:hAnsi="Book Antiqua" w:cs="Arial"/>
          <w:b/>
        </w:rPr>
      </w:pPr>
      <w:r w:rsidRPr="00804E89">
        <w:rPr>
          <w:rFonts w:ascii="Book Antiqua" w:hAnsi="Book Antiqua" w:cs="Arial"/>
          <w:b/>
        </w:rPr>
        <w:t xml:space="preserve">Notice of </w:t>
      </w:r>
      <w:r w:rsidR="00192646" w:rsidRPr="00804E89">
        <w:rPr>
          <w:rFonts w:ascii="Book Antiqua" w:hAnsi="Book Antiqua" w:cs="Arial"/>
          <w:b/>
        </w:rPr>
        <w:t xml:space="preserve">Decision  </w:t>
      </w:r>
    </w:p>
    <w:p w14:paraId="67F27CA4" w14:textId="77777777" w:rsidR="00192646" w:rsidRPr="00804E89" w:rsidRDefault="00192646" w:rsidP="00192646">
      <w:pPr>
        <w:spacing w:before="240"/>
        <w:jc w:val="both"/>
        <w:rPr>
          <w:rFonts w:ascii="Book Antiqua" w:hAnsi="Book Antiqua" w:cs="Arial"/>
        </w:rPr>
      </w:pPr>
      <w:r w:rsidRPr="00804E89">
        <w:rPr>
          <w:rFonts w:ascii="Book Antiqua" w:hAnsi="Book Antiqua" w:cs="Arial"/>
        </w:rPr>
        <w:t xml:space="preserve">The decision of the First-tier Tribunal contained an error of law and was set aside.  I substitute a fresh decision.  The appeal is allowed.  </w:t>
      </w:r>
    </w:p>
    <w:p w14:paraId="5CA491D8" w14:textId="77777777" w:rsidR="00192646" w:rsidRPr="00804E89" w:rsidRDefault="00192646" w:rsidP="00192646">
      <w:pPr>
        <w:spacing w:before="240"/>
        <w:jc w:val="both"/>
        <w:rPr>
          <w:rFonts w:ascii="Book Antiqua" w:hAnsi="Book Antiqua" w:cs="Arial"/>
          <w:b/>
        </w:rPr>
      </w:pPr>
      <w:r w:rsidRPr="00804E89">
        <w:rPr>
          <w:rFonts w:ascii="Book Antiqua" w:hAnsi="Book Antiqua" w:cs="Arial"/>
          <w:b/>
        </w:rPr>
        <w:t xml:space="preserve">Anonymity  </w:t>
      </w:r>
    </w:p>
    <w:p w14:paraId="307BE562" w14:textId="77777777" w:rsidR="00192646" w:rsidRPr="00804E89" w:rsidRDefault="00192646" w:rsidP="00192646">
      <w:pPr>
        <w:spacing w:before="240"/>
        <w:jc w:val="both"/>
        <w:rPr>
          <w:rFonts w:ascii="Book Antiqua" w:hAnsi="Book Antiqua" w:cs="Arial"/>
        </w:rPr>
      </w:pPr>
      <w:r w:rsidRPr="00804E89">
        <w:rPr>
          <w:rFonts w:ascii="Book Antiqua" w:hAnsi="Book Antiqua" w:cs="Arial"/>
        </w:rPr>
        <w:t xml:space="preserve">The FtT made an anonymity direction as the appeal involved considering the Appellant’s daughter who is a child.  I continue that direction pursuant to </w:t>
      </w:r>
      <w:r w:rsidR="00C13FF3" w:rsidRPr="00804E89">
        <w:rPr>
          <w:rFonts w:ascii="Book Antiqua" w:hAnsi="Book Antiqua" w:cs="Arial"/>
        </w:rPr>
        <w:t>rule</w:t>
      </w:r>
      <w:r w:rsidRPr="00804E89">
        <w:rPr>
          <w:rFonts w:ascii="Book Antiqua" w:hAnsi="Book Antiqua" w:cs="Arial"/>
        </w:rPr>
        <w:t xml:space="preserve"> 14 of the Tribunal Procedure (Upper Tribunal) Rules 2008.  Unless or </w:t>
      </w:r>
      <w:r w:rsidRPr="00804E89">
        <w:rPr>
          <w:rFonts w:ascii="Book Antiqua" w:hAnsi="Book Antiqua"/>
        </w:rPr>
        <w:t xml:space="preserve">until a Tribunal or court directs </w:t>
      </w:r>
      <w:r w:rsidRPr="00804E89">
        <w:rPr>
          <w:rFonts w:ascii="Book Antiqua" w:hAnsi="Book Antiqua"/>
        </w:rPr>
        <w:lastRenderedPageBreak/>
        <w:t>otherwise</w:t>
      </w:r>
      <w:r w:rsidR="006D7714" w:rsidRPr="00804E89">
        <w:rPr>
          <w:rFonts w:ascii="Book Antiqua" w:hAnsi="Book Antiqua"/>
        </w:rPr>
        <w:t>,</w:t>
      </w:r>
      <w:r w:rsidR="00EF1104" w:rsidRPr="00804E89">
        <w:rPr>
          <w:rFonts w:ascii="Book Antiqua" w:hAnsi="Book Antiqua"/>
        </w:rPr>
        <w:t xml:space="preserve"> </w:t>
      </w:r>
      <w:r w:rsidRPr="00804E89">
        <w:rPr>
          <w:rFonts w:ascii="Book Antiqua" w:hAnsi="Book Antiqua"/>
        </w:rPr>
        <w:t xml:space="preserve">the Appellant is granted anonymity.  No report of these proceedings shall directly or indirectly identify him or any member of his family.  </w:t>
      </w:r>
    </w:p>
    <w:p w14:paraId="1C1BB93F" w14:textId="77777777" w:rsidR="000369F5" w:rsidRPr="00804E89" w:rsidRDefault="000369F5" w:rsidP="000369F5">
      <w:pPr>
        <w:tabs>
          <w:tab w:val="left" w:pos="2520"/>
        </w:tabs>
        <w:jc w:val="both"/>
        <w:rPr>
          <w:rFonts w:ascii="Book Antiqua" w:hAnsi="Book Antiqua" w:cs="Arial"/>
        </w:rPr>
      </w:pPr>
    </w:p>
    <w:p w14:paraId="11A2C702" w14:textId="77777777" w:rsidR="00F13D39" w:rsidRPr="00804E89" w:rsidRDefault="00F13D39" w:rsidP="000369F5">
      <w:pPr>
        <w:tabs>
          <w:tab w:val="left" w:pos="2520"/>
        </w:tabs>
        <w:jc w:val="both"/>
        <w:rPr>
          <w:rFonts w:ascii="Book Antiqua" w:hAnsi="Book Antiqua" w:cs="Arial"/>
        </w:rPr>
      </w:pPr>
    </w:p>
    <w:p w14:paraId="2CB95B17" w14:textId="77777777" w:rsidR="001F2716" w:rsidRPr="00804E89" w:rsidRDefault="006E3C90" w:rsidP="000369F5">
      <w:pPr>
        <w:tabs>
          <w:tab w:val="left" w:pos="2520"/>
        </w:tabs>
        <w:jc w:val="both"/>
        <w:rPr>
          <w:rFonts w:ascii="Book Antiqua" w:hAnsi="Book Antiqua" w:cs="Arial"/>
        </w:rPr>
      </w:pPr>
      <w:r w:rsidRPr="00804E89">
        <w:rPr>
          <w:rFonts w:ascii="Book Antiqua" w:hAnsi="Book Antiqua" w:cs="Arial"/>
        </w:rPr>
        <w:t>Signed</w:t>
      </w:r>
      <w:r w:rsidRPr="00804E89">
        <w:rPr>
          <w:rFonts w:ascii="Book Antiqua" w:hAnsi="Book Antiqua" w:cs="Arial"/>
        </w:rPr>
        <w:tab/>
      </w:r>
      <w:r w:rsidRPr="00804E89">
        <w:rPr>
          <w:rFonts w:ascii="Book Antiqua" w:hAnsi="Book Antiqua" w:cs="Arial"/>
        </w:rPr>
        <w:tab/>
      </w:r>
      <w:r w:rsidRPr="00804E89">
        <w:rPr>
          <w:rFonts w:ascii="Book Antiqua" w:hAnsi="Book Antiqua" w:cs="Arial"/>
        </w:rPr>
        <w:tab/>
      </w:r>
      <w:r w:rsidRPr="00804E89">
        <w:rPr>
          <w:rFonts w:ascii="Book Antiqua" w:hAnsi="Book Antiqua" w:cs="Arial"/>
        </w:rPr>
        <w:tab/>
      </w:r>
      <w:r w:rsidRPr="00804E89">
        <w:rPr>
          <w:rFonts w:ascii="Book Antiqua" w:hAnsi="Book Antiqua" w:cs="Arial"/>
        </w:rPr>
        <w:tab/>
      </w:r>
      <w:r w:rsidRPr="00804E89">
        <w:rPr>
          <w:rFonts w:ascii="Book Antiqua" w:hAnsi="Book Antiqua" w:cs="Arial"/>
        </w:rPr>
        <w:tab/>
      </w:r>
      <w:r w:rsidRPr="00804E89">
        <w:rPr>
          <w:rFonts w:ascii="Book Antiqua" w:hAnsi="Book Antiqua" w:cs="Arial"/>
        </w:rPr>
        <w:tab/>
      </w:r>
      <w:r w:rsidR="001F2716" w:rsidRPr="00804E89">
        <w:rPr>
          <w:rFonts w:ascii="Book Antiqua" w:hAnsi="Book Antiqua" w:cs="Arial"/>
        </w:rPr>
        <w:t>Date</w:t>
      </w:r>
      <w:r w:rsidR="00192646" w:rsidRPr="00804E89">
        <w:rPr>
          <w:rFonts w:ascii="Book Antiqua" w:hAnsi="Book Antiqua" w:cs="Arial"/>
        </w:rPr>
        <w:t xml:space="preserve"> 12</w:t>
      </w:r>
      <w:r w:rsidR="00192646" w:rsidRPr="00804E89">
        <w:rPr>
          <w:rFonts w:ascii="Book Antiqua" w:hAnsi="Book Antiqua" w:cs="Arial"/>
          <w:vertAlign w:val="superscript"/>
        </w:rPr>
        <w:t>th</w:t>
      </w:r>
      <w:r w:rsidR="00192646" w:rsidRPr="00804E89">
        <w:rPr>
          <w:rFonts w:ascii="Book Antiqua" w:hAnsi="Book Antiqua" w:cs="Arial"/>
        </w:rPr>
        <w:t xml:space="preserve"> June 2018  </w:t>
      </w:r>
    </w:p>
    <w:p w14:paraId="5DE84025" w14:textId="77777777" w:rsidR="001F2716" w:rsidRPr="00804E89" w:rsidRDefault="001F2716" w:rsidP="000369F5">
      <w:pPr>
        <w:tabs>
          <w:tab w:val="left" w:pos="2520"/>
        </w:tabs>
        <w:jc w:val="both"/>
        <w:rPr>
          <w:rFonts w:ascii="Book Antiqua" w:hAnsi="Book Antiqua" w:cs="Arial"/>
        </w:rPr>
      </w:pPr>
    </w:p>
    <w:p w14:paraId="1F9ABE9B" w14:textId="77777777" w:rsidR="005B7789" w:rsidRPr="00804E89" w:rsidRDefault="00255071" w:rsidP="000369F5">
      <w:pPr>
        <w:tabs>
          <w:tab w:val="left" w:pos="2520"/>
        </w:tabs>
        <w:jc w:val="both"/>
        <w:rPr>
          <w:rFonts w:ascii="Book Antiqua" w:hAnsi="Book Antiqua" w:cs="Arial"/>
        </w:rPr>
      </w:pPr>
      <w:r w:rsidRPr="00804E89">
        <w:rPr>
          <w:rFonts w:ascii="Book Antiqua" w:hAnsi="Book Antiqua" w:cs="Arial"/>
        </w:rPr>
        <w:t xml:space="preserve">Deputy Upper Tribunal Judge M </w:t>
      </w:r>
      <w:proofErr w:type="gramStart"/>
      <w:r w:rsidRPr="00804E89">
        <w:rPr>
          <w:rFonts w:ascii="Book Antiqua" w:hAnsi="Book Antiqua" w:cs="Arial"/>
        </w:rPr>
        <w:t>A</w:t>
      </w:r>
      <w:proofErr w:type="gramEnd"/>
      <w:r w:rsidRPr="00804E89">
        <w:rPr>
          <w:rFonts w:ascii="Book Antiqua" w:hAnsi="Book Antiqua" w:cs="Arial"/>
        </w:rPr>
        <w:t xml:space="preserve"> Hall</w:t>
      </w:r>
      <w:r w:rsidR="00192646" w:rsidRPr="00804E89">
        <w:rPr>
          <w:rFonts w:ascii="Book Antiqua" w:hAnsi="Book Antiqua" w:cs="Arial"/>
        </w:rPr>
        <w:t xml:space="preserve">  </w:t>
      </w:r>
    </w:p>
    <w:p w14:paraId="0E8EFA62" w14:textId="5C6973B6" w:rsidR="00F13D39" w:rsidRDefault="00F13D39" w:rsidP="000369F5">
      <w:pPr>
        <w:tabs>
          <w:tab w:val="left" w:pos="2520"/>
        </w:tabs>
        <w:jc w:val="both"/>
        <w:rPr>
          <w:rFonts w:ascii="Book Antiqua" w:hAnsi="Book Antiqua" w:cs="Arial"/>
        </w:rPr>
      </w:pPr>
    </w:p>
    <w:p w14:paraId="5488ECCD" w14:textId="77777777" w:rsidR="00CB46CC" w:rsidRPr="00804E89" w:rsidRDefault="00CB46CC" w:rsidP="000369F5">
      <w:pPr>
        <w:tabs>
          <w:tab w:val="left" w:pos="2520"/>
        </w:tabs>
        <w:jc w:val="both"/>
        <w:rPr>
          <w:rFonts w:ascii="Book Antiqua" w:hAnsi="Book Antiqua" w:cs="Arial"/>
        </w:rPr>
      </w:pPr>
    </w:p>
    <w:p w14:paraId="1E282C50" w14:textId="77777777" w:rsidR="00F13D39" w:rsidRPr="00804E89" w:rsidRDefault="00F13D39" w:rsidP="000369F5">
      <w:pPr>
        <w:tabs>
          <w:tab w:val="left" w:pos="2520"/>
        </w:tabs>
        <w:jc w:val="both"/>
        <w:rPr>
          <w:rFonts w:ascii="Book Antiqua" w:hAnsi="Book Antiqua" w:cs="Arial"/>
        </w:rPr>
      </w:pPr>
    </w:p>
    <w:p w14:paraId="0638C113" w14:textId="77777777" w:rsidR="00F13D39" w:rsidRPr="00804E89" w:rsidRDefault="00F13D39" w:rsidP="00F13D39">
      <w:pPr>
        <w:jc w:val="both"/>
        <w:rPr>
          <w:rFonts w:ascii="Book Antiqua" w:hAnsi="Book Antiqua" w:cs="Arial"/>
          <w:b/>
        </w:rPr>
      </w:pPr>
      <w:r w:rsidRPr="00804E89">
        <w:rPr>
          <w:rFonts w:ascii="Book Antiqua" w:hAnsi="Book Antiqua" w:cs="Arial"/>
          <w:b/>
        </w:rPr>
        <w:t>TO THE RESPONDENT</w:t>
      </w:r>
      <w:r w:rsidR="00092DE3" w:rsidRPr="00804E89">
        <w:rPr>
          <w:rFonts w:ascii="Book Antiqua" w:hAnsi="Book Antiqua" w:cs="Arial"/>
          <w:b/>
        </w:rPr>
        <w:t xml:space="preserve">  </w:t>
      </w:r>
    </w:p>
    <w:p w14:paraId="4A53985E" w14:textId="77777777" w:rsidR="00F13D39" w:rsidRPr="00804E89" w:rsidRDefault="00F13D39" w:rsidP="00F13D39">
      <w:pPr>
        <w:ind w:left="567" w:hanging="567"/>
        <w:jc w:val="both"/>
        <w:rPr>
          <w:rFonts w:ascii="Book Antiqua" w:hAnsi="Book Antiqua" w:cs="Arial"/>
        </w:rPr>
      </w:pPr>
      <w:r w:rsidRPr="00804E89">
        <w:rPr>
          <w:rFonts w:ascii="Book Antiqua" w:hAnsi="Book Antiqua" w:cs="Arial"/>
          <w:b/>
        </w:rPr>
        <w:t>FEE AWARD</w:t>
      </w:r>
      <w:r w:rsidR="00092DE3" w:rsidRPr="00804E89">
        <w:rPr>
          <w:rFonts w:ascii="Book Antiqua" w:hAnsi="Book Antiqua" w:cs="Arial"/>
          <w:b/>
        </w:rPr>
        <w:t xml:space="preserve">  </w:t>
      </w:r>
    </w:p>
    <w:p w14:paraId="04093D45" w14:textId="77777777" w:rsidR="00F13D39" w:rsidRPr="00804E89" w:rsidRDefault="00F13D39" w:rsidP="00F13D39">
      <w:pPr>
        <w:ind w:left="567" w:hanging="567"/>
        <w:jc w:val="both"/>
        <w:rPr>
          <w:rFonts w:ascii="Book Antiqua" w:hAnsi="Book Antiqua" w:cs="Arial"/>
        </w:rPr>
      </w:pPr>
    </w:p>
    <w:p w14:paraId="718041DA" w14:textId="77777777" w:rsidR="00092DE3" w:rsidRPr="00804E89" w:rsidRDefault="00F13D39" w:rsidP="00F13D39">
      <w:pPr>
        <w:jc w:val="both"/>
        <w:rPr>
          <w:rFonts w:ascii="Book Antiqua" w:hAnsi="Book Antiqua" w:cs="Arial"/>
        </w:rPr>
      </w:pPr>
      <w:r w:rsidRPr="00804E89">
        <w:rPr>
          <w:rFonts w:ascii="Book Antiqua" w:hAnsi="Book Antiqua" w:cs="Arial"/>
        </w:rPr>
        <w:t xml:space="preserve">As </w:t>
      </w:r>
      <w:r w:rsidR="00092DE3" w:rsidRPr="00804E89">
        <w:rPr>
          <w:rFonts w:ascii="Book Antiqua" w:hAnsi="Book Antiqua" w:cs="Arial"/>
        </w:rPr>
        <w:t xml:space="preserve">the appeal is </w:t>
      </w:r>
      <w:r w:rsidRPr="00804E89">
        <w:rPr>
          <w:rFonts w:ascii="Book Antiqua" w:hAnsi="Book Antiqua" w:cs="Arial"/>
        </w:rPr>
        <w:t>allowed</w:t>
      </w:r>
      <w:r w:rsidR="00092DE3" w:rsidRPr="00804E89">
        <w:rPr>
          <w:rFonts w:ascii="Book Antiqua" w:hAnsi="Book Antiqua" w:cs="Arial"/>
        </w:rPr>
        <w:t xml:space="preserve"> I </w:t>
      </w:r>
      <w:r w:rsidRPr="00804E89">
        <w:rPr>
          <w:rFonts w:ascii="Book Antiqua" w:hAnsi="Book Antiqua" w:cs="Arial"/>
        </w:rPr>
        <w:t>have considered</w:t>
      </w:r>
      <w:r w:rsidR="00092DE3" w:rsidRPr="00804E89">
        <w:rPr>
          <w:rFonts w:ascii="Book Antiqua" w:hAnsi="Book Antiqua" w:cs="Arial"/>
        </w:rPr>
        <w:t xml:space="preserve"> whether to make a </w:t>
      </w:r>
      <w:r w:rsidRPr="00804E89">
        <w:rPr>
          <w:rFonts w:ascii="Book Antiqua" w:hAnsi="Book Antiqua" w:cs="Arial"/>
        </w:rPr>
        <w:t>fee award</w:t>
      </w:r>
      <w:r w:rsidR="00092DE3" w:rsidRPr="00804E89">
        <w:rPr>
          <w:rFonts w:ascii="Book Antiqua" w:hAnsi="Book Antiqua" w:cs="Arial"/>
        </w:rPr>
        <w:t xml:space="preserve">.  I make no fee award as the appeal has been allowed because of evidence considered by the Tribunal that was not before the original decision maker.  </w:t>
      </w:r>
    </w:p>
    <w:p w14:paraId="606B3477" w14:textId="77777777" w:rsidR="00F13D39" w:rsidRPr="00804E89" w:rsidRDefault="00F13D39" w:rsidP="00F13D39">
      <w:pPr>
        <w:jc w:val="both"/>
        <w:rPr>
          <w:rFonts w:ascii="Book Antiqua" w:hAnsi="Book Antiqua" w:cs="Arial"/>
        </w:rPr>
      </w:pPr>
    </w:p>
    <w:p w14:paraId="518C35D7" w14:textId="77777777" w:rsidR="00F13D39" w:rsidRPr="00804E89" w:rsidRDefault="00F13D39" w:rsidP="00F13D39">
      <w:pPr>
        <w:jc w:val="both"/>
        <w:rPr>
          <w:rFonts w:ascii="Book Antiqua" w:hAnsi="Book Antiqua" w:cs="Arial"/>
        </w:rPr>
      </w:pPr>
    </w:p>
    <w:p w14:paraId="0AFA53D9" w14:textId="77777777" w:rsidR="00F13D39" w:rsidRPr="00804E89" w:rsidRDefault="00F13D39" w:rsidP="00F13D39">
      <w:pPr>
        <w:tabs>
          <w:tab w:val="left" w:pos="2520"/>
        </w:tabs>
        <w:jc w:val="both"/>
        <w:rPr>
          <w:rFonts w:ascii="Book Antiqua" w:hAnsi="Book Antiqua" w:cs="Arial"/>
        </w:rPr>
      </w:pPr>
      <w:r w:rsidRPr="00804E89">
        <w:rPr>
          <w:rFonts w:ascii="Book Antiqua" w:hAnsi="Book Antiqua" w:cs="Arial"/>
        </w:rPr>
        <w:t>Signed</w:t>
      </w:r>
      <w:r w:rsidRPr="00804E89">
        <w:rPr>
          <w:rFonts w:ascii="Book Antiqua" w:hAnsi="Book Antiqua" w:cs="Arial"/>
        </w:rPr>
        <w:tab/>
      </w:r>
      <w:r w:rsidRPr="00804E89">
        <w:rPr>
          <w:rFonts w:ascii="Book Antiqua" w:hAnsi="Book Antiqua" w:cs="Arial"/>
        </w:rPr>
        <w:tab/>
      </w:r>
      <w:r w:rsidRPr="00804E89">
        <w:rPr>
          <w:rFonts w:ascii="Book Antiqua" w:hAnsi="Book Antiqua" w:cs="Arial"/>
        </w:rPr>
        <w:tab/>
      </w:r>
      <w:r w:rsidRPr="00804E89">
        <w:rPr>
          <w:rFonts w:ascii="Book Antiqua" w:hAnsi="Book Antiqua" w:cs="Arial"/>
        </w:rPr>
        <w:tab/>
      </w:r>
      <w:r w:rsidRPr="00804E89">
        <w:rPr>
          <w:rFonts w:ascii="Book Antiqua" w:hAnsi="Book Antiqua" w:cs="Arial"/>
        </w:rPr>
        <w:tab/>
      </w:r>
      <w:r w:rsidRPr="00804E89">
        <w:rPr>
          <w:rFonts w:ascii="Book Antiqua" w:hAnsi="Book Antiqua" w:cs="Arial"/>
        </w:rPr>
        <w:tab/>
      </w:r>
      <w:r w:rsidRPr="00804E89">
        <w:rPr>
          <w:rFonts w:ascii="Book Antiqua" w:hAnsi="Book Antiqua" w:cs="Arial"/>
        </w:rPr>
        <w:tab/>
        <w:t>Date</w:t>
      </w:r>
      <w:r w:rsidR="00884C05" w:rsidRPr="00804E89">
        <w:rPr>
          <w:rFonts w:ascii="Book Antiqua" w:hAnsi="Book Antiqua" w:cs="Arial"/>
        </w:rPr>
        <w:t xml:space="preserve"> 12</w:t>
      </w:r>
      <w:r w:rsidR="00884C05" w:rsidRPr="00804E89">
        <w:rPr>
          <w:rFonts w:ascii="Book Antiqua" w:hAnsi="Book Antiqua" w:cs="Arial"/>
          <w:vertAlign w:val="superscript"/>
        </w:rPr>
        <w:t>th</w:t>
      </w:r>
      <w:r w:rsidR="00884C05" w:rsidRPr="00804E89">
        <w:rPr>
          <w:rFonts w:ascii="Book Antiqua" w:hAnsi="Book Antiqua" w:cs="Arial"/>
        </w:rPr>
        <w:t xml:space="preserve"> June 2018  </w:t>
      </w:r>
    </w:p>
    <w:p w14:paraId="0B774D93" w14:textId="77777777" w:rsidR="00F13D39" w:rsidRPr="00804E89" w:rsidRDefault="00F13D39" w:rsidP="00F13D39">
      <w:pPr>
        <w:tabs>
          <w:tab w:val="left" w:pos="2520"/>
        </w:tabs>
        <w:jc w:val="both"/>
        <w:rPr>
          <w:rFonts w:ascii="Book Antiqua" w:hAnsi="Book Antiqua" w:cs="Arial"/>
        </w:rPr>
      </w:pPr>
    </w:p>
    <w:p w14:paraId="1651084D" w14:textId="768AD908" w:rsidR="005B7789" w:rsidRPr="00F5664C" w:rsidRDefault="00F13D39" w:rsidP="008C6E78">
      <w:pPr>
        <w:tabs>
          <w:tab w:val="left" w:pos="2520"/>
        </w:tabs>
        <w:jc w:val="both"/>
        <w:rPr>
          <w:rFonts w:ascii="Book Antiqua" w:hAnsi="Book Antiqua" w:cs="Arial"/>
        </w:rPr>
      </w:pPr>
      <w:r w:rsidRPr="00804E89">
        <w:rPr>
          <w:rFonts w:ascii="Book Antiqua" w:hAnsi="Book Antiqua" w:cs="Arial"/>
        </w:rPr>
        <w:t xml:space="preserve">Deputy Upper Tribunal Judge M </w:t>
      </w:r>
      <w:proofErr w:type="gramStart"/>
      <w:r w:rsidRPr="00804E89">
        <w:rPr>
          <w:rFonts w:ascii="Book Antiqua" w:hAnsi="Book Antiqua" w:cs="Arial"/>
        </w:rPr>
        <w:t>A</w:t>
      </w:r>
      <w:proofErr w:type="gramEnd"/>
      <w:r w:rsidRPr="00804E89">
        <w:rPr>
          <w:rFonts w:ascii="Book Antiqua" w:hAnsi="Book Antiqua" w:cs="Arial"/>
        </w:rPr>
        <w:t xml:space="preserve"> Hall</w:t>
      </w:r>
      <w:r w:rsidR="00C321CC" w:rsidRPr="00804E89">
        <w:rPr>
          <w:rFonts w:ascii="Book Antiqua" w:hAnsi="Book Antiqua" w:cs="Arial"/>
        </w:rPr>
        <w:t xml:space="preserve">  </w:t>
      </w:r>
      <w:r w:rsidR="00520282">
        <w:rPr>
          <w:rFonts w:ascii="Book Antiqua" w:hAnsi="Book Antiqua" w:cs="Arial"/>
        </w:rPr>
        <w:t xml:space="preserve">  </w:t>
      </w:r>
    </w:p>
    <w:p w14:paraId="3DB82F44" w14:textId="77777777" w:rsidR="005B7789" w:rsidRPr="00F5664C" w:rsidRDefault="005B7789" w:rsidP="005B7789">
      <w:pPr>
        <w:tabs>
          <w:tab w:val="left" w:pos="2520"/>
        </w:tabs>
        <w:ind w:left="540" w:hanging="540"/>
        <w:jc w:val="both"/>
        <w:rPr>
          <w:rFonts w:ascii="Book Antiqua" w:hAnsi="Book Antiqua" w:cs="Arial"/>
        </w:rPr>
      </w:pPr>
    </w:p>
    <w:p w14:paraId="5DFA0D82" w14:textId="77777777"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24BDB" w14:textId="77777777" w:rsidR="003204D5" w:rsidRDefault="003204D5">
      <w:r>
        <w:separator/>
      </w:r>
    </w:p>
  </w:endnote>
  <w:endnote w:type="continuationSeparator" w:id="0">
    <w:p w14:paraId="30876967" w14:textId="77777777" w:rsidR="003204D5" w:rsidRDefault="00320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AD654" w14:textId="542FE825"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A1D18">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BC003"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11447" w14:textId="77777777" w:rsidR="003204D5" w:rsidRDefault="003204D5">
      <w:r>
        <w:separator/>
      </w:r>
    </w:p>
  </w:footnote>
  <w:footnote w:type="continuationSeparator" w:id="0">
    <w:p w14:paraId="15B727F7" w14:textId="77777777" w:rsidR="003204D5" w:rsidRDefault="00320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1BE90"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974EC5" w:rsidRPr="00974EC5">
      <w:rPr>
        <w:rFonts w:ascii="Book Antiqua" w:hAnsi="Book Antiqua" w:cs="Arial"/>
        <w:sz w:val="16"/>
        <w:szCs w:val="16"/>
      </w:rPr>
      <w:t>EA/04833/2017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52140"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C5"/>
    <w:rsid w:val="000005F7"/>
    <w:rsid w:val="00000621"/>
    <w:rsid w:val="000036C2"/>
    <w:rsid w:val="00030C00"/>
    <w:rsid w:val="00033D3D"/>
    <w:rsid w:val="000369F5"/>
    <w:rsid w:val="0004525E"/>
    <w:rsid w:val="00047F27"/>
    <w:rsid w:val="00071A7E"/>
    <w:rsid w:val="000746C0"/>
    <w:rsid w:val="00074D1D"/>
    <w:rsid w:val="00081FFB"/>
    <w:rsid w:val="00092580"/>
    <w:rsid w:val="00092DE3"/>
    <w:rsid w:val="000B044A"/>
    <w:rsid w:val="000B3DA6"/>
    <w:rsid w:val="000D01C9"/>
    <w:rsid w:val="000D5D94"/>
    <w:rsid w:val="000E0CD7"/>
    <w:rsid w:val="00114F8B"/>
    <w:rsid w:val="001164F3"/>
    <w:rsid w:val="001165A7"/>
    <w:rsid w:val="00121AB8"/>
    <w:rsid w:val="00151BB7"/>
    <w:rsid w:val="00167D3A"/>
    <w:rsid w:val="00192646"/>
    <w:rsid w:val="00194F80"/>
    <w:rsid w:val="001A1E2C"/>
    <w:rsid w:val="001A40EB"/>
    <w:rsid w:val="001E0571"/>
    <w:rsid w:val="001E4AF7"/>
    <w:rsid w:val="001F2716"/>
    <w:rsid w:val="0020133A"/>
    <w:rsid w:val="00202BE3"/>
    <w:rsid w:val="00207617"/>
    <w:rsid w:val="00244BC9"/>
    <w:rsid w:val="00255071"/>
    <w:rsid w:val="00272404"/>
    <w:rsid w:val="00283659"/>
    <w:rsid w:val="0029405A"/>
    <w:rsid w:val="00297269"/>
    <w:rsid w:val="002C4E73"/>
    <w:rsid w:val="002C73FF"/>
    <w:rsid w:val="002D68BF"/>
    <w:rsid w:val="002E750E"/>
    <w:rsid w:val="0030230A"/>
    <w:rsid w:val="00302CDA"/>
    <w:rsid w:val="003204D5"/>
    <w:rsid w:val="00336CBF"/>
    <w:rsid w:val="003451B2"/>
    <w:rsid w:val="003546C8"/>
    <w:rsid w:val="003A7CF2"/>
    <w:rsid w:val="003B464E"/>
    <w:rsid w:val="003C49CE"/>
    <w:rsid w:val="003C5CE5"/>
    <w:rsid w:val="003E267B"/>
    <w:rsid w:val="003E7CD1"/>
    <w:rsid w:val="003F5944"/>
    <w:rsid w:val="00402B9E"/>
    <w:rsid w:val="00423932"/>
    <w:rsid w:val="004249CB"/>
    <w:rsid w:val="0044127D"/>
    <w:rsid w:val="004448DB"/>
    <w:rsid w:val="00446C9A"/>
    <w:rsid w:val="00465F8E"/>
    <w:rsid w:val="00477193"/>
    <w:rsid w:val="004A1848"/>
    <w:rsid w:val="004E0E8F"/>
    <w:rsid w:val="005036B9"/>
    <w:rsid w:val="00507FEC"/>
    <w:rsid w:val="00510F0E"/>
    <w:rsid w:val="00520282"/>
    <w:rsid w:val="005479E1"/>
    <w:rsid w:val="00556116"/>
    <w:rsid w:val="005570FD"/>
    <w:rsid w:val="005575EA"/>
    <w:rsid w:val="0057790C"/>
    <w:rsid w:val="00593795"/>
    <w:rsid w:val="005A1D18"/>
    <w:rsid w:val="005A75FF"/>
    <w:rsid w:val="005B7789"/>
    <w:rsid w:val="005D2E04"/>
    <w:rsid w:val="005E5DFF"/>
    <w:rsid w:val="005F7DB4"/>
    <w:rsid w:val="00642471"/>
    <w:rsid w:val="0065791C"/>
    <w:rsid w:val="00667539"/>
    <w:rsid w:val="00690B8A"/>
    <w:rsid w:val="006D1DFA"/>
    <w:rsid w:val="006D506B"/>
    <w:rsid w:val="006D7714"/>
    <w:rsid w:val="006E3C90"/>
    <w:rsid w:val="00704B61"/>
    <w:rsid w:val="00707DB1"/>
    <w:rsid w:val="007353BB"/>
    <w:rsid w:val="00742A8D"/>
    <w:rsid w:val="00752359"/>
    <w:rsid w:val="007552A9"/>
    <w:rsid w:val="00761858"/>
    <w:rsid w:val="00767D59"/>
    <w:rsid w:val="00776E97"/>
    <w:rsid w:val="00780FD7"/>
    <w:rsid w:val="007912AD"/>
    <w:rsid w:val="007A1F28"/>
    <w:rsid w:val="007B0824"/>
    <w:rsid w:val="007C0CD9"/>
    <w:rsid w:val="00803FAC"/>
    <w:rsid w:val="00804E89"/>
    <w:rsid w:val="00816855"/>
    <w:rsid w:val="008303B8"/>
    <w:rsid w:val="00833DCE"/>
    <w:rsid w:val="0084192F"/>
    <w:rsid w:val="00842418"/>
    <w:rsid w:val="008634DB"/>
    <w:rsid w:val="00871D34"/>
    <w:rsid w:val="00884C05"/>
    <w:rsid w:val="00887842"/>
    <w:rsid w:val="008901DD"/>
    <w:rsid w:val="008B270C"/>
    <w:rsid w:val="008C2ED5"/>
    <w:rsid w:val="008C3D3D"/>
    <w:rsid w:val="008C6E78"/>
    <w:rsid w:val="008D4131"/>
    <w:rsid w:val="008D5128"/>
    <w:rsid w:val="008D6529"/>
    <w:rsid w:val="008E0584"/>
    <w:rsid w:val="008F1932"/>
    <w:rsid w:val="008F294D"/>
    <w:rsid w:val="009129A0"/>
    <w:rsid w:val="00921062"/>
    <w:rsid w:val="0092618D"/>
    <w:rsid w:val="0093083E"/>
    <w:rsid w:val="00946BD4"/>
    <w:rsid w:val="00966ECF"/>
    <w:rsid w:val="009727A3"/>
    <w:rsid w:val="00974EC5"/>
    <w:rsid w:val="00976D88"/>
    <w:rsid w:val="0098212C"/>
    <w:rsid w:val="00987774"/>
    <w:rsid w:val="009A11E8"/>
    <w:rsid w:val="009A57AA"/>
    <w:rsid w:val="009B0C1D"/>
    <w:rsid w:val="009B2708"/>
    <w:rsid w:val="009B2EF7"/>
    <w:rsid w:val="009D0C2C"/>
    <w:rsid w:val="009D1E22"/>
    <w:rsid w:val="009D6CAF"/>
    <w:rsid w:val="009E4E62"/>
    <w:rsid w:val="009F5220"/>
    <w:rsid w:val="009F7C4D"/>
    <w:rsid w:val="00A123EF"/>
    <w:rsid w:val="00A15234"/>
    <w:rsid w:val="00A201AB"/>
    <w:rsid w:val="00A25DBC"/>
    <w:rsid w:val="00A31C8B"/>
    <w:rsid w:val="00A44AAE"/>
    <w:rsid w:val="00A51FD2"/>
    <w:rsid w:val="00A75965"/>
    <w:rsid w:val="00A845DC"/>
    <w:rsid w:val="00A90C98"/>
    <w:rsid w:val="00A94A43"/>
    <w:rsid w:val="00A97AEE"/>
    <w:rsid w:val="00AA6D3B"/>
    <w:rsid w:val="00AC5CF6"/>
    <w:rsid w:val="00AE4753"/>
    <w:rsid w:val="00AF5A03"/>
    <w:rsid w:val="00B144FA"/>
    <w:rsid w:val="00B16F58"/>
    <w:rsid w:val="00B26BB0"/>
    <w:rsid w:val="00B30648"/>
    <w:rsid w:val="00B337AA"/>
    <w:rsid w:val="00B3524D"/>
    <w:rsid w:val="00B40C96"/>
    <w:rsid w:val="00B40F69"/>
    <w:rsid w:val="00B4659E"/>
    <w:rsid w:val="00B46616"/>
    <w:rsid w:val="00B610E3"/>
    <w:rsid w:val="00B61205"/>
    <w:rsid w:val="00B617C4"/>
    <w:rsid w:val="00B626FA"/>
    <w:rsid w:val="00B7040A"/>
    <w:rsid w:val="00B8740F"/>
    <w:rsid w:val="00B96FA0"/>
    <w:rsid w:val="00BB32A2"/>
    <w:rsid w:val="00BD4196"/>
    <w:rsid w:val="00BE2F60"/>
    <w:rsid w:val="00BE31CE"/>
    <w:rsid w:val="00BF22CA"/>
    <w:rsid w:val="00C07390"/>
    <w:rsid w:val="00C13FF3"/>
    <w:rsid w:val="00C164D1"/>
    <w:rsid w:val="00C26032"/>
    <w:rsid w:val="00C265B0"/>
    <w:rsid w:val="00C321B5"/>
    <w:rsid w:val="00C321CC"/>
    <w:rsid w:val="00C345E1"/>
    <w:rsid w:val="00C977BA"/>
    <w:rsid w:val="00CA16CE"/>
    <w:rsid w:val="00CB46CC"/>
    <w:rsid w:val="00CB6E35"/>
    <w:rsid w:val="00CE1A46"/>
    <w:rsid w:val="00CE26B2"/>
    <w:rsid w:val="00CF253F"/>
    <w:rsid w:val="00CF56B4"/>
    <w:rsid w:val="00D20F09"/>
    <w:rsid w:val="00D22636"/>
    <w:rsid w:val="00D328A1"/>
    <w:rsid w:val="00D40FD9"/>
    <w:rsid w:val="00D45764"/>
    <w:rsid w:val="00D45A31"/>
    <w:rsid w:val="00D46182"/>
    <w:rsid w:val="00D53769"/>
    <w:rsid w:val="00D65912"/>
    <w:rsid w:val="00D70E05"/>
    <w:rsid w:val="00D72688"/>
    <w:rsid w:val="00D85C13"/>
    <w:rsid w:val="00D91BE3"/>
    <w:rsid w:val="00D94AFC"/>
    <w:rsid w:val="00DB70AE"/>
    <w:rsid w:val="00DB7231"/>
    <w:rsid w:val="00DC1C00"/>
    <w:rsid w:val="00DC3ECC"/>
    <w:rsid w:val="00DD5071"/>
    <w:rsid w:val="00DD5C39"/>
    <w:rsid w:val="00DE26AF"/>
    <w:rsid w:val="00DE7DB7"/>
    <w:rsid w:val="00DF3405"/>
    <w:rsid w:val="00E00A0A"/>
    <w:rsid w:val="00E07F57"/>
    <w:rsid w:val="00E1040E"/>
    <w:rsid w:val="00E328F1"/>
    <w:rsid w:val="00E50BCE"/>
    <w:rsid w:val="00E61292"/>
    <w:rsid w:val="00E76309"/>
    <w:rsid w:val="00E77C4D"/>
    <w:rsid w:val="00E81D01"/>
    <w:rsid w:val="00E94C04"/>
    <w:rsid w:val="00EC3DB1"/>
    <w:rsid w:val="00EE45D8"/>
    <w:rsid w:val="00EF1104"/>
    <w:rsid w:val="00F004CD"/>
    <w:rsid w:val="00F13D39"/>
    <w:rsid w:val="00F22A22"/>
    <w:rsid w:val="00F22EDA"/>
    <w:rsid w:val="00F3224D"/>
    <w:rsid w:val="00F33E0E"/>
    <w:rsid w:val="00F359B8"/>
    <w:rsid w:val="00F43A20"/>
    <w:rsid w:val="00F5664C"/>
    <w:rsid w:val="00FA0A15"/>
    <w:rsid w:val="00FA2560"/>
    <w:rsid w:val="00FB7E80"/>
    <w:rsid w:val="00FE5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F54D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2018-07-12T11:58:00Z</dcterms:created>
  <dcterms:modified xsi:type="dcterms:W3CDTF">2018-07-12T11:58:00Z</dcterms:modified>
</cp:coreProperties>
</file>