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B734FD" w14:textId="77777777" w:rsidR="00D94AFC" w:rsidRPr="006B53B8" w:rsidRDefault="00E33BC3" w:rsidP="006B53B8">
      <w:pPr>
        <w:jc w:val="center"/>
        <w:rPr>
          <w:rFonts w:ascii="Book Antiqua" w:hAnsi="Book Antiqua" w:cs="Arial"/>
          <w:caps/>
          <w:color w:val="000000"/>
          <w:sz w:val="16"/>
          <w:szCs w:val="16"/>
        </w:rPr>
      </w:pPr>
      <w:r>
        <w:rPr>
          <w:noProof/>
        </w:rPr>
        <w:drawing>
          <wp:inline distT="0" distB="0" distL="0" distR="0" wp14:anchorId="2DE69E97" wp14:editId="035EC0DB">
            <wp:extent cx="1045845"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45845" cy="906780"/>
                    </a:xfrm>
                    <a:prstGeom prst="rect">
                      <a:avLst/>
                    </a:prstGeom>
                    <a:noFill/>
                    <a:ln>
                      <a:noFill/>
                    </a:ln>
                  </pic:spPr>
                </pic:pic>
              </a:graphicData>
            </a:graphic>
          </wp:inline>
        </w:drawing>
      </w:r>
    </w:p>
    <w:p w14:paraId="2778CDAA" w14:textId="77777777" w:rsidR="00D94AFC" w:rsidRPr="009B7433" w:rsidRDefault="00D94AFC">
      <w:pPr>
        <w:rPr>
          <w:rFonts w:ascii="Book Antiqua" w:hAnsi="Book Antiqua" w:cs="Arial"/>
          <w:color w:val="000000"/>
        </w:rPr>
      </w:pPr>
    </w:p>
    <w:p w14:paraId="6076C10E"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46D92F2C"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E33BC3">
        <w:rPr>
          <w:rFonts w:ascii="Book Antiqua" w:hAnsi="Book Antiqua" w:cs="Arial"/>
          <w:caps/>
          <w:color w:val="000000"/>
        </w:rPr>
        <w:t>ea/04989/2017</w:t>
      </w:r>
      <w:bookmarkEnd w:id="0"/>
    </w:p>
    <w:p w14:paraId="14F372D8" w14:textId="77777777" w:rsidR="00C345E1" w:rsidRPr="009B7433" w:rsidRDefault="00C345E1" w:rsidP="00C345E1">
      <w:pPr>
        <w:jc w:val="center"/>
        <w:rPr>
          <w:rFonts w:ascii="Book Antiqua" w:hAnsi="Book Antiqua" w:cs="Arial"/>
          <w:color w:val="000000"/>
        </w:rPr>
      </w:pPr>
    </w:p>
    <w:p w14:paraId="5A89835C" w14:textId="77777777" w:rsidR="00C345E1" w:rsidRPr="009B7433" w:rsidRDefault="00C345E1" w:rsidP="00C345E1">
      <w:pPr>
        <w:jc w:val="center"/>
        <w:rPr>
          <w:rFonts w:ascii="Book Antiqua" w:hAnsi="Book Antiqua" w:cs="Arial"/>
          <w:color w:val="000000"/>
        </w:rPr>
      </w:pPr>
    </w:p>
    <w:p w14:paraId="688157C8" w14:textId="77777777" w:rsidR="00C345E1" w:rsidRPr="009B7433"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45117B0F" w14:textId="77777777" w:rsidR="00C345E1" w:rsidRDefault="00C345E1" w:rsidP="00C345E1">
      <w:pPr>
        <w:jc w:val="center"/>
        <w:rPr>
          <w:rFonts w:ascii="Book Antiqua" w:hAnsi="Book Antiqua" w:cs="Arial"/>
          <w:b/>
          <w:u w:val="single"/>
        </w:rPr>
      </w:pPr>
    </w:p>
    <w:p w14:paraId="4AAABB66" w14:textId="77777777" w:rsidR="00CF2E7B" w:rsidRPr="009B7433" w:rsidRDefault="00CF2E7B"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0DB5122C" w14:textId="77777777" w:rsidTr="00D949B7">
        <w:tc>
          <w:tcPr>
            <w:tcW w:w="6048" w:type="dxa"/>
          </w:tcPr>
          <w:p w14:paraId="12E426CD"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E33BC3">
              <w:rPr>
                <w:rFonts w:ascii="Book Antiqua" w:hAnsi="Book Antiqua" w:cs="Arial"/>
                <w:b/>
              </w:rPr>
              <w:t>Manchester Civil Justice Centre</w:t>
            </w:r>
          </w:p>
        </w:tc>
        <w:tc>
          <w:tcPr>
            <w:tcW w:w="3960" w:type="dxa"/>
          </w:tcPr>
          <w:p w14:paraId="55B14BC8"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0DBD9D0F" w14:textId="77777777" w:rsidTr="00D949B7">
        <w:tc>
          <w:tcPr>
            <w:tcW w:w="6048" w:type="dxa"/>
          </w:tcPr>
          <w:p w14:paraId="7686E5A4"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E33BC3">
              <w:rPr>
                <w:rFonts w:ascii="Book Antiqua" w:hAnsi="Book Antiqua" w:cs="Arial"/>
                <w:b/>
              </w:rPr>
              <w:t>3 July 2018</w:t>
            </w:r>
          </w:p>
        </w:tc>
        <w:tc>
          <w:tcPr>
            <w:tcW w:w="3960" w:type="dxa"/>
          </w:tcPr>
          <w:p w14:paraId="3024C59B" w14:textId="18512C82" w:rsidR="00D22636" w:rsidRPr="009B7433" w:rsidRDefault="0011405A" w:rsidP="004A1848">
            <w:pPr>
              <w:jc w:val="both"/>
              <w:rPr>
                <w:rFonts w:ascii="Book Antiqua" w:hAnsi="Book Antiqua" w:cs="Arial"/>
                <w:b/>
              </w:rPr>
            </w:pPr>
            <w:r>
              <w:rPr>
                <w:rFonts w:ascii="Book Antiqua" w:hAnsi="Book Antiqua" w:cs="Arial"/>
                <w:b/>
              </w:rPr>
              <w:t>On 21 August 2018</w:t>
            </w:r>
          </w:p>
        </w:tc>
      </w:tr>
      <w:tr w:rsidR="00D22636" w:rsidRPr="009B7433" w14:paraId="46074F72" w14:textId="77777777" w:rsidTr="00D949B7">
        <w:tc>
          <w:tcPr>
            <w:tcW w:w="6048" w:type="dxa"/>
          </w:tcPr>
          <w:p w14:paraId="3E3F0272" w14:textId="77777777" w:rsidR="00D22636" w:rsidRPr="009B7433" w:rsidRDefault="00D22636" w:rsidP="004A1848">
            <w:pPr>
              <w:jc w:val="both"/>
              <w:rPr>
                <w:rFonts w:ascii="Book Antiqua" w:hAnsi="Book Antiqua" w:cs="Arial"/>
                <w:b/>
              </w:rPr>
            </w:pPr>
          </w:p>
        </w:tc>
        <w:tc>
          <w:tcPr>
            <w:tcW w:w="3960" w:type="dxa"/>
          </w:tcPr>
          <w:p w14:paraId="124D9985" w14:textId="7B5C8E92" w:rsidR="00D22636" w:rsidRPr="009B7433" w:rsidRDefault="00D22636" w:rsidP="004A1848">
            <w:pPr>
              <w:jc w:val="both"/>
              <w:rPr>
                <w:rFonts w:ascii="Book Antiqua" w:hAnsi="Book Antiqua" w:cs="Arial"/>
                <w:b/>
              </w:rPr>
            </w:pPr>
          </w:p>
        </w:tc>
      </w:tr>
    </w:tbl>
    <w:p w14:paraId="217F90DF" w14:textId="77777777" w:rsidR="00A15234" w:rsidRDefault="00A15234" w:rsidP="00A15234">
      <w:pPr>
        <w:jc w:val="center"/>
        <w:rPr>
          <w:rFonts w:ascii="Book Antiqua" w:hAnsi="Book Antiqua" w:cs="Arial"/>
        </w:rPr>
      </w:pPr>
    </w:p>
    <w:p w14:paraId="4183F846" w14:textId="77777777"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7ED87FD3" w14:textId="77777777" w:rsidR="00A15234" w:rsidRPr="009B7433" w:rsidRDefault="00A15234" w:rsidP="00A15234">
      <w:pPr>
        <w:jc w:val="center"/>
        <w:rPr>
          <w:rFonts w:ascii="Book Antiqua" w:hAnsi="Book Antiqua" w:cs="Arial"/>
          <w:b/>
        </w:rPr>
      </w:pPr>
    </w:p>
    <w:p w14:paraId="52ACBF28" w14:textId="77777777" w:rsidR="00C23DFC" w:rsidRPr="001C5703" w:rsidRDefault="00C23DFC" w:rsidP="00C23DFC">
      <w:pPr>
        <w:jc w:val="center"/>
        <w:rPr>
          <w:rFonts w:ascii="Book Antiqua" w:hAnsi="Book Antiqua" w:cs="Arial"/>
          <w:b/>
          <w:color w:val="000000"/>
        </w:rPr>
      </w:pPr>
      <w:r>
        <w:rPr>
          <w:rFonts w:ascii="Book Antiqua" w:hAnsi="Book Antiqua" w:cs="Arial"/>
          <w:b/>
          <w:color w:val="000000"/>
        </w:rPr>
        <w:t xml:space="preserve">UPPER TRIBUNAL JUDGE </w:t>
      </w:r>
      <w:r w:rsidR="009669C6">
        <w:rPr>
          <w:rFonts w:ascii="Book Antiqua" w:hAnsi="Book Antiqua" w:cs="Arial"/>
          <w:b/>
          <w:color w:val="000000"/>
        </w:rPr>
        <w:t>GRUBB</w:t>
      </w:r>
    </w:p>
    <w:p w14:paraId="482E44F6" w14:textId="77777777" w:rsidR="001B186A" w:rsidRPr="009B7433" w:rsidRDefault="00E33BC3" w:rsidP="00A15234">
      <w:pPr>
        <w:jc w:val="center"/>
        <w:rPr>
          <w:rFonts w:ascii="Book Antiqua" w:hAnsi="Book Antiqua" w:cs="Arial"/>
          <w:b/>
          <w:color w:val="000000"/>
        </w:rPr>
      </w:pPr>
      <w:r>
        <w:rPr>
          <w:rFonts w:ascii="Book Antiqua" w:hAnsi="Book Antiqua" w:cs="Arial"/>
          <w:b/>
          <w:color w:val="000000"/>
        </w:rPr>
        <w:t>UPPER TRIBUNAL JUDGE PLIMMER</w:t>
      </w:r>
    </w:p>
    <w:p w14:paraId="32186CA2" w14:textId="77777777" w:rsidR="001B186A" w:rsidRPr="009B7433" w:rsidRDefault="001B186A" w:rsidP="00A15234">
      <w:pPr>
        <w:jc w:val="center"/>
        <w:rPr>
          <w:rFonts w:ascii="Book Antiqua" w:hAnsi="Book Antiqua" w:cs="Arial"/>
          <w:b/>
          <w:color w:val="000000"/>
        </w:rPr>
      </w:pPr>
    </w:p>
    <w:p w14:paraId="72D48D55" w14:textId="77777777" w:rsidR="006D517F" w:rsidRDefault="006D517F" w:rsidP="00A15234">
      <w:pPr>
        <w:jc w:val="center"/>
        <w:rPr>
          <w:rFonts w:ascii="Book Antiqua" w:hAnsi="Book Antiqua" w:cs="Arial"/>
          <w:b/>
        </w:rPr>
      </w:pPr>
    </w:p>
    <w:p w14:paraId="6E0C3F77" w14:textId="3344D60D" w:rsidR="00A845DC" w:rsidRPr="009B7433" w:rsidRDefault="00A845DC" w:rsidP="00A15234">
      <w:pPr>
        <w:jc w:val="center"/>
        <w:rPr>
          <w:rFonts w:ascii="Book Antiqua" w:hAnsi="Book Antiqua" w:cs="Arial"/>
          <w:b/>
        </w:rPr>
      </w:pPr>
      <w:r w:rsidRPr="009B7433">
        <w:rPr>
          <w:rFonts w:ascii="Book Antiqua" w:hAnsi="Book Antiqua" w:cs="Arial"/>
          <w:b/>
        </w:rPr>
        <w:t>Between</w:t>
      </w:r>
    </w:p>
    <w:p w14:paraId="66EBB668" w14:textId="77777777" w:rsidR="00A845DC" w:rsidRPr="009B7433" w:rsidRDefault="00A845DC" w:rsidP="00A15234">
      <w:pPr>
        <w:jc w:val="center"/>
        <w:rPr>
          <w:rFonts w:ascii="Book Antiqua" w:hAnsi="Book Antiqua" w:cs="Arial"/>
          <w:b/>
        </w:rPr>
      </w:pPr>
    </w:p>
    <w:p w14:paraId="7BC1AF7C" w14:textId="77777777" w:rsidR="00A845DC" w:rsidRDefault="00E33BC3" w:rsidP="00A15234">
      <w:pPr>
        <w:jc w:val="center"/>
        <w:rPr>
          <w:rFonts w:ascii="Book Antiqua" w:hAnsi="Book Antiqua" w:cs="Arial"/>
          <w:b/>
          <w:caps/>
        </w:rPr>
      </w:pPr>
      <w:r>
        <w:rPr>
          <w:rFonts w:ascii="Book Antiqua" w:hAnsi="Book Antiqua" w:cs="Arial"/>
          <w:b/>
          <w:caps/>
        </w:rPr>
        <w:t>JOU</w:t>
      </w:r>
    </w:p>
    <w:p w14:paraId="507623FA" w14:textId="77777777" w:rsidR="00D949B7" w:rsidRDefault="00D949B7" w:rsidP="00D949B7">
      <w:pPr>
        <w:jc w:val="center"/>
        <w:rPr>
          <w:rFonts w:ascii="Book Antiqua" w:hAnsi="Book Antiqua" w:cs="Arial"/>
          <w:b/>
          <w:caps/>
        </w:rPr>
      </w:pPr>
      <w:r w:rsidRPr="00D949B7">
        <w:rPr>
          <w:rFonts w:ascii="Book Antiqua" w:hAnsi="Book Antiqua" w:cs="Arial"/>
          <w:b/>
          <w:caps/>
        </w:rPr>
        <w:t xml:space="preserve">(ANONYMITY DIRECTION </w:t>
      </w:r>
      <w:r w:rsidR="00E33BC3">
        <w:rPr>
          <w:rFonts w:ascii="Book Antiqua" w:hAnsi="Book Antiqua" w:cs="Arial"/>
          <w:b/>
          <w:caps/>
        </w:rPr>
        <w:t>MADE</w:t>
      </w:r>
      <w:r w:rsidRPr="00D949B7">
        <w:rPr>
          <w:rFonts w:ascii="Book Antiqua" w:hAnsi="Book Antiqua" w:cs="Arial"/>
          <w:b/>
          <w:caps/>
        </w:rPr>
        <w:t>)</w:t>
      </w:r>
    </w:p>
    <w:p w14:paraId="78699318"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053CFD14"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0FC59766" w14:textId="77777777" w:rsidR="00DD5071" w:rsidRPr="009B7433" w:rsidRDefault="00DD5071" w:rsidP="00704B61">
      <w:pPr>
        <w:jc w:val="center"/>
        <w:rPr>
          <w:rFonts w:ascii="Book Antiqua" w:hAnsi="Book Antiqua" w:cs="Arial"/>
          <w:b/>
        </w:rPr>
      </w:pPr>
    </w:p>
    <w:p w14:paraId="2A4DE133" w14:textId="77777777" w:rsidR="00DD5071" w:rsidRPr="009B7433" w:rsidRDefault="00DD5071" w:rsidP="00704B61">
      <w:pPr>
        <w:jc w:val="center"/>
        <w:rPr>
          <w:rFonts w:ascii="Book Antiqua" w:hAnsi="Book Antiqua" w:cs="Arial"/>
          <w:b/>
        </w:rPr>
      </w:pPr>
      <w:r w:rsidRPr="009B7433">
        <w:rPr>
          <w:rFonts w:ascii="Book Antiqua" w:hAnsi="Book Antiqua" w:cs="Arial"/>
          <w:b/>
        </w:rPr>
        <w:fldChar w:fldCharType="begin">
          <w:ffData>
            <w:name w:val="Text7"/>
            <w:enabled/>
            <w:calcOnExit w:val="0"/>
            <w:textInput>
              <w:default w:val="THE SECRETARY OF STATE FOR THE HOME DEPARTMENT"/>
              <w:format w:val="UPPERCASE"/>
            </w:textInput>
          </w:ffData>
        </w:fldChar>
      </w:r>
      <w:bookmarkStart w:id="1" w:name="Text7"/>
      <w:r w:rsidRPr="009B7433">
        <w:rPr>
          <w:rFonts w:ascii="Book Antiqua" w:hAnsi="Book Antiqua" w:cs="Arial"/>
          <w:b/>
        </w:rPr>
        <w:instrText xml:space="preserve"> FORMTEXT </w:instrText>
      </w:r>
      <w:r w:rsidRPr="009B7433">
        <w:rPr>
          <w:rFonts w:ascii="Book Antiqua" w:hAnsi="Book Antiqua" w:cs="Arial"/>
          <w:b/>
        </w:rPr>
      </w:r>
      <w:r w:rsidRPr="009B7433">
        <w:rPr>
          <w:rFonts w:ascii="Book Antiqua" w:hAnsi="Book Antiqua" w:cs="Arial"/>
          <w:b/>
        </w:rPr>
        <w:fldChar w:fldCharType="separate"/>
      </w:r>
      <w:r w:rsidRPr="009B7433">
        <w:rPr>
          <w:rFonts w:ascii="Book Antiqua" w:hAnsi="Book Antiqua" w:cs="Arial"/>
          <w:b/>
          <w:noProof/>
        </w:rPr>
        <w:t>THE SECRETARY OF STATE FOR THE HOME DEPARTMENT</w:t>
      </w:r>
      <w:r w:rsidRPr="009B7433">
        <w:rPr>
          <w:rFonts w:ascii="Book Antiqua" w:hAnsi="Book Antiqua" w:cs="Arial"/>
          <w:b/>
        </w:rPr>
        <w:fldChar w:fldCharType="end"/>
      </w:r>
      <w:bookmarkEnd w:id="1"/>
    </w:p>
    <w:p w14:paraId="0D058A8E"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28A11B6A" w14:textId="02690034" w:rsidR="005723BB" w:rsidRDefault="005723BB" w:rsidP="00DD5071">
      <w:pPr>
        <w:rPr>
          <w:rFonts w:ascii="Book Antiqua" w:hAnsi="Book Antiqua" w:cs="Arial"/>
          <w:b/>
          <w:u w:val="single"/>
        </w:rPr>
      </w:pPr>
    </w:p>
    <w:p w14:paraId="113973A8" w14:textId="77777777" w:rsidR="006D517F" w:rsidRDefault="006D517F" w:rsidP="00DD5071">
      <w:pPr>
        <w:rPr>
          <w:rFonts w:ascii="Book Antiqua" w:hAnsi="Book Antiqua" w:cs="Arial"/>
          <w:b/>
          <w:u w:val="single"/>
        </w:rPr>
      </w:pPr>
    </w:p>
    <w:p w14:paraId="47A58354"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6BA86873"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E33BC3">
        <w:rPr>
          <w:rFonts w:ascii="Book Antiqua" w:hAnsi="Book Antiqua" w:cs="Arial"/>
        </w:rPr>
        <w:t xml:space="preserve">Mr O </w:t>
      </w:r>
      <w:proofErr w:type="spellStart"/>
      <w:r w:rsidR="00E33BC3">
        <w:rPr>
          <w:rFonts w:ascii="Book Antiqua" w:hAnsi="Book Antiqua" w:cs="Arial"/>
        </w:rPr>
        <w:t>Atuegbe</w:t>
      </w:r>
      <w:proofErr w:type="spellEnd"/>
      <w:r w:rsidR="00E33BC3">
        <w:rPr>
          <w:rFonts w:ascii="Book Antiqua" w:hAnsi="Book Antiqua" w:cs="Arial"/>
        </w:rPr>
        <w:t xml:space="preserve"> of R &amp; A Solicitors</w:t>
      </w:r>
    </w:p>
    <w:p w14:paraId="36BBF6A5" w14:textId="77777777" w:rsidR="00DE7DB7" w:rsidRPr="009B7433" w:rsidRDefault="00DE7DB7" w:rsidP="00DE7DB7">
      <w:pPr>
        <w:tabs>
          <w:tab w:val="left" w:pos="2520"/>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E33BC3">
        <w:rPr>
          <w:rFonts w:ascii="Book Antiqua" w:hAnsi="Book Antiqua" w:cs="Arial"/>
        </w:rPr>
        <w:t xml:space="preserve">Mr A </w:t>
      </w:r>
      <w:proofErr w:type="spellStart"/>
      <w:r w:rsidR="00E33BC3">
        <w:rPr>
          <w:rFonts w:ascii="Book Antiqua" w:hAnsi="Book Antiqua" w:cs="Arial"/>
        </w:rPr>
        <w:t>McVeety</w:t>
      </w:r>
      <w:proofErr w:type="spellEnd"/>
      <w:r w:rsidR="00E33BC3">
        <w:rPr>
          <w:rFonts w:ascii="Book Antiqua" w:hAnsi="Book Antiqua" w:cs="Arial"/>
        </w:rPr>
        <w:t xml:space="preserve">, Senior Home Office Presenting Officer </w:t>
      </w:r>
    </w:p>
    <w:p w14:paraId="63F1DCF3" w14:textId="77777777" w:rsidR="00DE7DB7" w:rsidRPr="009B7433" w:rsidRDefault="00DE7DB7" w:rsidP="00402B9E">
      <w:pPr>
        <w:tabs>
          <w:tab w:val="left" w:pos="2520"/>
        </w:tabs>
        <w:jc w:val="center"/>
        <w:rPr>
          <w:rFonts w:ascii="Book Antiqua" w:hAnsi="Book Antiqua" w:cs="Arial"/>
        </w:rPr>
      </w:pPr>
    </w:p>
    <w:p w14:paraId="50B63B48" w14:textId="77777777" w:rsidR="00DE7DB7" w:rsidRPr="009B7433" w:rsidRDefault="00DE7DB7" w:rsidP="000A0743">
      <w:pPr>
        <w:jc w:val="center"/>
        <w:rPr>
          <w:rFonts w:ascii="Book Antiqua" w:hAnsi="Book Antiqua" w:cs="Arial"/>
        </w:rPr>
      </w:pPr>
    </w:p>
    <w:p w14:paraId="7A0D0D4C"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61C41C23" w14:textId="77777777" w:rsidR="00EA79AF" w:rsidRDefault="00E33BC3" w:rsidP="00EA79AF">
      <w:pPr>
        <w:numPr>
          <w:ilvl w:val="0"/>
          <w:numId w:val="1"/>
        </w:numPr>
        <w:tabs>
          <w:tab w:val="clear" w:pos="567"/>
        </w:tabs>
        <w:spacing w:before="240"/>
        <w:jc w:val="both"/>
        <w:rPr>
          <w:rFonts w:ascii="Book Antiqua" w:hAnsi="Book Antiqua" w:cs="Arial"/>
        </w:rPr>
      </w:pPr>
      <w:r>
        <w:rPr>
          <w:rFonts w:ascii="Book Antiqua" w:hAnsi="Book Antiqua" w:cs="Arial"/>
        </w:rPr>
        <w:t>Pursuant to rule 14 of the Tribunal Procedure (Upper Tribunal) Rules 2008 (SI 2008/2698) we make an anonymity order prohibiting the disclosure or publication of any matter likely to lead to members of the public identifying the appellant.  A failure to comply with this direction could lead to Contempt of Court proceedings.</w:t>
      </w:r>
    </w:p>
    <w:p w14:paraId="79F99859" w14:textId="77777777" w:rsidR="006D517F" w:rsidRDefault="006D517F" w:rsidP="00E33BC3">
      <w:pPr>
        <w:spacing w:before="240"/>
        <w:jc w:val="both"/>
        <w:rPr>
          <w:rFonts w:ascii="Book Antiqua" w:hAnsi="Book Antiqua" w:cs="Arial"/>
          <w:b/>
          <w:u w:val="single"/>
        </w:rPr>
      </w:pPr>
    </w:p>
    <w:p w14:paraId="3B784A8C" w14:textId="6B215CFF" w:rsidR="00E33BC3" w:rsidRPr="00E33BC3" w:rsidRDefault="00E33BC3" w:rsidP="00E33BC3">
      <w:pPr>
        <w:spacing w:before="240"/>
        <w:jc w:val="both"/>
        <w:rPr>
          <w:rFonts w:ascii="Book Antiqua" w:hAnsi="Book Antiqua" w:cs="Arial"/>
          <w:b/>
          <w:u w:val="single"/>
        </w:rPr>
      </w:pPr>
      <w:r>
        <w:rPr>
          <w:rFonts w:ascii="Book Antiqua" w:hAnsi="Book Antiqua" w:cs="Arial"/>
          <w:b/>
          <w:u w:val="single"/>
        </w:rPr>
        <w:lastRenderedPageBreak/>
        <w:t>Introduction</w:t>
      </w:r>
    </w:p>
    <w:p w14:paraId="10D0C2EA" w14:textId="77777777" w:rsidR="008366A6" w:rsidRPr="0029725D" w:rsidRDefault="00E33BC3" w:rsidP="00926ADE">
      <w:pPr>
        <w:numPr>
          <w:ilvl w:val="0"/>
          <w:numId w:val="1"/>
        </w:numPr>
        <w:tabs>
          <w:tab w:val="clear" w:pos="567"/>
        </w:tabs>
        <w:spacing w:before="240"/>
        <w:jc w:val="both"/>
        <w:rPr>
          <w:rFonts w:ascii="Book Antiqua" w:hAnsi="Book Antiqua" w:cs="Arial"/>
        </w:rPr>
      </w:pPr>
      <w:r w:rsidRPr="0029725D">
        <w:rPr>
          <w:rFonts w:ascii="Book Antiqua" w:hAnsi="Book Antiqua" w:cs="Arial"/>
        </w:rPr>
        <w:t>The appellant is a citizen of Nigeria who was born on 6 No</w:t>
      </w:r>
      <w:r w:rsidR="008366A6" w:rsidRPr="0029725D">
        <w:rPr>
          <w:rFonts w:ascii="Book Antiqua" w:hAnsi="Book Antiqua" w:cs="Arial"/>
        </w:rPr>
        <w:t>vember 1984.</w:t>
      </w:r>
      <w:r w:rsidR="0029725D">
        <w:rPr>
          <w:rFonts w:ascii="Book Antiqua" w:hAnsi="Book Antiqua" w:cs="Arial"/>
        </w:rPr>
        <w:t xml:space="preserve">  </w:t>
      </w:r>
      <w:r w:rsidR="008366A6" w:rsidRPr="0029725D">
        <w:rPr>
          <w:rFonts w:ascii="Book Antiqua" w:hAnsi="Book Antiqua" w:cs="Arial"/>
        </w:rPr>
        <w:t xml:space="preserve">On 31 December 2016, </w:t>
      </w:r>
      <w:r w:rsidR="0029725D" w:rsidRPr="0029725D">
        <w:rPr>
          <w:rFonts w:ascii="Book Antiqua" w:hAnsi="Book Antiqua" w:cs="Arial"/>
        </w:rPr>
        <w:t>she</w:t>
      </w:r>
      <w:r w:rsidR="008366A6" w:rsidRPr="0029725D">
        <w:rPr>
          <w:rFonts w:ascii="Book Antiqua" w:hAnsi="Book Antiqua" w:cs="Arial"/>
        </w:rPr>
        <w:t xml:space="preserve"> applied for a deri</w:t>
      </w:r>
      <w:r w:rsidR="009724F9" w:rsidRPr="0029725D">
        <w:rPr>
          <w:rFonts w:ascii="Book Antiqua" w:hAnsi="Book Antiqua" w:cs="Arial"/>
        </w:rPr>
        <w:t xml:space="preserve">vative residence card under </w:t>
      </w:r>
      <w:proofErr w:type="spellStart"/>
      <w:r w:rsidR="00324B5E">
        <w:rPr>
          <w:rFonts w:ascii="Book Antiqua" w:hAnsi="Book Antiqua" w:cs="Arial"/>
        </w:rPr>
        <w:t>r</w:t>
      </w:r>
      <w:r w:rsidR="009724F9" w:rsidRPr="0029725D">
        <w:rPr>
          <w:rFonts w:ascii="Book Antiqua" w:hAnsi="Book Antiqua" w:cs="Arial"/>
        </w:rPr>
        <w:t>eg</w:t>
      </w:r>
      <w:proofErr w:type="spellEnd"/>
      <w:r w:rsidR="009724F9" w:rsidRPr="0029725D">
        <w:rPr>
          <w:rFonts w:ascii="Book Antiqua" w:hAnsi="Book Antiqua" w:cs="Arial"/>
        </w:rPr>
        <w:t xml:space="preserve"> </w:t>
      </w:r>
      <w:r w:rsidR="008366A6" w:rsidRPr="0029725D">
        <w:rPr>
          <w:rFonts w:ascii="Book Antiqua" w:hAnsi="Book Antiqua" w:cs="Arial"/>
        </w:rPr>
        <w:t xml:space="preserve">20 (relying on </w:t>
      </w:r>
      <w:proofErr w:type="spellStart"/>
      <w:r w:rsidR="00324B5E">
        <w:rPr>
          <w:rFonts w:ascii="Book Antiqua" w:hAnsi="Book Antiqua" w:cs="Arial"/>
        </w:rPr>
        <w:t>r</w:t>
      </w:r>
      <w:r w:rsidR="008366A6" w:rsidRPr="0029725D">
        <w:rPr>
          <w:rFonts w:ascii="Book Antiqua" w:hAnsi="Book Antiqua" w:cs="Arial"/>
        </w:rPr>
        <w:t>eg</w:t>
      </w:r>
      <w:proofErr w:type="spellEnd"/>
      <w:r w:rsidR="008366A6" w:rsidRPr="0029725D">
        <w:rPr>
          <w:rFonts w:ascii="Book Antiqua" w:hAnsi="Book Antiqua" w:cs="Arial"/>
        </w:rPr>
        <w:t xml:space="preserve"> 16(2)) of the Immigration (EEA) Regulations 2016 </w:t>
      </w:r>
      <w:r w:rsidR="00591E8A" w:rsidRPr="0029725D">
        <w:rPr>
          <w:rFonts w:ascii="Book Antiqua" w:hAnsi="Book Antiqua" w:cs="Arial"/>
        </w:rPr>
        <w:t xml:space="preserve">(SI 2016/1052) (“the EEA Regulations 2016”).  The basis of that claim was that her son (“D”), who is a Swedish national, lived in the UK, and that the appellant was his “primary carer”.  </w:t>
      </w:r>
    </w:p>
    <w:p w14:paraId="33D24D9F" w14:textId="77777777" w:rsidR="00591E8A" w:rsidRDefault="00591E8A" w:rsidP="00EA79AF">
      <w:pPr>
        <w:numPr>
          <w:ilvl w:val="0"/>
          <w:numId w:val="1"/>
        </w:numPr>
        <w:tabs>
          <w:tab w:val="clear" w:pos="567"/>
        </w:tabs>
        <w:spacing w:before="240"/>
        <w:jc w:val="both"/>
        <w:rPr>
          <w:rFonts w:ascii="Book Antiqua" w:hAnsi="Book Antiqua" w:cs="Arial"/>
        </w:rPr>
      </w:pPr>
      <w:r>
        <w:rPr>
          <w:rFonts w:ascii="Book Antiqua" w:hAnsi="Book Antiqua" w:cs="Arial"/>
        </w:rPr>
        <w:t>On 4 May 2017, the Secretary of State refused the appellant’s application.  The Secretary of State was not satisfied that the appellant</w:t>
      </w:r>
      <w:r w:rsidR="00834E20">
        <w:rPr>
          <w:rFonts w:ascii="Book Antiqua" w:hAnsi="Book Antiqua" w:cs="Arial"/>
        </w:rPr>
        <w:t xml:space="preserve"> </w:t>
      </w:r>
      <w:r w:rsidR="00CF6EBD">
        <w:rPr>
          <w:rFonts w:ascii="Book Antiqua" w:hAnsi="Book Antiqua" w:cs="Arial"/>
        </w:rPr>
        <w:t xml:space="preserve">met </w:t>
      </w:r>
      <w:r>
        <w:rPr>
          <w:rFonts w:ascii="Book Antiqua" w:hAnsi="Book Antiqua" w:cs="Arial"/>
        </w:rPr>
        <w:t xml:space="preserve">the requirements of </w:t>
      </w:r>
      <w:proofErr w:type="spellStart"/>
      <w:r w:rsidR="00324B5E">
        <w:rPr>
          <w:rFonts w:ascii="Book Antiqua" w:hAnsi="Book Antiqua" w:cs="Arial"/>
        </w:rPr>
        <w:t>r</w:t>
      </w:r>
      <w:r>
        <w:rPr>
          <w:rFonts w:ascii="Book Antiqua" w:hAnsi="Book Antiqua" w:cs="Arial"/>
        </w:rPr>
        <w:t>eg</w:t>
      </w:r>
      <w:proofErr w:type="spellEnd"/>
      <w:r>
        <w:rPr>
          <w:rFonts w:ascii="Book Antiqua" w:hAnsi="Book Antiqua" w:cs="Arial"/>
        </w:rPr>
        <w:t xml:space="preserve"> 16(2), namely that D was a “self-sufficient person”.  The Secretary of State was not satisfied that sufficient resources were available to </w:t>
      </w:r>
      <w:proofErr w:type="spellStart"/>
      <w:r>
        <w:rPr>
          <w:rFonts w:ascii="Book Antiqua" w:hAnsi="Book Antiqua" w:cs="Arial"/>
        </w:rPr>
        <w:t>D</w:t>
      </w:r>
      <w:proofErr w:type="spellEnd"/>
      <w:r>
        <w:rPr>
          <w:rFonts w:ascii="Book Antiqua" w:hAnsi="Book Antiqua" w:cs="Arial"/>
        </w:rPr>
        <w:t xml:space="preserve"> such that he would not become a burden on the social assistance system in the UK or that he had “comprehensive sickness insurance cover” in the UK.  </w:t>
      </w:r>
    </w:p>
    <w:p w14:paraId="25F89299" w14:textId="77777777" w:rsidR="00591E8A" w:rsidRPr="00591E8A" w:rsidRDefault="00591E8A" w:rsidP="00591E8A">
      <w:pPr>
        <w:spacing w:before="240"/>
        <w:jc w:val="both"/>
        <w:rPr>
          <w:rFonts w:ascii="Book Antiqua" w:hAnsi="Book Antiqua" w:cs="Arial"/>
          <w:b/>
          <w:u w:val="single"/>
        </w:rPr>
      </w:pPr>
      <w:r w:rsidRPr="00591E8A">
        <w:rPr>
          <w:rFonts w:ascii="Book Antiqua" w:hAnsi="Book Antiqua" w:cs="Arial"/>
          <w:b/>
          <w:u w:val="single"/>
        </w:rPr>
        <w:t xml:space="preserve">The Appeal to the First-tier Tribunal </w:t>
      </w:r>
    </w:p>
    <w:p w14:paraId="4C1CB626" w14:textId="77777777" w:rsidR="00591E8A" w:rsidRDefault="00591E8A" w:rsidP="00EA79AF">
      <w:pPr>
        <w:numPr>
          <w:ilvl w:val="0"/>
          <w:numId w:val="1"/>
        </w:numPr>
        <w:tabs>
          <w:tab w:val="clear" w:pos="567"/>
        </w:tabs>
        <w:spacing w:before="240"/>
        <w:jc w:val="both"/>
        <w:rPr>
          <w:rFonts w:ascii="Book Antiqua" w:hAnsi="Book Antiqua" w:cs="Arial"/>
        </w:rPr>
      </w:pPr>
      <w:r>
        <w:rPr>
          <w:rFonts w:ascii="Book Antiqua" w:hAnsi="Book Antiqua" w:cs="Arial"/>
        </w:rPr>
        <w:t>The appellant appealed to the First-tier Tribunal</w:t>
      </w:r>
      <w:r w:rsidR="00082998">
        <w:rPr>
          <w:rFonts w:ascii="Book Antiqua" w:hAnsi="Book Antiqua" w:cs="Arial"/>
        </w:rPr>
        <w:t xml:space="preserve"> (‘</w:t>
      </w:r>
      <w:proofErr w:type="spellStart"/>
      <w:r w:rsidR="00082998">
        <w:rPr>
          <w:rFonts w:ascii="Book Antiqua" w:hAnsi="Book Antiqua" w:cs="Arial"/>
        </w:rPr>
        <w:t>FtT</w:t>
      </w:r>
      <w:proofErr w:type="spellEnd"/>
      <w:r w:rsidR="00082998">
        <w:rPr>
          <w:rFonts w:ascii="Book Antiqua" w:hAnsi="Book Antiqua" w:cs="Arial"/>
        </w:rPr>
        <w:t>’)</w:t>
      </w:r>
      <w:r>
        <w:rPr>
          <w:rFonts w:ascii="Book Antiqua" w:hAnsi="Book Antiqua" w:cs="Arial"/>
        </w:rPr>
        <w:t xml:space="preserve">.  Judge </w:t>
      </w:r>
      <w:proofErr w:type="spellStart"/>
      <w:r>
        <w:rPr>
          <w:rFonts w:ascii="Book Antiqua" w:hAnsi="Book Antiqua" w:cs="Arial"/>
        </w:rPr>
        <w:t>Brunnen</w:t>
      </w:r>
      <w:proofErr w:type="spellEnd"/>
      <w:r>
        <w:rPr>
          <w:rFonts w:ascii="Book Antiqua" w:hAnsi="Book Antiqua" w:cs="Arial"/>
        </w:rPr>
        <w:t xml:space="preserve"> dismissed the appellant’s appeal.  He accepted that the appellant was D’s “primary carer”.  However, he was not satisfied that D was “self-sufficient”.  First, he was not satisfied that gifts of money made to the appellant to support D were, in themselves, sufficient to make D “self-sufficient” but that in any event the appellant was no longer in receipt of such gifts.  Further, although the judge accepted that the appellant had been employed since August 2017 and that he</w:t>
      </w:r>
      <w:r w:rsidR="0021180D">
        <w:rPr>
          <w:rFonts w:ascii="Book Antiqua" w:hAnsi="Book Antiqua" w:cs="Arial"/>
        </w:rPr>
        <w:t>r</w:t>
      </w:r>
      <w:r>
        <w:rPr>
          <w:rFonts w:ascii="Book Antiqua" w:hAnsi="Book Antiqua" w:cs="Arial"/>
        </w:rPr>
        <w:t xml:space="preserve"> earnings were “quantitively sufficient” for D to be self-sufficient, they could not be taken into account as the appellant had “no right to be working in the UK unless she has a derivative right of residence”.  Secondly, in any event, the judge concluded that the appellant’s health insurance did not satisfy the requirement of being “comprehensive sickness insurance” as it did not cover visits to a GP or to </w:t>
      </w:r>
      <w:r w:rsidR="00EC1475">
        <w:rPr>
          <w:rFonts w:ascii="Book Antiqua" w:hAnsi="Book Antiqua" w:cs="Arial"/>
        </w:rPr>
        <w:t>an</w:t>
      </w:r>
      <w:r>
        <w:rPr>
          <w:rFonts w:ascii="Book Antiqua" w:hAnsi="Book Antiqua" w:cs="Arial"/>
        </w:rPr>
        <w:t xml:space="preserve"> </w:t>
      </w:r>
      <w:r w:rsidR="00EC1475">
        <w:rPr>
          <w:rFonts w:ascii="Book Antiqua" w:hAnsi="Book Antiqua" w:cs="Arial"/>
        </w:rPr>
        <w:t>A</w:t>
      </w:r>
      <w:r>
        <w:rPr>
          <w:rFonts w:ascii="Book Antiqua" w:hAnsi="Book Antiqua" w:cs="Arial"/>
        </w:rPr>
        <w:t xml:space="preserve">ccident &amp; </w:t>
      </w:r>
      <w:r w:rsidR="00EC1475">
        <w:rPr>
          <w:rFonts w:ascii="Book Antiqua" w:hAnsi="Book Antiqua" w:cs="Arial"/>
        </w:rPr>
        <w:t>E</w:t>
      </w:r>
      <w:r>
        <w:rPr>
          <w:rFonts w:ascii="Book Antiqua" w:hAnsi="Book Antiqua" w:cs="Arial"/>
        </w:rPr>
        <w:t xml:space="preserve">mergency </w:t>
      </w:r>
      <w:r w:rsidR="00EC1475">
        <w:rPr>
          <w:rFonts w:ascii="Book Antiqua" w:hAnsi="Book Antiqua" w:cs="Arial"/>
        </w:rPr>
        <w:t>D</w:t>
      </w:r>
      <w:r>
        <w:rPr>
          <w:rFonts w:ascii="Book Antiqua" w:hAnsi="Book Antiqua" w:cs="Arial"/>
        </w:rPr>
        <w:t>epartment of a hospital.</w:t>
      </w:r>
    </w:p>
    <w:p w14:paraId="04849CFC" w14:textId="77777777" w:rsidR="00591E8A" w:rsidRPr="00591E8A" w:rsidRDefault="00591E8A" w:rsidP="00591E8A">
      <w:pPr>
        <w:spacing w:before="240"/>
        <w:jc w:val="both"/>
        <w:rPr>
          <w:rFonts w:ascii="Book Antiqua" w:hAnsi="Book Antiqua" w:cs="Arial"/>
          <w:b/>
          <w:u w:val="single"/>
        </w:rPr>
      </w:pPr>
      <w:r>
        <w:rPr>
          <w:rFonts w:ascii="Book Antiqua" w:hAnsi="Book Antiqua" w:cs="Arial"/>
          <w:b/>
          <w:u w:val="single"/>
        </w:rPr>
        <w:t xml:space="preserve">The Appeal to the Upper Tribunal </w:t>
      </w:r>
    </w:p>
    <w:p w14:paraId="6E872678" w14:textId="77777777" w:rsidR="00591E8A" w:rsidRDefault="00591E8A" w:rsidP="00EA79AF">
      <w:pPr>
        <w:numPr>
          <w:ilvl w:val="0"/>
          <w:numId w:val="1"/>
        </w:numPr>
        <w:tabs>
          <w:tab w:val="clear" w:pos="567"/>
        </w:tabs>
        <w:spacing w:before="240"/>
        <w:jc w:val="both"/>
        <w:rPr>
          <w:rFonts w:ascii="Book Antiqua" w:hAnsi="Book Antiqua" w:cs="Arial"/>
        </w:rPr>
      </w:pPr>
      <w:r>
        <w:rPr>
          <w:rFonts w:ascii="Book Antiqua" w:hAnsi="Book Antiqua" w:cs="Arial"/>
        </w:rPr>
        <w:t>The appellant sought permission to appeal to the Upper Tribunal on the basis that the judge had erred in law by not taking into account the appellant</w:t>
      </w:r>
      <w:r w:rsidR="00E94009">
        <w:rPr>
          <w:rFonts w:ascii="Book Antiqua" w:hAnsi="Book Antiqua" w:cs="Arial"/>
        </w:rPr>
        <w:t>’s</w:t>
      </w:r>
      <w:r>
        <w:rPr>
          <w:rFonts w:ascii="Book Antiqua" w:hAnsi="Book Antiqua" w:cs="Arial"/>
        </w:rPr>
        <w:t xml:space="preserve"> earnings in assessing whether D was self-sufficient and that her health insurance coverage was “equivalent to comprehensive” insurance.</w:t>
      </w:r>
    </w:p>
    <w:p w14:paraId="51DBA8E7" w14:textId="77777777" w:rsidR="00591E8A" w:rsidRDefault="00591E8A"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On 6 March 2018, the </w:t>
      </w:r>
      <w:proofErr w:type="spellStart"/>
      <w:r>
        <w:rPr>
          <w:rFonts w:ascii="Book Antiqua" w:hAnsi="Book Antiqua" w:cs="Arial"/>
        </w:rPr>
        <w:t>F</w:t>
      </w:r>
      <w:r w:rsidR="00082998">
        <w:rPr>
          <w:rFonts w:ascii="Book Antiqua" w:hAnsi="Book Antiqua" w:cs="Arial"/>
        </w:rPr>
        <w:t>tT</w:t>
      </w:r>
      <w:proofErr w:type="spellEnd"/>
      <w:r>
        <w:rPr>
          <w:rFonts w:ascii="Book Antiqua" w:hAnsi="Book Antiqua" w:cs="Arial"/>
        </w:rPr>
        <w:t xml:space="preserve"> (Judge L Murray) granted the appellant permission to appeal.  The grant of permission was on the following basis:</w:t>
      </w:r>
    </w:p>
    <w:p w14:paraId="72EB818D" w14:textId="77777777" w:rsidR="00591E8A" w:rsidRPr="009F2772" w:rsidRDefault="009F2772" w:rsidP="009F2772">
      <w:pPr>
        <w:spacing w:before="240"/>
        <w:ind w:left="1134" w:right="566"/>
        <w:jc w:val="both"/>
        <w:rPr>
          <w:rFonts w:ascii="Book Antiqua" w:hAnsi="Book Antiqua" w:cs="Arial"/>
          <w:sz w:val="20"/>
          <w:szCs w:val="20"/>
        </w:rPr>
      </w:pPr>
      <w:r>
        <w:rPr>
          <w:rFonts w:ascii="Book Antiqua" w:hAnsi="Book Antiqua" w:cs="Arial"/>
          <w:sz w:val="20"/>
          <w:szCs w:val="20"/>
        </w:rPr>
        <w:t>“</w:t>
      </w:r>
      <w:r w:rsidR="00591E8A" w:rsidRPr="009F2772">
        <w:rPr>
          <w:rFonts w:ascii="Book Antiqua" w:hAnsi="Book Antiqua" w:cs="Arial"/>
          <w:sz w:val="20"/>
          <w:szCs w:val="20"/>
        </w:rPr>
        <w:t xml:space="preserve">The grounds have merit.  Judge </w:t>
      </w:r>
      <w:r w:rsidRPr="009F2772">
        <w:rPr>
          <w:rFonts w:ascii="Book Antiqua" w:hAnsi="Book Antiqua" w:cs="Arial"/>
          <w:sz w:val="20"/>
          <w:szCs w:val="20"/>
        </w:rPr>
        <w:t>arguably</w:t>
      </w:r>
      <w:r w:rsidR="00591E8A" w:rsidRPr="009F2772">
        <w:rPr>
          <w:rFonts w:ascii="Book Antiqua" w:hAnsi="Book Antiqua" w:cs="Arial"/>
          <w:sz w:val="20"/>
          <w:szCs w:val="20"/>
        </w:rPr>
        <w:t xml:space="preserve"> erred in the light of the decision in </w:t>
      </w:r>
      <w:proofErr w:type="spellStart"/>
      <w:r w:rsidR="00117FC6">
        <w:rPr>
          <w:rFonts w:ascii="Book Antiqua" w:hAnsi="Book Antiqua" w:cs="Arial"/>
          <w:b/>
          <w:sz w:val="20"/>
          <w:szCs w:val="20"/>
        </w:rPr>
        <w:t>Alokpa</w:t>
      </w:r>
      <w:proofErr w:type="spellEnd"/>
      <w:r w:rsidR="00117FC6">
        <w:rPr>
          <w:rFonts w:ascii="Book Antiqua" w:hAnsi="Book Antiqua" w:cs="Arial"/>
          <w:b/>
          <w:sz w:val="20"/>
          <w:szCs w:val="20"/>
        </w:rPr>
        <w:t xml:space="preserve"> v </w:t>
      </w:r>
      <w:proofErr w:type="spellStart"/>
      <w:r w:rsidR="00117FC6">
        <w:rPr>
          <w:rFonts w:ascii="Book Antiqua" w:hAnsi="Book Antiqua" w:cs="Arial"/>
          <w:b/>
          <w:sz w:val="20"/>
          <w:szCs w:val="20"/>
        </w:rPr>
        <w:t>Ministr</w:t>
      </w:r>
      <w:r w:rsidR="00CF2E7B">
        <w:rPr>
          <w:rFonts w:ascii="Book Antiqua" w:hAnsi="Book Antiqua" w:cs="Arial"/>
          <w:b/>
          <w:sz w:val="20"/>
          <w:szCs w:val="20"/>
        </w:rPr>
        <w:t>e</w:t>
      </w:r>
      <w:proofErr w:type="spellEnd"/>
      <w:r w:rsidR="00CF2E7B">
        <w:rPr>
          <w:rFonts w:ascii="Book Antiqua" w:hAnsi="Book Antiqua" w:cs="Arial"/>
          <w:b/>
          <w:sz w:val="20"/>
          <w:szCs w:val="20"/>
        </w:rPr>
        <w:t xml:space="preserve"> du Travail C</w:t>
      </w:r>
      <w:r w:rsidR="00591E8A" w:rsidRPr="009F2772">
        <w:rPr>
          <w:rFonts w:ascii="Book Antiqua" w:hAnsi="Book Antiqua" w:cs="Arial"/>
          <w:b/>
          <w:sz w:val="20"/>
          <w:szCs w:val="20"/>
        </w:rPr>
        <w:t xml:space="preserve">ase </w:t>
      </w:r>
      <w:r w:rsidR="00591E8A" w:rsidRPr="009F2772">
        <w:rPr>
          <w:rFonts w:ascii="Book Antiqua" w:hAnsi="Book Antiqua" w:cs="Arial"/>
          <w:sz w:val="20"/>
          <w:szCs w:val="20"/>
        </w:rPr>
        <w:t xml:space="preserve">C-86/12 CJEU (Second Chamber) in which it was held that when considering, for the purposes of Article 7 of the Citizens Directive, whether an EU citizen had sufficient resources it sufficed that such resources were available to the citizen.  There was no requirement as to the origin of the resources and these could be provided by a national </w:t>
      </w:r>
      <w:r w:rsidRPr="009F2772">
        <w:rPr>
          <w:rFonts w:ascii="Book Antiqua" w:hAnsi="Book Antiqua" w:cs="Arial"/>
          <w:sz w:val="20"/>
          <w:szCs w:val="20"/>
        </w:rPr>
        <w:t xml:space="preserve">of a non-member state.  It is also arguable that the Judge’s finding that comprehensive sickness insurance had to cover visits to the GP and A &amp; E was flawed in the light of the case of </w:t>
      </w:r>
      <w:r w:rsidRPr="009F2772">
        <w:rPr>
          <w:rFonts w:ascii="Book Antiqua" w:hAnsi="Book Antiqua" w:cs="Arial"/>
          <w:b/>
          <w:sz w:val="20"/>
          <w:szCs w:val="20"/>
        </w:rPr>
        <w:t xml:space="preserve">Jobcentre Berlin </w:t>
      </w:r>
      <w:proofErr w:type="spellStart"/>
      <w:r w:rsidRPr="009F2772">
        <w:rPr>
          <w:rFonts w:ascii="Book Antiqua" w:hAnsi="Book Antiqua" w:cs="Arial"/>
          <w:b/>
          <w:sz w:val="20"/>
          <w:szCs w:val="20"/>
        </w:rPr>
        <w:t>Neukölln</w:t>
      </w:r>
      <w:proofErr w:type="spellEnd"/>
      <w:r w:rsidRPr="009F2772">
        <w:rPr>
          <w:rFonts w:ascii="Book Antiqua" w:hAnsi="Book Antiqua" w:cs="Arial"/>
          <w:b/>
          <w:sz w:val="20"/>
          <w:szCs w:val="20"/>
        </w:rPr>
        <w:t xml:space="preserve"> v </w:t>
      </w:r>
      <w:proofErr w:type="spellStart"/>
      <w:r w:rsidRPr="009F2772">
        <w:rPr>
          <w:rFonts w:ascii="Book Antiqua" w:hAnsi="Book Antiqua" w:cs="Arial"/>
          <w:b/>
          <w:sz w:val="20"/>
          <w:szCs w:val="20"/>
        </w:rPr>
        <w:t>Alimanovic</w:t>
      </w:r>
      <w:proofErr w:type="spellEnd"/>
      <w:r w:rsidRPr="009F2772">
        <w:rPr>
          <w:rFonts w:ascii="Book Antiqua" w:hAnsi="Book Antiqua" w:cs="Arial"/>
          <w:b/>
          <w:sz w:val="20"/>
          <w:szCs w:val="20"/>
        </w:rPr>
        <w:t xml:space="preserve"> </w:t>
      </w:r>
      <w:r w:rsidRPr="009F2772">
        <w:rPr>
          <w:rFonts w:ascii="Book Antiqua" w:hAnsi="Book Antiqua" w:cs="Arial"/>
          <w:sz w:val="20"/>
          <w:szCs w:val="20"/>
        </w:rPr>
        <w:t>Case C-67/2.</w:t>
      </w:r>
      <w:r>
        <w:rPr>
          <w:rFonts w:ascii="Book Antiqua" w:hAnsi="Book Antiqua" w:cs="Arial"/>
          <w:sz w:val="20"/>
          <w:szCs w:val="20"/>
        </w:rPr>
        <w:t>”</w:t>
      </w:r>
    </w:p>
    <w:p w14:paraId="4FD6040B" w14:textId="77777777" w:rsidR="00591E8A" w:rsidRDefault="009F2772" w:rsidP="00EA79AF">
      <w:pPr>
        <w:numPr>
          <w:ilvl w:val="0"/>
          <w:numId w:val="1"/>
        </w:numPr>
        <w:tabs>
          <w:tab w:val="clear" w:pos="567"/>
        </w:tabs>
        <w:spacing w:before="240"/>
        <w:jc w:val="both"/>
        <w:rPr>
          <w:rFonts w:ascii="Book Antiqua" w:hAnsi="Book Antiqua" w:cs="Arial"/>
        </w:rPr>
      </w:pPr>
      <w:r>
        <w:rPr>
          <w:rFonts w:ascii="Book Antiqua" w:hAnsi="Book Antiqua" w:cs="Arial"/>
        </w:rPr>
        <w:lastRenderedPageBreak/>
        <w:t>Following directions issued by the Upper Tribunal on 30 May 2018, both parties submitted skeleton arguments addressing the EU law issue</w:t>
      </w:r>
      <w:r w:rsidR="00AF3404">
        <w:rPr>
          <w:rFonts w:ascii="Book Antiqua" w:hAnsi="Book Antiqua" w:cs="Arial"/>
        </w:rPr>
        <w:t>s</w:t>
      </w:r>
      <w:r>
        <w:rPr>
          <w:rFonts w:ascii="Book Antiqua" w:hAnsi="Book Antiqua" w:cs="Arial"/>
        </w:rPr>
        <w:t xml:space="preserve"> raised in this appeal.</w:t>
      </w:r>
    </w:p>
    <w:p w14:paraId="606603B8" w14:textId="77777777" w:rsidR="009F2772" w:rsidRPr="009F2772" w:rsidRDefault="009F2772" w:rsidP="009F2772">
      <w:pPr>
        <w:spacing w:before="240"/>
        <w:jc w:val="both"/>
        <w:rPr>
          <w:rFonts w:ascii="Book Antiqua" w:hAnsi="Book Antiqua" w:cs="Arial"/>
          <w:b/>
          <w:u w:val="single"/>
        </w:rPr>
      </w:pPr>
      <w:r>
        <w:rPr>
          <w:rFonts w:ascii="Book Antiqua" w:hAnsi="Book Antiqua" w:cs="Arial"/>
          <w:b/>
          <w:u w:val="single"/>
        </w:rPr>
        <w:t>The EEA Regulations 2016</w:t>
      </w:r>
    </w:p>
    <w:p w14:paraId="44A98EFF" w14:textId="77777777" w:rsidR="009F2772" w:rsidRPr="00CF2E7B" w:rsidRDefault="009F2772" w:rsidP="0035496A">
      <w:pPr>
        <w:numPr>
          <w:ilvl w:val="0"/>
          <w:numId w:val="1"/>
        </w:numPr>
        <w:tabs>
          <w:tab w:val="clear" w:pos="567"/>
        </w:tabs>
        <w:spacing w:before="240"/>
        <w:ind w:right="566"/>
        <w:jc w:val="both"/>
        <w:rPr>
          <w:rFonts w:ascii="Book Antiqua" w:hAnsi="Book Antiqua" w:cs="Arial"/>
        </w:rPr>
      </w:pPr>
      <w:r w:rsidRPr="00CF2E7B">
        <w:rPr>
          <w:rFonts w:ascii="Book Antiqua" w:hAnsi="Book Antiqua" w:cs="Arial"/>
        </w:rPr>
        <w:t xml:space="preserve">The relevant provisions in the EEA Regulations 2016 are found in </w:t>
      </w:r>
      <w:proofErr w:type="spellStart"/>
      <w:r w:rsidR="00206077">
        <w:rPr>
          <w:rFonts w:ascii="Book Antiqua" w:hAnsi="Book Antiqua" w:cs="Arial"/>
        </w:rPr>
        <w:t>r</w:t>
      </w:r>
      <w:r w:rsidRPr="00CF2E7B">
        <w:rPr>
          <w:rFonts w:ascii="Book Antiqua" w:hAnsi="Book Antiqua" w:cs="Arial"/>
        </w:rPr>
        <w:t>eg</w:t>
      </w:r>
      <w:proofErr w:type="spellEnd"/>
      <w:r w:rsidRPr="00CF2E7B">
        <w:rPr>
          <w:rFonts w:ascii="Book Antiqua" w:hAnsi="Book Antiqua" w:cs="Arial"/>
        </w:rPr>
        <w:t xml:space="preserve"> 16(1), (2) and (5) as follows:</w:t>
      </w:r>
    </w:p>
    <w:p w14:paraId="37DFAEB8" w14:textId="77777777" w:rsidR="009F2772" w:rsidRPr="0035496A" w:rsidRDefault="00EC2828" w:rsidP="00F17538">
      <w:pPr>
        <w:tabs>
          <w:tab w:val="left" w:pos="1134"/>
          <w:tab w:val="left" w:pos="1701"/>
        </w:tabs>
        <w:spacing w:before="240"/>
        <w:ind w:left="2268" w:right="566" w:hanging="1134"/>
        <w:jc w:val="both"/>
        <w:rPr>
          <w:rFonts w:ascii="Book Antiqua" w:hAnsi="Book Antiqua" w:cs="Arial"/>
          <w:sz w:val="20"/>
        </w:rPr>
      </w:pPr>
      <w:r w:rsidRPr="0035496A">
        <w:rPr>
          <w:rFonts w:ascii="Book Antiqua" w:hAnsi="Book Antiqua" w:cs="Arial"/>
          <w:sz w:val="20"/>
        </w:rPr>
        <w:t>“16.</w:t>
      </w:r>
      <w:r w:rsidRPr="0035496A">
        <w:rPr>
          <w:rFonts w:ascii="Book Antiqua" w:hAnsi="Book Antiqua" w:cs="Arial"/>
          <w:sz w:val="20"/>
        </w:rPr>
        <w:tab/>
        <w:t>(1)</w:t>
      </w:r>
      <w:r w:rsidRPr="0035496A">
        <w:rPr>
          <w:rFonts w:ascii="Book Antiqua" w:hAnsi="Book Antiqua" w:cs="Arial"/>
          <w:sz w:val="20"/>
        </w:rPr>
        <w:tab/>
      </w:r>
      <w:r w:rsidR="009F2772" w:rsidRPr="0035496A">
        <w:rPr>
          <w:rFonts w:ascii="Book Antiqua" w:hAnsi="Book Antiqua" w:cs="Arial"/>
          <w:sz w:val="20"/>
        </w:rPr>
        <w:t>A person has a derivative right to reside during any period in which the person—</w:t>
      </w:r>
    </w:p>
    <w:p w14:paraId="1B3E99C5" w14:textId="77777777" w:rsidR="009F2772" w:rsidRPr="0035496A" w:rsidRDefault="009F2772" w:rsidP="00F17538">
      <w:pPr>
        <w:tabs>
          <w:tab w:val="left" w:pos="1701"/>
        </w:tabs>
        <w:spacing w:before="240"/>
        <w:ind w:left="2835" w:right="566" w:hanging="567"/>
        <w:jc w:val="both"/>
        <w:rPr>
          <w:rFonts w:ascii="Book Antiqua" w:hAnsi="Book Antiqua" w:cs="Arial"/>
          <w:sz w:val="20"/>
        </w:rPr>
      </w:pPr>
      <w:r w:rsidRPr="0035496A">
        <w:rPr>
          <w:rFonts w:ascii="Book Antiqua" w:hAnsi="Book Antiqua" w:cs="Arial"/>
          <w:sz w:val="20"/>
        </w:rPr>
        <w:t>(a)</w:t>
      </w:r>
      <w:r w:rsidR="00EC2828" w:rsidRPr="0035496A">
        <w:rPr>
          <w:rFonts w:ascii="Book Antiqua" w:hAnsi="Book Antiqua" w:cs="Arial"/>
          <w:sz w:val="20"/>
        </w:rPr>
        <w:tab/>
      </w:r>
      <w:r w:rsidRPr="0035496A">
        <w:rPr>
          <w:rFonts w:ascii="Book Antiqua" w:hAnsi="Book Antiqua" w:cs="Arial"/>
          <w:sz w:val="20"/>
        </w:rPr>
        <w:t>is not an exempt person; and</w:t>
      </w:r>
    </w:p>
    <w:p w14:paraId="4B9DD4A3" w14:textId="77777777" w:rsidR="009F2772" w:rsidRPr="0035496A" w:rsidRDefault="009F2772" w:rsidP="00F17538">
      <w:pPr>
        <w:tabs>
          <w:tab w:val="left" w:pos="1701"/>
        </w:tabs>
        <w:spacing w:before="240"/>
        <w:ind w:left="2835" w:right="566" w:hanging="567"/>
        <w:jc w:val="both"/>
        <w:rPr>
          <w:rFonts w:ascii="Book Antiqua" w:hAnsi="Book Antiqua" w:cs="Arial"/>
          <w:sz w:val="20"/>
        </w:rPr>
      </w:pPr>
      <w:r w:rsidRPr="0035496A">
        <w:rPr>
          <w:rFonts w:ascii="Book Antiqua" w:hAnsi="Book Antiqua" w:cs="Arial"/>
          <w:sz w:val="20"/>
        </w:rPr>
        <w:t>(b)</w:t>
      </w:r>
      <w:r w:rsidR="00EC2828" w:rsidRPr="0035496A">
        <w:rPr>
          <w:rFonts w:ascii="Book Antiqua" w:hAnsi="Book Antiqua" w:cs="Arial"/>
          <w:sz w:val="20"/>
        </w:rPr>
        <w:tab/>
      </w:r>
      <w:r w:rsidRPr="0035496A">
        <w:rPr>
          <w:rFonts w:ascii="Book Antiqua" w:hAnsi="Book Antiqua" w:cs="Arial"/>
          <w:sz w:val="20"/>
        </w:rPr>
        <w:t>satisfies each of the criteria in one or more of paragraphs (2) to (6).</w:t>
      </w:r>
    </w:p>
    <w:p w14:paraId="00F3424B" w14:textId="77777777" w:rsidR="009F2772" w:rsidRPr="0035496A" w:rsidRDefault="00EC2828" w:rsidP="00F17538">
      <w:pPr>
        <w:tabs>
          <w:tab w:val="left" w:pos="1701"/>
        </w:tabs>
        <w:spacing w:before="240"/>
        <w:ind w:left="1701" w:right="566" w:hanging="567"/>
        <w:jc w:val="both"/>
        <w:rPr>
          <w:rFonts w:ascii="Book Antiqua" w:hAnsi="Book Antiqua" w:cs="Arial"/>
          <w:sz w:val="20"/>
        </w:rPr>
      </w:pPr>
      <w:r w:rsidRPr="0035496A">
        <w:rPr>
          <w:rFonts w:ascii="Book Antiqua" w:hAnsi="Book Antiqua" w:cs="Arial"/>
          <w:sz w:val="20"/>
        </w:rPr>
        <w:tab/>
      </w:r>
      <w:r w:rsidR="009F2772" w:rsidRPr="0035496A">
        <w:rPr>
          <w:rFonts w:ascii="Book Antiqua" w:hAnsi="Book Antiqua" w:cs="Arial"/>
          <w:sz w:val="20"/>
        </w:rPr>
        <w:t xml:space="preserve">(2) </w:t>
      </w:r>
      <w:r w:rsidRPr="0035496A">
        <w:rPr>
          <w:rFonts w:ascii="Book Antiqua" w:hAnsi="Book Antiqua" w:cs="Arial"/>
          <w:sz w:val="20"/>
        </w:rPr>
        <w:tab/>
      </w:r>
      <w:r w:rsidR="009F2772" w:rsidRPr="0035496A">
        <w:rPr>
          <w:rFonts w:ascii="Book Antiqua" w:hAnsi="Book Antiqua" w:cs="Arial"/>
          <w:sz w:val="20"/>
        </w:rPr>
        <w:t>The criteria in this paragraph are that—</w:t>
      </w:r>
    </w:p>
    <w:p w14:paraId="0F42D8E4" w14:textId="77777777" w:rsidR="009F2772" w:rsidRPr="0035496A" w:rsidRDefault="009F2772" w:rsidP="00F17538">
      <w:pPr>
        <w:tabs>
          <w:tab w:val="left" w:pos="1701"/>
        </w:tabs>
        <w:spacing w:before="240"/>
        <w:ind w:left="2835" w:right="566" w:hanging="567"/>
        <w:jc w:val="both"/>
        <w:rPr>
          <w:rFonts w:ascii="Book Antiqua" w:hAnsi="Book Antiqua" w:cs="Arial"/>
          <w:sz w:val="20"/>
        </w:rPr>
      </w:pPr>
      <w:r w:rsidRPr="0035496A">
        <w:rPr>
          <w:rFonts w:ascii="Book Antiqua" w:hAnsi="Book Antiqua" w:cs="Arial"/>
          <w:sz w:val="20"/>
        </w:rPr>
        <w:t>(a)</w:t>
      </w:r>
      <w:r w:rsidR="00EC2828" w:rsidRPr="0035496A">
        <w:rPr>
          <w:rFonts w:ascii="Book Antiqua" w:hAnsi="Book Antiqua" w:cs="Arial"/>
          <w:sz w:val="20"/>
        </w:rPr>
        <w:tab/>
      </w:r>
      <w:r w:rsidRPr="0035496A">
        <w:rPr>
          <w:rFonts w:ascii="Book Antiqua" w:hAnsi="Book Antiqua" w:cs="Arial"/>
          <w:sz w:val="20"/>
        </w:rPr>
        <w:t>the person is the primary carer of an EEA national; and</w:t>
      </w:r>
    </w:p>
    <w:p w14:paraId="12876BAA" w14:textId="77777777" w:rsidR="009F2772" w:rsidRPr="0035496A" w:rsidRDefault="009F2772" w:rsidP="00F17538">
      <w:pPr>
        <w:tabs>
          <w:tab w:val="left" w:pos="1701"/>
        </w:tabs>
        <w:spacing w:before="240"/>
        <w:ind w:left="2835" w:right="566" w:hanging="567"/>
        <w:jc w:val="both"/>
        <w:rPr>
          <w:rFonts w:ascii="Book Antiqua" w:hAnsi="Book Antiqua" w:cs="Arial"/>
          <w:sz w:val="20"/>
        </w:rPr>
      </w:pPr>
      <w:r w:rsidRPr="0035496A">
        <w:rPr>
          <w:rFonts w:ascii="Book Antiqua" w:hAnsi="Book Antiqua" w:cs="Arial"/>
          <w:sz w:val="20"/>
        </w:rPr>
        <w:t>(b)</w:t>
      </w:r>
      <w:r w:rsidR="00EC2828" w:rsidRPr="0035496A">
        <w:rPr>
          <w:rFonts w:ascii="Book Antiqua" w:hAnsi="Book Antiqua" w:cs="Arial"/>
          <w:sz w:val="20"/>
        </w:rPr>
        <w:tab/>
      </w:r>
      <w:r w:rsidRPr="0035496A">
        <w:rPr>
          <w:rFonts w:ascii="Book Antiqua" w:hAnsi="Book Antiqua" w:cs="Arial"/>
          <w:sz w:val="20"/>
        </w:rPr>
        <w:t>the EEA national—</w:t>
      </w:r>
    </w:p>
    <w:p w14:paraId="703A06A6" w14:textId="77777777" w:rsidR="009F2772" w:rsidRPr="0035496A" w:rsidRDefault="009F2772" w:rsidP="00F17538">
      <w:pPr>
        <w:tabs>
          <w:tab w:val="left" w:pos="1701"/>
        </w:tabs>
        <w:spacing w:before="240"/>
        <w:ind w:left="3402" w:right="566" w:hanging="567"/>
        <w:jc w:val="both"/>
        <w:rPr>
          <w:rFonts w:ascii="Book Antiqua" w:hAnsi="Book Antiqua" w:cs="Arial"/>
          <w:sz w:val="20"/>
        </w:rPr>
      </w:pPr>
      <w:r w:rsidRPr="0035496A">
        <w:rPr>
          <w:rFonts w:ascii="Book Antiqua" w:hAnsi="Book Antiqua" w:cs="Arial"/>
          <w:sz w:val="20"/>
        </w:rPr>
        <w:t>(</w:t>
      </w:r>
      <w:proofErr w:type="spellStart"/>
      <w:r w:rsidRPr="0035496A">
        <w:rPr>
          <w:rFonts w:ascii="Book Antiqua" w:hAnsi="Book Antiqua" w:cs="Arial"/>
          <w:sz w:val="20"/>
        </w:rPr>
        <w:t>i</w:t>
      </w:r>
      <w:proofErr w:type="spellEnd"/>
      <w:r w:rsidRPr="0035496A">
        <w:rPr>
          <w:rFonts w:ascii="Book Antiqua" w:hAnsi="Book Antiqua" w:cs="Arial"/>
          <w:sz w:val="20"/>
        </w:rPr>
        <w:t>)</w:t>
      </w:r>
      <w:r w:rsidR="00EC2828" w:rsidRPr="0035496A">
        <w:rPr>
          <w:rFonts w:ascii="Book Antiqua" w:hAnsi="Book Antiqua" w:cs="Arial"/>
          <w:sz w:val="20"/>
        </w:rPr>
        <w:tab/>
      </w:r>
      <w:r w:rsidRPr="0035496A">
        <w:rPr>
          <w:rFonts w:ascii="Book Antiqua" w:hAnsi="Book Antiqua" w:cs="Arial"/>
          <w:sz w:val="20"/>
        </w:rPr>
        <w:t>is under the age of 18;</w:t>
      </w:r>
    </w:p>
    <w:p w14:paraId="7D1E051A" w14:textId="77777777" w:rsidR="009F2772" w:rsidRPr="0035496A" w:rsidRDefault="009F2772" w:rsidP="00F17538">
      <w:pPr>
        <w:tabs>
          <w:tab w:val="left" w:pos="1701"/>
        </w:tabs>
        <w:spacing w:before="240"/>
        <w:ind w:left="3402" w:right="566" w:hanging="567"/>
        <w:jc w:val="both"/>
        <w:rPr>
          <w:rFonts w:ascii="Book Antiqua" w:hAnsi="Book Antiqua" w:cs="Arial"/>
          <w:sz w:val="20"/>
        </w:rPr>
      </w:pPr>
      <w:r w:rsidRPr="0035496A">
        <w:rPr>
          <w:rFonts w:ascii="Book Antiqua" w:hAnsi="Book Antiqua" w:cs="Arial"/>
          <w:sz w:val="20"/>
        </w:rPr>
        <w:t>(ii)</w:t>
      </w:r>
      <w:r w:rsidR="00EC2828" w:rsidRPr="0035496A">
        <w:rPr>
          <w:rFonts w:ascii="Book Antiqua" w:hAnsi="Book Antiqua" w:cs="Arial"/>
          <w:sz w:val="20"/>
        </w:rPr>
        <w:tab/>
      </w:r>
      <w:r w:rsidRPr="0035496A">
        <w:rPr>
          <w:rFonts w:ascii="Book Antiqua" w:hAnsi="Book Antiqua" w:cs="Arial"/>
          <w:sz w:val="20"/>
        </w:rPr>
        <w:t>resides in the United Kingdom as a self-sufficient person; and</w:t>
      </w:r>
    </w:p>
    <w:p w14:paraId="03B6A32C" w14:textId="77777777" w:rsidR="009F2772" w:rsidRPr="0035496A" w:rsidRDefault="009F2772" w:rsidP="00F17538">
      <w:pPr>
        <w:tabs>
          <w:tab w:val="left" w:pos="1701"/>
        </w:tabs>
        <w:spacing w:before="240"/>
        <w:ind w:left="3402" w:right="566" w:hanging="567"/>
        <w:jc w:val="both"/>
        <w:rPr>
          <w:rFonts w:ascii="Book Antiqua" w:hAnsi="Book Antiqua" w:cs="Arial"/>
          <w:sz w:val="20"/>
        </w:rPr>
      </w:pPr>
      <w:r w:rsidRPr="0035496A">
        <w:rPr>
          <w:rFonts w:ascii="Book Antiqua" w:hAnsi="Book Antiqua" w:cs="Arial"/>
          <w:sz w:val="20"/>
        </w:rPr>
        <w:t>(iii)</w:t>
      </w:r>
      <w:r w:rsidR="00EC2828" w:rsidRPr="0035496A">
        <w:rPr>
          <w:rFonts w:ascii="Book Antiqua" w:hAnsi="Book Antiqua" w:cs="Arial"/>
          <w:sz w:val="20"/>
        </w:rPr>
        <w:tab/>
      </w:r>
      <w:r w:rsidRPr="0035496A">
        <w:rPr>
          <w:rFonts w:ascii="Book Antiqua" w:hAnsi="Book Antiqua" w:cs="Arial"/>
          <w:sz w:val="20"/>
        </w:rPr>
        <w:t>would be unable to remain in the United Kingdom if the person left the United Kingdom for an indefinite period.</w:t>
      </w:r>
    </w:p>
    <w:p w14:paraId="109E71AE" w14:textId="77777777" w:rsidR="00EC2828" w:rsidRPr="0035496A" w:rsidRDefault="00EC2828" w:rsidP="00F17538">
      <w:pPr>
        <w:tabs>
          <w:tab w:val="left" w:pos="1134"/>
          <w:tab w:val="left" w:pos="1701"/>
        </w:tabs>
        <w:spacing w:before="240"/>
        <w:ind w:left="567" w:right="566"/>
        <w:jc w:val="both"/>
        <w:rPr>
          <w:rFonts w:ascii="Book Antiqua" w:hAnsi="Book Antiqua" w:cs="Arial"/>
          <w:sz w:val="20"/>
        </w:rPr>
      </w:pPr>
      <w:r w:rsidRPr="0035496A">
        <w:rPr>
          <w:rFonts w:ascii="Book Antiqua" w:hAnsi="Book Antiqua" w:cs="Arial"/>
          <w:sz w:val="20"/>
        </w:rPr>
        <w:tab/>
      </w:r>
      <w:r w:rsidR="00AE028B">
        <w:rPr>
          <w:rFonts w:ascii="Book Antiqua" w:hAnsi="Book Antiqua" w:cs="Arial"/>
          <w:sz w:val="20"/>
        </w:rPr>
        <w:tab/>
      </w:r>
      <w:r w:rsidR="00AE028B">
        <w:rPr>
          <w:rFonts w:ascii="Book Antiqua" w:hAnsi="Book Antiqua" w:cs="Arial"/>
          <w:sz w:val="20"/>
        </w:rPr>
        <w:tab/>
      </w:r>
      <w:r w:rsidRPr="0035496A">
        <w:rPr>
          <w:rFonts w:ascii="Book Antiqua" w:hAnsi="Book Antiqua" w:cs="Arial"/>
          <w:sz w:val="20"/>
        </w:rPr>
        <w:t>….</w:t>
      </w:r>
    </w:p>
    <w:p w14:paraId="297BD782" w14:textId="77777777" w:rsidR="009F2772" w:rsidRPr="0035496A" w:rsidRDefault="00EC2828" w:rsidP="00F17538">
      <w:pPr>
        <w:tabs>
          <w:tab w:val="left" w:pos="567"/>
          <w:tab w:val="left" w:pos="1134"/>
          <w:tab w:val="left" w:pos="1701"/>
        </w:tabs>
        <w:spacing w:before="240"/>
        <w:ind w:left="567" w:right="566"/>
        <w:jc w:val="both"/>
        <w:rPr>
          <w:rFonts w:ascii="Book Antiqua" w:hAnsi="Book Antiqua" w:cs="Arial"/>
          <w:sz w:val="20"/>
        </w:rPr>
      </w:pPr>
      <w:r w:rsidRPr="0035496A">
        <w:rPr>
          <w:rFonts w:ascii="Book Antiqua" w:hAnsi="Book Antiqua" w:cs="Arial"/>
          <w:sz w:val="20"/>
        </w:rPr>
        <w:tab/>
      </w:r>
      <w:r w:rsidRPr="0035496A">
        <w:rPr>
          <w:rFonts w:ascii="Book Antiqua" w:hAnsi="Book Antiqua" w:cs="Arial"/>
          <w:sz w:val="20"/>
        </w:rPr>
        <w:tab/>
      </w:r>
      <w:r w:rsidR="009F2772" w:rsidRPr="0035496A">
        <w:rPr>
          <w:rFonts w:ascii="Book Antiqua" w:hAnsi="Book Antiqua" w:cs="Arial"/>
          <w:sz w:val="20"/>
        </w:rPr>
        <w:t xml:space="preserve">(5) </w:t>
      </w:r>
      <w:r w:rsidRPr="0035496A">
        <w:rPr>
          <w:rFonts w:ascii="Book Antiqua" w:hAnsi="Book Antiqua" w:cs="Arial"/>
          <w:sz w:val="20"/>
        </w:rPr>
        <w:tab/>
      </w:r>
      <w:r w:rsidR="009F2772" w:rsidRPr="0035496A">
        <w:rPr>
          <w:rFonts w:ascii="Book Antiqua" w:hAnsi="Book Antiqua" w:cs="Arial"/>
          <w:sz w:val="20"/>
        </w:rPr>
        <w:t>The criteria in this paragraph are that—</w:t>
      </w:r>
    </w:p>
    <w:p w14:paraId="0F077204" w14:textId="77777777" w:rsidR="009F2772" w:rsidRPr="0035496A" w:rsidRDefault="009F2772" w:rsidP="00F17538">
      <w:pPr>
        <w:tabs>
          <w:tab w:val="left" w:pos="1701"/>
        </w:tabs>
        <w:spacing w:before="240"/>
        <w:ind w:left="2835" w:right="566" w:hanging="567"/>
        <w:jc w:val="both"/>
        <w:rPr>
          <w:rFonts w:ascii="Book Antiqua" w:hAnsi="Book Antiqua" w:cs="Arial"/>
          <w:sz w:val="20"/>
        </w:rPr>
      </w:pPr>
      <w:r w:rsidRPr="0035496A">
        <w:rPr>
          <w:rFonts w:ascii="Book Antiqua" w:hAnsi="Book Antiqua" w:cs="Arial"/>
          <w:sz w:val="20"/>
        </w:rPr>
        <w:t>(a)</w:t>
      </w:r>
      <w:r w:rsidR="00EC2828" w:rsidRPr="0035496A">
        <w:rPr>
          <w:rFonts w:ascii="Book Antiqua" w:hAnsi="Book Antiqua" w:cs="Arial"/>
          <w:sz w:val="20"/>
        </w:rPr>
        <w:tab/>
      </w:r>
      <w:r w:rsidRPr="0035496A">
        <w:rPr>
          <w:rFonts w:ascii="Book Antiqua" w:hAnsi="Book Antiqua" w:cs="Arial"/>
          <w:sz w:val="20"/>
        </w:rPr>
        <w:t>the person is the prima</w:t>
      </w:r>
      <w:r w:rsidR="00EC2828" w:rsidRPr="0035496A">
        <w:rPr>
          <w:rFonts w:ascii="Book Antiqua" w:hAnsi="Book Antiqua" w:cs="Arial"/>
          <w:sz w:val="20"/>
        </w:rPr>
        <w:t>ry carer of a British citizen (‘BC’</w:t>
      </w:r>
      <w:r w:rsidRPr="0035496A">
        <w:rPr>
          <w:rFonts w:ascii="Book Antiqua" w:hAnsi="Book Antiqua" w:cs="Arial"/>
          <w:sz w:val="20"/>
        </w:rPr>
        <w:t>);</w:t>
      </w:r>
    </w:p>
    <w:p w14:paraId="2BADCA7D" w14:textId="77777777" w:rsidR="009F2772" w:rsidRPr="0035496A" w:rsidRDefault="009F2772" w:rsidP="00F17538">
      <w:pPr>
        <w:tabs>
          <w:tab w:val="left" w:pos="1701"/>
        </w:tabs>
        <w:spacing w:before="240"/>
        <w:ind w:left="2835" w:right="566" w:hanging="567"/>
        <w:jc w:val="both"/>
        <w:rPr>
          <w:rFonts w:ascii="Book Antiqua" w:hAnsi="Book Antiqua" w:cs="Arial"/>
          <w:sz w:val="20"/>
        </w:rPr>
      </w:pPr>
      <w:r w:rsidRPr="0035496A">
        <w:rPr>
          <w:rFonts w:ascii="Book Antiqua" w:hAnsi="Book Antiqua" w:cs="Arial"/>
          <w:sz w:val="20"/>
        </w:rPr>
        <w:t>(b)</w:t>
      </w:r>
      <w:r w:rsidR="00EC2828" w:rsidRPr="0035496A">
        <w:rPr>
          <w:rFonts w:ascii="Book Antiqua" w:hAnsi="Book Antiqua" w:cs="Arial"/>
          <w:sz w:val="20"/>
        </w:rPr>
        <w:tab/>
      </w:r>
      <w:r w:rsidRPr="0035496A">
        <w:rPr>
          <w:rFonts w:ascii="Book Antiqua" w:hAnsi="Book Antiqua" w:cs="Arial"/>
          <w:sz w:val="20"/>
        </w:rPr>
        <w:t>BC is residing in the United Kingdom; and</w:t>
      </w:r>
    </w:p>
    <w:p w14:paraId="453DD861" w14:textId="77777777" w:rsidR="009F2772" w:rsidRPr="0035496A" w:rsidRDefault="009F2772" w:rsidP="00F17538">
      <w:pPr>
        <w:tabs>
          <w:tab w:val="left" w:pos="1701"/>
        </w:tabs>
        <w:spacing w:before="240"/>
        <w:ind w:left="2835" w:right="566" w:hanging="567"/>
        <w:jc w:val="both"/>
        <w:rPr>
          <w:rFonts w:ascii="Book Antiqua" w:hAnsi="Book Antiqua" w:cs="Arial"/>
          <w:sz w:val="20"/>
        </w:rPr>
      </w:pPr>
      <w:r w:rsidRPr="0035496A">
        <w:rPr>
          <w:rFonts w:ascii="Book Antiqua" w:hAnsi="Book Antiqua" w:cs="Arial"/>
          <w:sz w:val="20"/>
        </w:rPr>
        <w:t>(c)</w:t>
      </w:r>
      <w:r w:rsidR="00EC2828" w:rsidRPr="0035496A">
        <w:rPr>
          <w:rFonts w:ascii="Book Antiqua" w:hAnsi="Book Antiqua" w:cs="Arial"/>
          <w:sz w:val="20"/>
        </w:rPr>
        <w:tab/>
      </w:r>
      <w:r w:rsidRPr="0035496A">
        <w:rPr>
          <w:rFonts w:ascii="Book Antiqua" w:hAnsi="Book Antiqua" w:cs="Arial"/>
          <w:sz w:val="20"/>
        </w:rPr>
        <w:t>BC would be unable to reside in the United Kingdom or in another EEA State if the person left the United Kingdom for an indefinite period.</w:t>
      </w:r>
      <w:r w:rsidR="00EC2828" w:rsidRPr="0035496A">
        <w:rPr>
          <w:rFonts w:ascii="Book Antiqua" w:hAnsi="Book Antiqua" w:cs="Arial"/>
          <w:sz w:val="20"/>
        </w:rPr>
        <w:t>”</w:t>
      </w:r>
    </w:p>
    <w:p w14:paraId="70A2D934" w14:textId="77777777" w:rsidR="0035496A" w:rsidRDefault="00EC2828" w:rsidP="00EA79AF">
      <w:pPr>
        <w:numPr>
          <w:ilvl w:val="0"/>
          <w:numId w:val="1"/>
        </w:numPr>
        <w:tabs>
          <w:tab w:val="clear" w:pos="567"/>
        </w:tabs>
        <w:spacing w:before="240"/>
        <w:jc w:val="both"/>
        <w:rPr>
          <w:rFonts w:ascii="Book Antiqua" w:hAnsi="Book Antiqua" w:cs="Arial"/>
        </w:rPr>
      </w:pPr>
      <w:r>
        <w:rPr>
          <w:rFonts w:ascii="Book Antiqua" w:hAnsi="Book Antiqua" w:cs="Arial"/>
        </w:rPr>
        <w:t xml:space="preserve">For the purposes of </w:t>
      </w:r>
      <w:proofErr w:type="spellStart"/>
      <w:r w:rsidR="0075228D">
        <w:rPr>
          <w:rFonts w:ascii="Book Antiqua" w:hAnsi="Book Antiqua" w:cs="Arial"/>
        </w:rPr>
        <w:t>r</w:t>
      </w:r>
      <w:r>
        <w:rPr>
          <w:rFonts w:ascii="Book Antiqua" w:hAnsi="Book Antiqua" w:cs="Arial"/>
        </w:rPr>
        <w:t>eg</w:t>
      </w:r>
      <w:proofErr w:type="spellEnd"/>
      <w:r>
        <w:rPr>
          <w:rFonts w:ascii="Book Antiqua" w:hAnsi="Book Antiqua" w:cs="Arial"/>
        </w:rPr>
        <w:t xml:space="preserve"> 16(2) a “self-sufficient person” is defined in </w:t>
      </w:r>
      <w:proofErr w:type="spellStart"/>
      <w:r w:rsidR="0075228D">
        <w:rPr>
          <w:rFonts w:ascii="Book Antiqua" w:hAnsi="Book Antiqua" w:cs="Arial"/>
        </w:rPr>
        <w:t>r</w:t>
      </w:r>
      <w:r>
        <w:rPr>
          <w:rFonts w:ascii="Book Antiqua" w:hAnsi="Book Antiqua" w:cs="Arial"/>
        </w:rPr>
        <w:t>eg</w:t>
      </w:r>
      <w:proofErr w:type="spellEnd"/>
      <w:r>
        <w:rPr>
          <w:rFonts w:ascii="Book Antiqua" w:hAnsi="Book Antiqua" w:cs="Arial"/>
        </w:rPr>
        <w:t xml:space="preserve"> 4(1)(c) as follows: </w:t>
      </w:r>
    </w:p>
    <w:p w14:paraId="3273832C" w14:textId="77777777" w:rsidR="0035496A" w:rsidRPr="0035496A" w:rsidRDefault="0035496A" w:rsidP="000A0B1F">
      <w:pPr>
        <w:spacing w:before="240"/>
        <w:ind w:left="567" w:right="566" w:firstLine="567"/>
        <w:jc w:val="both"/>
        <w:rPr>
          <w:rFonts w:ascii="Book Antiqua" w:hAnsi="Book Antiqua" w:cs="Arial"/>
          <w:sz w:val="20"/>
          <w:szCs w:val="20"/>
        </w:rPr>
      </w:pPr>
      <w:r w:rsidRPr="0035496A">
        <w:rPr>
          <w:rFonts w:ascii="Book Antiqua" w:hAnsi="Book Antiqua" w:cs="Arial"/>
          <w:sz w:val="20"/>
          <w:szCs w:val="20"/>
        </w:rPr>
        <w:t>“’self-sufficient person’ means a person who has –</w:t>
      </w:r>
    </w:p>
    <w:p w14:paraId="147BFC63" w14:textId="77777777" w:rsidR="0035496A" w:rsidRPr="0035496A" w:rsidRDefault="0035496A" w:rsidP="000A0B1F">
      <w:pPr>
        <w:spacing w:before="240"/>
        <w:ind w:left="2268" w:right="566" w:hanging="567"/>
        <w:jc w:val="both"/>
        <w:rPr>
          <w:rFonts w:ascii="Book Antiqua" w:hAnsi="Book Antiqua" w:cs="Arial"/>
          <w:sz w:val="20"/>
          <w:szCs w:val="20"/>
        </w:rPr>
      </w:pPr>
      <w:r w:rsidRPr="0035496A">
        <w:rPr>
          <w:rFonts w:ascii="Book Antiqua" w:hAnsi="Book Antiqua" w:cs="Arial"/>
          <w:sz w:val="20"/>
          <w:szCs w:val="20"/>
        </w:rPr>
        <w:t>(</w:t>
      </w:r>
      <w:proofErr w:type="spellStart"/>
      <w:r w:rsidRPr="0035496A">
        <w:rPr>
          <w:rFonts w:ascii="Book Antiqua" w:hAnsi="Book Antiqua" w:cs="Arial"/>
          <w:sz w:val="20"/>
          <w:szCs w:val="20"/>
        </w:rPr>
        <w:t>i</w:t>
      </w:r>
      <w:proofErr w:type="spellEnd"/>
      <w:r w:rsidRPr="0035496A">
        <w:rPr>
          <w:rFonts w:ascii="Book Antiqua" w:hAnsi="Book Antiqua" w:cs="Arial"/>
          <w:sz w:val="20"/>
          <w:szCs w:val="20"/>
        </w:rPr>
        <w:t>)</w:t>
      </w:r>
      <w:r w:rsidRPr="0035496A">
        <w:rPr>
          <w:rFonts w:ascii="Book Antiqua" w:hAnsi="Book Antiqua" w:cs="Arial"/>
          <w:sz w:val="20"/>
          <w:szCs w:val="20"/>
        </w:rPr>
        <w:tab/>
        <w:t>sufficient resources not to become a burden on the social assistance system of the United Kingdom during the person’s period of residence; and</w:t>
      </w:r>
    </w:p>
    <w:p w14:paraId="738E2DCA" w14:textId="77777777" w:rsidR="0035496A" w:rsidRDefault="0035496A" w:rsidP="000A0B1F">
      <w:pPr>
        <w:spacing w:before="240"/>
        <w:ind w:left="1701" w:right="566"/>
        <w:jc w:val="both"/>
        <w:rPr>
          <w:rFonts w:ascii="Book Antiqua" w:hAnsi="Book Antiqua" w:cs="Arial"/>
          <w:sz w:val="22"/>
        </w:rPr>
      </w:pPr>
      <w:r w:rsidRPr="0035496A">
        <w:rPr>
          <w:rFonts w:ascii="Book Antiqua" w:hAnsi="Book Antiqua" w:cs="Arial"/>
          <w:sz w:val="20"/>
          <w:szCs w:val="20"/>
        </w:rPr>
        <w:t>(ii)</w:t>
      </w:r>
      <w:r w:rsidRPr="0035496A">
        <w:rPr>
          <w:rFonts w:ascii="Book Antiqua" w:hAnsi="Book Antiqua" w:cs="Arial"/>
          <w:sz w:val="20"/>
          <w:szCs w:val="20"/>
        </w:rPr>
        <w:tab/>
        <w:t>comprehensive sickness insurance cover in the United Kingdom; …”</w:t>
      </w:r>
    </w:p>
    <w:p w14:paraId="307F97B1" w14:textId="77777777" w:rsidR="0035496A" w:rsidRPr="0035496A" w:rsidRDefault="0035496A" w:rsidP="005723BB">
      <w:pPr>
        <w:keepNext/>
        <w:spacing w:before="240"/>
        <w:jc w:val="both"/>
        <w:rPr>
          <w:rFonts w:ascii="Book Antiqua" w:hAnsi="Book Antiqua" w:cs="Arial"/>
          <w:b/>
          <w:u w:val="single"/>
        </w:rPr>
      </w:pPr>
      <w:r>
        <w:rPr>
          <w:rFonts w:ascii="Book Antiqua" w:hAnsi="Book Antiqua" w:cs="Arial"/>
          <w:b/>
          <w:u w:val="single"/>
        </w:rPr>
        <w:lastRenderedPageBreak/>
        <w:t>Discussion</w:t>
      </w:r>
    </w:p>
    <w:p w14:paraId="29EB3E23" w14:textId="77777777" w:rsidR="009F2772" w:rsidRDefault="0035496A" w:rsidP="005723BB">
      <w:pPr>
        <w:keepNext/>
        <w:numPr>
          <w:ilvl w:val="0"/>
          <w:numId w:val="1"/>
        </w:numPr>
        <w:tabs>
          <w:tab w:val="clear" w:pos="567"/>
        </w:tabs>
        <w:spacing w:before="240"/>
        <w:jc w:val="both"/>
        <w:rPr>
          <w:rFonts w:ascii="Book Antiqua" w:hAnsi="Book Antiqua" w:cs="Arial"/>
        </w:rPr>
      </w:pPr>
      <w:r>
        <w:rPr>
          <w:rFonts w:ascii="Book Antiqua" w:hAnsi="Book Antiqua" w:cs="Arial"/>
        </w:rPr>
        <w:t>Before the judge, it is clear that the appellant</w:t>
      </w:r>
      <w:r w:rsidR="005723BB">
        <w:rPr>
          <w:rFonts w:ascii="Book Antiqua" w:hAnsi="Book Antiqua" w:cs="Arial"/>
        </w:rPr>
        <w:t xml:space="preserve"> only relied</w:t>
      </w:r>
      <w:r>
        <w:rPr>
          <w:rFonts w:ascii="Book Antiqua" w:hAnsi="Book Antiqua" w:cs="Arial"/>
        </w:rPr>
        <w:t xml:space="preserve"> upon a “derivative right to reside” as set out in </w:t>
      </w:r>
      <w:proofErr w:type="spellStart"/>
      <w:r w:rsidR="0075228D">
        <w:rPr>
          <w:rFonts w:ascii="Book Antiqua" w:hAnsi="Book Antiqua" w:cs="Arial"/>
        </w:rPr>
        <w:t>r</w:t>
      </w:r>
      <w:r>
        <w:rPr>
          <w:rFonts w:ascii="Book Antiqua" w:hAnsi="Book Antiqua" w:cs="Arial"/>
        </w:rPr>
        <w:t>eg</w:t>
      </w:r>
      <w:proofErr w:type="spellEnd"/>
      <w:r>
        <w:rPr>
          <w:rFonts w:ascii="Book Antiqua" w:hAnsi="Book Antiqua" w:cs="Arial"/>
        </w:rPr>
        <w:t xml:space="preserve"> 16(2).  This provision sets out, in effect, in </w:t>
      </w:r>
      <w:r w:rsidR="0072026B">
        <w:rPr>
          <w:rFonts w:ascii="Book Antiqua" w:hAnsi="Book Antiqua" w:cs="Arial"/>
        </w:rPr>
        <w:t xml:space="preserve">UK </w:t>
      </w:r>
      <w:r>
        <w:rPr>
          <w:rFonts w:ascii="Book Antiqua" w:hAnsi="Book Antiqua" w:cs="Arial"/>
        </w:rPr>
        <w:t xml:space="preserve">domestic law the effect of the ECJ’s decision in </w:t>
      </w:r>
      <w:r w:rsidR="005723BB">
        <w:rPr>
          <w:rFonts w:ascii="Book Antiqua" w:hAnsi="Book Antiqua" w:cs="Arial"/>
          <w:u w:val="single"/>
        </w:rPr>
        <w:t xml:space="preserve">Chen and </w:t>
      </w:r>
      <w:r w:rsidR="00CD21D8">
        <w:rPr>
          <w:rFonts w:ascii="Book Antiqua" w:hAnsi="Book Antiqua" w:cs="Arial"/>
          <w:u w:val="single"/>
        </w:rPr>
        <w:t>Z</w:t>
      </w:r>
      <w:r w:rsidR="005723BB">
        <w:rPr>
          <w:rFonts w:ascii="Book Antiqua" w:hAnsi="Book Antiqua" w:cs="Arial"/>
          <w:u w:val="single"/>
        </w:rPr>
        <w:t>h</w:t>
      </w:r>
      <w:r>
        <w:rPr>
          <w:rFonts w:ascii="Book Antiqua" w:hAnsi="Book Antiqua" w:cs="Arial"/>
          <w:u w:val="single"/>
        </w:rPr>
        <w:t>u</w:t>
      </w:r>
      <w:r>
        <w:rPr>
          <w:rFonts w:ascii="Book Antiqua" w:hAnsi="Book Antiqua" w:cs="Arial"/>
        </w:rPr>
        <w:t xml:space="preserve"> (Case C-200/02) [2004] </w:t>
      </w:r>
      <w:proofErr w:type="spellStart"/>
      <w:r>
        <w:rPr>
          <w:rFonts w:ascii="Book Antiqua" w:hAnsi="Book Antiqua" w:cs="Arial"/>
        </w:rPr>
        <w:t>Imm</w:t>
      </w:r>
      <w:proofErr w:type="spellEnd"/>
      <w:r>
        <w:rPr>
          <w:rFonts w:ascii="Book Antiqua" w:hAnsi="Book Antiqua" w:cs="Arial"/>
        </w:rPr>
        <w:t xml:space="preserve"> AR 754.</w:t>
      </w:r>
    </w:p>
    <w:p w14:paraId="40BBA094" w14:textId="77777777" w:rsidR="0035496A" w:rsidRDefault="0035496A" w:rsidP="00EA79AF">
      <w:pPr>
        <w:numPr>
          <w:ilvl w:val="0"/>
          <w:numId w:val="1"/>
        </w:numPr>
        <w:tabs>
          <w:tab w:val="clear" w:pos="567"/>
        </w:tabs>
        <w:spacing w:before="240"/>
        <w:jc w:val="both"/>
        <w:rPr>
          <w:rFonts w:ascii="Book Antiqua" w:hAnsi="Book Antiqua" w:cs="Arial"/>
        </w:rPr>
      </w:pPr>
      <w:r>
        <w:rPr>
          <w:rFonts w:ascii="Book Antiqua" w:hAnsi="Book Antiqua" w:cs="Arial"/>
        </w:rPr>
        <w:t>The crucial issue</w:t>
      </w:r>
      <w:r w:rsidR="004503DB">
        <w:rPr>
          <w:rFonts w:ascii="Book Antiqua" w:hAnsi="Book Antiqua" w:cs="Arial"/>
        </w:rPr>
        <w:t>s</w:t>
      </w:r>
      <w:r>
        <w:rPr>
          <w:rFonts w:ascii="Book Antiqua" w:hAnsi="Book Antiqua" w:cs="Arial"/>
        </w:rPr>
        <w:t xml:space="preserve"> in dispute </w:t>
      </w:r>
      <w:r w:rsidR="004503DB">
        <w:rPr>
          <w:rFonts w:ascii="Book Antiqua" w:hAnsi="Book Antiqua" w:cs="Arial"/>
        </w:rPr>
        <w:t>are</w:t>
      </w:r>
      <w:r>
        <w:rPr>
          <w:rFonts w:ascii="Book Antiqua" w:hAnsi="Book Antiqua" w:cs="Arial"/>
        </w:rPr>
        <w:t xml:space="preserve"> whether the appellant as D’s “primary carer” established that he was a “self-sufficient person” based upon her income derived from employment in the UK and that D had “comprehensive sickness insurance”.</w:t>
      </w:r>
    </w:p>
    <w:p w14:paraId="790C1BC3" w14:textId="77777777" w:rsidR="00877033" w:rsidRPr="0069040D" w:rsidRDefault="0069040D" w:rsidP="00877033">
      <w:pPr>
        <w:spacing w:before="240"/>
        <w:ind w:left="567"/>
        <w:jc w:val="both"/>
        <w:rPr>
          <w:rFonts w:ascii="Book Antiqua" w:hAnsi="Book Antiqua" w:cs="Arial"/>
          <w:i/>
        </w:rPr>
      </w:pPr>
      <w:r w:rsidRPr="0069040D">
        <w:rPr>
          <w:rFonts w:ascii="Book Antiqua" w:hAnsi="Book Antiqua" w:cs="Arial"/>
          <w:i/>
        </w:rPr>
        <w:t xml:space="preserve">Resources </w:t>
      </w:r>
      <w:r w:rsidR="00897BD7">
        <w:rPr>
          <w:rFonts w:ascii="Book Antiqua" w:hAnsi="Book Antiqua" w:cs="Arial"/>
          <w:i/>
        </w:rPr>
        <w:t>and</w:t>
      </w:r>
      <w:r w:rsidRPr="0069040D">
        <w:rPr>
          <w:rFonts w:ascii="Book Antiqua" w:hAnsi="Book Antiqua" w:cs="Arial"/>
          <w:i/>
        </w:rPr>
        <w:t xml:space="preserve"> self-sufficiency</w:t>
      </w:r>
    </w:p>
    <w:p w14:paraId="60920B6A" w14:textId="77777777" w:rsidR="004503DB" w:rsidRDefault="0035496A" w:rsidP="004A278D">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accepted that the appellant’s income was “quantitatively sufficient” but could not be taken into account in order to establish </w:t>
      </w:r>
      <w:r w:rsidR="005723BB">
        <w:rPr>
          <w:rFonts w:ascii="Book Antiqua" w:hAnsi="Book Antiqua" w:cs="Arial"/>
        </w:rPr>
        <w:t>D’s</w:t>
      </w:r>
      <w:r>
        <w:rPr>
          <w:rFonts w:ascii="Book Antiqua" w:hAnsi="Book Antiqua" w:cs="Arial"/>
        </w:rPr>
        <w:t xml:space="preserve"> right</w:t>
      </w:r>
      <w:r w:rsidR="005723BB">
        <w:rPr>
          <w:rFonts w:ascii="Book Antiqua" w:hAnsi="Book Antiqua" w:cs="Arial"/>
        </w:rPr>
        <w:t>s</w:t>
      </w:r>
      <w:r>
        <w:rPr>
          <w:rFonts w:ascii="Book Antiqua" w:hAnsi="Book Antiqua" w:cs="Arial"/>
        </w:rPr>
        <w:t xml:space="preserve"> based upon “self-sufficiency” since it produced a “circular argument” because ([26]): </w:t>
      </w:r>
    </w:p>
    <w:p w14:paraId="5DCCB9D9" w14:textId="77777777" w:rsidR="0035496A" w:rsidRPr="004503DB" w:rsidRDefault="004A278D" w:rsidP="004503DB">
      <w:pPr>
        <w:spacing w:before="240"/>
        <w:ind w:left="1134" w:right="566"/>
        <w:jc w:val="both"/>
        <w:rPr>
          <w:rFonts w:ascii="Book Antiqua" w:hAnsi="Book Antiqua" w:cs="Arial"/>
          <w:sz w:val="20"/>
          <w:szCs w:val="20"/>
        </w:rPr>
      </w:pPr>
      <w:r w:rsidRPr="004503DB">
        <w:rPr>
          <w:rFonts w:ascii="Book Antiqua" w:hAnsi="Book Antiqua" w:cs="Arial"/>
          <w:sz w:val="20"/>
          <w:szCs w:val="20"/>
        </w:rPr>
        <w:t>“</w:t>
      </w:r>
      <w:r w:rsidR="0035496A" w:rsidRPr="004503DB">
        <w:rPr>
          <w:rFonts w:ascii="Book Antiqua" w:hAnsi="Book Antiqua" w:cs="Arial"/>
          <w:sz w:val="20"/>
          <w:szCs w:val="20"/>
        </w:rPr>
        <w:t>I find that reliance cannot be placed on the appellant’s earnings in the UK to establish that [D] is self-sufficient and has a right to reside in the UK.  He has no right from which the appellant claim to derive her own right to be here and to work.</w:t>
      </w:r>
      <w:r w:rsidRPr="004503DB">
        <w:rPr>
          <w:rFonts w:ascii="Book Antiqua" w:hAnsi="Book Antiqua" w:cs="Arial"/>
          <w:sz w:val="20"/>
          <w:szCs w:val="20"/>
        </w:rPr>
        <w:t>”</w:t>
      </w:r>
    </w:p>
    <w:p w14:paraId="12029998" w14:textId="77777777" w:rsidR="004A278D" w:rsidRDefault="004A278D" w:rsidP="004A278D">
      <w:pPr>
        <w:numPr>
          <w:ilvl w:val="0"/>
          <w:numId w:val="1"/>
        </w:numPr>
        <w:tabs>
          <w:tab w:val="clear" w:pos="567"/>
        </w:tabs>
        <w:spacing w:before="240"/>
        <w:jc w:val="both"/>
        <w:rPr>
          <w:rFonts w:ascii="Book Antiqua" w:hAnsi="Book Antiqua" w:cs="Arial"/>
        </w:rPr>
      </w:pPr>
      <w:r>
        <w:rPr>
          <w:rFonts w:ascii="Book Antiqua" w:hAnsi="Book Antiqua" w:cs="Arial"/>
        </w:rPr>
        <w:t xml:space="preserve">In support of that conclusion, the judge relied upon earlier decisions of the Asylum and Immigration Tribunal in </w:t>
      </w:r>
      <w:r w:rsidRPr="004A278D">
        <w:rPr>
          <w:rFonts w:ascii="Book Antiqua" w:hAnsi="Book Antiqua" w:cs="Arial"/>
          <w:u w:val="single"/>
        </w:rPr>
        <w:t>GM and AM</w:t>
      </w:r>
      <w:r>
        <w:rPr>
          <w:rFonts w:ascii="Book Antiqua" w:hAnsi="Book Antiqua" w:cs="Arial"/>
        </w:rPr>
        <w:t xml:space="preserve"> [2006] UKAIT 59 and </w:t>
      </w:r>
      <w:r>
        <w:rPr>
          <w:rFonts w:ascii="Book Antiqua" w:hAnsi="Book Antiqua" w:cs="Arial"/>
          <w:u w:val="single"/>
        </w:rPr>
        <w:t>MA</w:t>
      </w:r>
      <w:r>
        <w:rPr>
          <w:rFonts w:ascii="Book Antiqua" w:hAnsi="Book Antiqua" w:cs="Arial"/>
        </w:rPr>
        <w:t xml:space="preserve"> [2006] UKAIT 90.</w:t>
      </w:r>
    </w:p>
    <w:p w14:paraId="08CB14F1" w14:textId="77777777" w:rsidR="006A69A3" w:rsidRDefault="004A278D" w:rsidP="006A69A3">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McVeety</w:t>
      </w:r>
      <w:proofErr w:type="spellEnd"/>
      <w:r>
        <w:rPr>
          <w:rFonts w:ascii="Book Antiqua" w:hAnsi="Book Antiqua" w:cs="Arial"/>
        </w:rPr>
        <w:t xml:space="preserve">, who represented the respondent, both in his skeleton argument and oral submissions maintained that the judge was correct.  He submitted that at the date of the appellant’s application, she had no right to work, even though the Secretary of State has subsequently issued the appellant with a Certificate of Application (“COA”) on 13 September 2017 which entitled her to work.  Mr </w:t>
      </w:r>
      <w:proofErr w:type="spellStart"/>
      <w:r>
        <w:rPr>
          <w:rFonts w:ascii="Book Antiqua" w:hAnsi="Book Antiqua" w:cs="Arial"/>
        </w:rPr>
        <w:t>McVeety</w:t>
      </w:r>
      <w:proofErr w:type="spellEnd"/>
      <w:r>
        <w:rPr>
          <w:rFonts w:ascii="Book Antiqua" w:hAnsi="Book Antiqua" w:cs="Arial"/>
        </w:rPr>
        <w:t xml:space="preserve"> submitted that account should only be taken of her earnings if she had a prior right to work which was in existence at the date of application, otherwise merely to make an application for a residence card based upon a derived right of residence would, with the issue of a COA, in itself allow an individual to establish the right which they otherwise would not have possessed.  He submitted that that “circular interpretation” was impermissible.  </w:t>
      </w:r>
    </w:p>
    <w:p w14:paraId="71EF2848" w14:textId="006DA331" w:rsidR="006A69A3" w:rsidRPr="006A69A3" w:rsidRDefault="00714B7B" w:rsidP="006A69A3">
      <w:pPr>
        <w:numPr>
          <w:ilvl w:val="0"/>
          <w:numId w:val="1"/>
        </w:numPr>
        <w:tabs>
          <w:tab w:val="clear" w:pos="567"/>
        </w:tabs>
        <w:spacing w:before="240"/>
        <w:jc w:val="both"/>
        <w:rPr>
          <w:rFonts w:ascii="Book Antiqua" w:hAnsi="Book Antiqua" w:cs="Arial"/>
        </w:rPr>
      </w:pPr>
      <w:r w:rsidRPr="006A69A3">
        <w:rPr>
          <w:rFonts w:ascii="Book Antiqua" w:hAnsi="Book Antiqua" w:cs="Arial"/>
        </w:rPr>
        <w:t xml:space="preserve">Mr </w:t>
      </w:r>
      <w:proofErr w:type="spellStart"/>
      <w:r w:rsidRPr="006A69A3">
        <w:rPr>
          <w:rFonts w:ascii="Book Antiqua" w:hAnsi="Book Antiqua" w:cs="Arial"/>
        </w:rPr>
        <w:t>M</w:t>
      </w:r>
      <w:r w:rsidR="006A69A3">
        <w:rPr>
          <w:rFonts w:ascii="Book Antiqua" w:hAnsi="Book Antiqua" w:cs="Arial"/>
        </w:rPr>
        <w:t>c</w:t>
      </w:r>
      <w:r w:rsidRPr="006A69A3">
        <w:rPr>
          <w:rFonts w:ascii="Book Antiqua" w:hAnsi="Book Antiqua" w:cs="Arial"/>
        </w:rPr>
        <w:t>Veety’s</w:t>
      </w:r>
      <w:proofErr w:type="spellEnd"/>
      <w:r w:rsidRPr="006A69A3">
        <w:rPr>
          <w:rFonts w:ascii="Book Antiqua" w:hAnsi="Book Antiqua" w:cs="Arial"/>
        </w:rPr>
        <w:t xml:space="preserve"> submission is undoubtedly based upon the Secretary of State’s policy</w:t>
      </w:r>
      <w:r w:rsidR="00A92FD0" w:rsidRPr="006A69A3">
        <w:rPr>
          <w:rFonts w:ascii="Book Antiqua" w:hAnsi="Book Antiqua" w:cs="Arial"/>
        </w:rPr>
        <w:t xml:space="preserve"> set out in </w:t>
      </w:r>
      <w:r w:rsidR="006A69A3">
        <w:rPr>
          <w:rFonts w:ascii="Book Antiqua" w:hAnsi="Book Antiqua" w:cs="Arial"/>
        </w:rPr>
        <w:t>t</w:t>
      </w:r>
      <w:r w:rsidR="006A69A3" w:rsidRPr="006A69A3">
        <w:rPr>
          <w:rFonts w:ascii="Book Antiqua" w:hAnsi="Book Antiqua" w:cs="Arial"/>
        </w:rPr>
        <w:t>he current Home Office Policy Guidance</w:t>
      </w:r>
      <w:r w:rsidR="007715FB">
        <w:rPr>
          <w:rFonts w:ascii="Book Antiqua" w:hAnsi="Book Antiqua" w:cs="Arial"/>
        </w:rPr>
        <w:t xml:space="preserve">, </w:t>
      </w:r>
      <w:r w:rsidR="006A69A3" w:rsidRPr="007715FB">
        <w:rPr>
          <w:rFonts w:ascii="Book Antiqua" w:hAnsi="Book Antiqua" w:cs="Arial"/>
          <w:i/>
        </w:rPr>
        <w:t>Free Movement Rights: derivative rights of residence</w:t>
      </w:r>
      <w:r w:rsidR="006A69A3" w:rsidRPr="006A69A3">
        <w:rPr>
          <w:rFonts w:ascii="Book Antiqua" w:hAnsi="Book Antiqua" w:cs="Arial"/>
        </w:rPr>
        <w:t xml:space="preserve"> </w:t>
      </w:r>
      <w:r w:rsidR="007715FB">
        <w:rPr>
          <w:rFonts w:ascii="Book Antiqua" w:hAnsi="Book Antiqua" w:cs="Arial"/>
        </w:rPr>
        <w:t>(</w:t>
      </w:r>
      <w:r w:rsidR="006A69A3" w:rsidRPr="006A69A3">
        <w:rPr>
          <w:rFonts w:ascii="Book Antiqua" w:hAnsi="Book Antiqua" w:cs="Arial"/>
        </w:rPr>
        <w:t>Version 4.0</w:t>
      </w:r>
      <w:r w:rsidR="007715FB">
        <w:rPr>
          <w:rFonts w:ascii="Book Antiqua" w:hAnsi="Book Antiqua" w:cs="Arial"/>
        </w:rPr>
        <w:t>),</w:t>
      </w:r>
      <w:r w:rsidR="006A69A3" w:rsidRPr="006A69A3">
        <w:rPr>
          <w:rFonts w:ascii="Book Antiqua" w:hAnsi="Book Antiqua" w:cs="Arial"/>
        </w:rPr>
        <w:t xml:space="preserve"> 27 February 2018</w:t>
      </w:r>
      <w:r w:rsidR="007715FB">
        <w:rPr>
          <w:rFonts w:ascii="Book Antiqua" w:hAnsi="Book Antiqua" w:cs="Arial"/>
        </w:rPr>
        <w:t xml:space="preserve"> at</w:t>
      </w:r>
      <w:r w:rsidR="001A1CE0">
        <w:rPr>
          <w:rFonts w:ascii="Book Antiqua" w:hAnsi="Book Antiqua" w:cs="Arial"/>
        </w:rPr>
        <w:t xml:space="preserve"> pp.15-16</w:t>
      </w:r>
      <w:r w:rsidR="006A69A3" w:rsidRPr="006A69A3">
        <w:rPr>
          <w:rFonts w:ascii="Book Antiqua" w:hAnsi="Book Antiqua" w:cs="Arial"/>
        </w:rPr>
        <w:t>:</w:t>
      </w:r>
    </w:p>
    <w:p w14:paraId="7EE93DF9" w14:textId="77777777" w:rsidR="006A69A3" w:rsidRDefault="006A69A3" w:rsidP="006A69A3">
      <w:pPr>
        <w:tabs>
          <w:tab w:val="left" w:pos="567"/>
        </w:tabs>
        <w:jc w:val="both"/>
        <w:rPr>
          <w:rFonts w:ascii="Book Antiqua" w:hAnsi="Book Antiqua" w:cs="Arial"/>
        </w:rPr>
      </w:pPr>
    </w:p>
    <w:p w14:paraId="0FC06B36" w14:textId="60282DB0" w:rsidR="00A77FBE" w:rsidRDefault="006A69A3" w:rsidP="002B3DE1">
      <w:pPr>
        <w:pStyle w:val="Default"/>
        <w:ind w:left="1440" w:right="566"/>
        <w:jc w:val="both"/>
        <w:rPr>
          <w:rFonts w:ascii="Book Antiqua" w:hAnsi="Book Antiqua"/>
          <w:color w:val="auto"/>
          <w:sz w:val="20"/>
          <w:szCs w:val="20"/>
        </w:rPr>
      </w:pPr>
      <w:r w:rsidRPr="006D26D4">
        <w:rPr>
          <w:rFonts w:ascii="Book Antiqua" w:hAnsi="Book Antiqua"/>
          <w:color w:val="auto"/>
          <w:sz w:val="20"/>
          <w:szCs w:val="20"/>
        </w:rPr>
        <w:t>“</w:t>
      </w:r>
      <w:r w:rsidR="00A77FBE">
        <w:rPr>
          <w:rFonts w:ascii="Book Antiqua" w:hAnsi="Book Antiqua"/>
          <w:color w:val="auto"/>
          <w:sz w:val="20"/>
          <w:szCs w:val="20"/>
        </w:rPr>
        <w:t>Income from the primary carer</w:t>
      </w:r>
    </w:p>
    <w:p w14:paraId="4D8AA195" w14:textId="77777777" w:rsidR="00A77FBE" w:rsidRDefault="00A77FBE" w:rsidP="002B3DE1">
      <w:pPr>
        <w:pStyle w:val="Default"/>
        <w:ind w:left="1440" w:right="566"/>
        <w:jc w:val="both"/>
        <w:rPr>
          <w:rFonts w:ascii="Book Antiqua" w:hAnsi="Book Antiqua"/>
          <w:color w:val="auto"/>
          <w:sz w:val="20"/>
          <w:szCs w:val="20"/>
        </w:rPr>
      </w:pPr>
    </w:p>
    <w:p w14:paraId="54FB8858" w14:textId="63DDC2E4" w:rsidR="006A69A3" w:rsidRPr="006D26D4" w:rsidRDefault="006A69A3" w:rsidP="002B3DE1">
      <w:pPr>
        <w:pStyle w:val="Default"/>
        <w:ind w:left="1440" w:right="566"/>
        <w:jc w:val="both"/>
        <w:rPr>
          <w:rFonts w:ascii="Book Antiqua" w:hAnsi="Book Antiqua"/>
          <w:color w:val="auto"/>
          <w:sz w:val="20"/>
          <w:szCs w:val="20"/>
        </w:rPr>
      </w:pPr>
      <w:r w:rsidRPr="006D26D4">
        <w:rPr>
          <w:rFonts w:ascii="Book Antiqua" w:hAnsi="Book Antiqua"/>
          <w:color w:val="auto"/>
          <w:sz w:val="20"/>
          <w:szCs w:val="20"/>
        </w:rPr>
        <w:t xml:space="preserve">A child may show that they are self-sufficient by relying upon the income of their primary carer. However, any work undertaken in the UK will only be considered acceptable where this is lawful employment. For example, if the primary carer currently has leave to remain under another part of the Immigration Rules which entitles them to work, they can use any income from those earnings to show they are self-sufficient. </w:t>
      </w:r>
    </w:p>
    <w:p w14:paraId="50AA80CB" w14:textId="77777777" w:rsidR="006A69A3" w:rsidRPr="006D26D4" w:rsidRDefault="006A69A3" w:rsidP="002B3DE1">
      <w:pPr>
        <w:pStyle w:val="Default"/>
        <w:ind w:right="566"/>
        <w:jc w:val="both"/>
        <w:rPr>
          <w:rFonts w:ascii="Book Antiqua" w:hAnsi="Book Antiqua"/>
          <w:color w:val="auto"/>
          <w:sz w:val="20"/>
          <w:szCs w:val="20"/>
        </w:rPr>
      </w:pPr>
    </w:p>
    <w:p w14:paraId="381BCA02" w14:textId="77777777" w:rsidR="006A69A3" w:rsidRPr="006D26D4" w:rsidRDefault="006A69A3" w:rsidP="002B3DE1">
      <w:pPr>
        <w:pStyle w:val="Default"/>
        <w:ind w:left="1440" w:right="566"/>
        <w:jc w:val="both"/>
        <w:rPr>
          <w:rFonts w:ascii="Book Antiqua" w:hAnsi="Book Antiqua"/>
          <w:color w:val="auto"/>
          <w:sz w:val="20"/>
          <w:szCs w:val="20"/>
        </w:rPr>
      </w:pPr>
      <w:r w:rsidRPr="006D26D4">
        <w:rPr>
          <w:rFonts w:ascii="Book Antiqua" w:hAnsi="Book Antiqua"/>
          <w:color w:val="auto"/>
          <w:sz w:val="20"/>
          <w:szCs w:val="20"/>
        </w:rPr>
        <w:t xml:space="preserve">Before 16 July 2012, when </w:t>
      </w:r>
      <w:r w:rsidRPr="001A1CE0">
        <w:rPr>
          <w:rFonts w:ascii="Book Antiqua" w:hAnsi="Book Antiqua"/>
          <w:color w:val="auto"/>
          <w:sz w:val="20"/>
          <w:szCs w:val="20"/>
        </w:rPr>
        <w:t>Chen</w:t>
      </w:r>
      <w:r w:rsidRPr="006D26D4">
        <w:rPr>
          <w:rFonts w:ascii="Book Antiqua" w:hAnsi="Book Antiqua"/>
          <w:color w:val="auto"/>
          <w:sz w:val="20"/>
          <w:szCs w:val="20"/>
        </w:rPr>
        <w:t xml:space="preserve"> was given effect under the Immigration (European Economic Area) Regulations 2006 (the 2006 </w:t>
      </w:r>
      <w:r w:rsidR="001A1CE0">
        <w:rPr>
          <w:rFonts w:ascii="Book Antiqua" w:hAnsi="Book Antiqua"/>
          <w:color w:val="auto"/>
          <w:sz w:val="20"/>
          <w:szCs w:val="20"/>
        </w:rPr>
        <w:t>r</w:t>
      </w:r>
      <w:r w:rsidRPr="006D26D4">
        <w:rPr>
          <w:rFonts w:ascii="Book Antiqua" w:hAnsi="Book Antiqua"/>
          <w:color w:val="auto"/>
          <w:sz w:val="20"/>
          <w:szCs w:val="20"/>
        </w:rPr>
        <w:t xml:space="preserve">egulations), paragraph 257C of the Immigration Rules did not grant primary carers of EEA self-sufficient children the right to work. </w:t>
      </w:r>
    </w:p>
    <w:p w14:paraId="1D217589" w14:textId="77777777" w:rsidR="006A69A3" w:rsidRPr="006D26D4" w:rsidRDefault="006A69A3" w:rsidP="002B3DE1">
      <w:pPr>
        <w:tabs>
          <w:tab w:val="left" w:pos="567"/>
        </w:tabs>
        <w:ind w:right="566"/>
        <w:jc w:val="both"/>
        <w:rPr>
          <w:rFonts w:ascii="Book Antiqua" w:hAnsi="Book Antiqua"/>
          <w:sz w:val="20"/>
          <w:szCs w:val="20"/>
        </w:rPr>
      </w:pPr>
    </w:p>
    <w:p w14:paraId="27A6D533" w14:textId="72A0B132" w:rsidR="006A69A3" w:rsidRDefault="006A69A3" w:rsidP="002B3DE1">
      <w:pPr>
        <w:tabs>
          <w:tab w:val="left" w:pos="567"/>
        </w:tabs>
        <w:ind w:left="1440" w:right="566"/>
        <w:jc w:val="both"/>
        <w:rPr>
          <w:rFonts w:ascii="Book Antiqua" w:hAnsi="Book Antiqua"/>
          <w:sz w:val="20"/>
          <w:szCs w:val="20"/>
        </w:rPr>
      </w:pPr>
      <w:r w:rsidRPr="006D26D4">
        <w:rPr>
          <w:rFonts w:ascii="Book Antiqua" w:hAnsi="Book Antiqua"/>
          <w:sz w:val="20"/>
          <w:szCs w:val="20"/>
        </w:rPr>
        <w:lastRenderedPageBreak/>
        <w:t xml:space="preserve">Since 16 July 2012, the 2006 </w:t>
      </w:r>
      <w:r w:rsidR="00235D92">
        <w:rPr>
          <w:rFonts w:ascii="Book Antiqua" w:hAnsi="Book Antiqua"/>
          <w:sz w:val="20"/>
          <w:szCs w:val="20"/>
        </w:rPr>
        <w:t>r</w:t>
      </w:r>
      <w:r w:rsidRPr="006D26D4">
        <w:rPr>
          <w:rFonts w:ascii="Book Antiqua" w:hAnsi="Book Antiqua"/>
          <w:sz w:val="20"/>
          <w:szCs w:val="20"/>
        </w:rPr>
        <w:t xml:space="preserve">egulations (as amended) and now the 2016 </w:t>
      </w:r>
      <w:r w:rsidR="001A1CE0">
        <w:rPr>
          <w:rFonts w:ascii="Book Antiqua" w:hAnsi="Book Antiqua"/>
          <w:sz w:val="20"/>
          <w:szCs w:val="20"/>
        </w:rPr>
        <w:t>r</w:t>
      </w:r>
      <w:r w:rsidRPr="006D26D4">
        <w:rPr>
          <w:rFonts w:ascii="Book Antiqua" w:hAnsi="Book Antiqua"/>
          <w:sz w:val="20"/>
          <w:szCs w:val="20"/>
        </w:rPr>
        <w:t xml:space="preserve">egulations, enable the primary carer with a derived right of residence to work lawfully in the UK regardless of whether a document has been issued to them in that capacity. This means there may be cases where the primary carer seeks to rely on this work to meet the self-sufficiency requirement when applying for a document. You must, therefore, consider whether the EEA national child was self-sufficient before the primary carer started employment in a </w:t>
      </w:r>
      <w:r w:rsidRPr="001A1CE0">
        <w:rPr>
          <w:rFonts w:ascii="Book Antiqua" w:hAnsi="Book Antiqua"/>
          <w:sz w:val="20"/>
          <w:szCs w:val="20"/>
        </w:rPr>
        <w:t>Chen</w:t>
      </w:r>
      <w:r w:rsidRPr="006D26D4">
        <w:rPr>
          <w:rFonts w:ascii="Book Antiqua" w:hAnsi="Book Antiqua"/>
          <w:sz w:val="20"/>
          <w:szCs w:val="20"/>
        </w:rPr>
        <w:t xml:space="preserve"> capacity. This is because the EEA national child must be self-sufficient first in order for the primary carer to derive a right of residence, and so be able to work lawfully in the UK.</w:t>
      </w:r>
    </w:p>
    <w:p w14:paraId="464DC37E" w14:textId="77777777" w:rsidR="006A69A3" w:rsidRDefault="006A69A3" w:rsidP="002B3DE1">
      <w:pPr>
        <w:tabs>
          <w:tab w:val="left" w:pos="567"/>
        </w:tabs>
        <w:ind w:left="1440" w:right="566"/>
        <w:jc w:val="both"/>
        <w:rPr>
          <w:rFonts w:ascii="Book Antiqua" w:hAnsi="Book Antiqua"/>
          <w:sz w:val="20"/>
          <w:szCs w:val="20"/>
        </w:rPr>
      </w:pPr>
    </w:p>
    <w:p w14:paraId="30519AEE" w14:textId="77777777" w:rsidR="006A69A3" w:rsidRPr="000E7076" w:rsidRDefault="006A69A3" w:rsidP="002B3DE1">
      <w:pPr>
        <w:pStyle w:val="NormalWeb"/>
        <w:spacing w:before="2" w:after="2"/>
        <w:ind w:left="1440" w:right="566"/>
        <w:jc w:val="both"/>
        <w:rPr>
          <w:rFonts w:ascii="Book Antiqua" w:hAnsi="Book Antiqua"/>
        </w:rPr>
      </w:pPr>
      <w:r w:rsidRPr="000E7076">
        <w:rPr>
          <w:rFonts w:ascii="Book Antiqua" w:hAnsi="Book Antiqua"/>
          <w:szCs w:val="24"/>
        </w:rPr>
        <w:t xml:space="preserve">In cases where self-sufficiency has already been established (for example, the applicant has already been issued a document under the 2006 regulations or the 2016 </w:t>
      </w:r>
      <w:r w:rsidR="001A1CE0">
        <w:rPr>
          <w:rFonts w:ascii="Book Antiqua" w:hAnsi="Book Antiqua"/>
          <w:szCs w:val="24"/>
        </w:rPr>
        <w:t>r</w:t>
      </w:r>
      <w:r w:rsidRPr="000E7076">
        <w:rPr>
          <w:rFonts w:ascii="Book Antiqua" w:hAnsi="Book Antiqua"/>
          <w:szCs w:val="24"/>
        </w:rPr>
        <w:t xml:space="preserve">egulations on the basis of </w:t>
      </w:r>
      <w:r w:rsidRPr="001A1CE0">
        <w:rPr>
          <w:rFonts w:ascii="Book Antiqua" w:hAnsi="Book Antiqua"/>
          <w:szCs w:val="24"/>
        </w:rPr>
        <w:t>Chen</w:t>
      </w:r>
      <w:r w:rsidRPr="000E7076">
        <w:rPr>
          <w:rFonts w:ascii="Book Antiqua" w:hAnsi="Book Antiqua"/>
          <w:szCs w:val="24"/>
        </w:rPr>
        <w:t xml:space="preserve">) and the primary carer has begun working in exercise of their </w:t>
      </w:r>
      <w:r w:rsidRPr="001A1CE0">
        <w:rPr>
          <w:rFonts w:ascii="Book Antiqua" w:hAnsi="Book Antiqua"/>
          <w:szCs w:val="24"/>
        </w:rPr>
        <w:t>Chen</w:t>
      </w:r>
      <w:r w:rsidRPr="000E7076">
        <w:rPr>
          <w:rFonts w:ascii="Book Antiqua" w:hAnsi="Book Antiqua"/>
          <w:szCs w:val="24"/>
        </w:rPr>
        <w:t xml:space="preserve"> right, then funds from that employment can be relied upon to support a further application on the basis of </w:t>
      </w:r>
      <w:r w:rsidRPr="001A1CE0">
        <w:rPr>
          <w:rFonts w:ascii="Book Antiqua" w:hAnsi="Book Antiqua"/>
          <w:szCs w:val="24"/>
        </w:rPr>
        <w:t>Chen</w:t>
      </w:r>
      <w:r w:rsidRPr="000E7076">
        <w:rPr>
          <w:rFonts w:ascii="Book Antiqua" w:hAnsi="Book Antiqua"/>
          <w:szCs w:val="24"/>
        </w:rPr>
        <w:t>.</w:t>
      </w:r>
      <w:r>
        <w:rPr>
          <w:rFonts w:ascii="Book Antiqua" w:hAnsi="Book Antiqua"/>
          <w:szCs w:val="24"/>
        </w:rPr>
        <w:t>”</w:t>
      </w:r>
      <w:r w:rsidRPr="000E7076">
        <w:rPr>
          <w:rFonts w:ascii="Book Antiqua" w:hAnsi="Book Antiqua"/>
          <w:szCs w:val="24"/>
        </w:rPr>
        <w:t xml:space="preserve"> </w:t>
      </w:r>
    </w:p>
    <w:p w14:paraId="45B1745A" w14:textId="77777777" w:rsidR="006C6618" w:rsidRDefault="006C76E0" w:rsidP="004A278D">
      <w:pPr>
        <w:numPr>
          <w:ilvl w:val="0"/>
          <w:numId w:val="1"/>
        </w:numPr>
        <w:tabs>
          <w:tab w:val="clear" w:pos="567"/>
        </w:tabs>
        <w:spacing w:before="240"/>
        <w:jc w:val="both"/>
        <w:rPr>
          <w:rFonts w:ascii="Book Antiqua" w:hAnsi="Book Antiqua" w:cs="Arial"/>
        </w:rPr>
      </w:pPr>
      <w:r>
        <w:rPr>
          <w:rFonts w:ascii="Book Antiqua" w:hAnsi="Book Antiqua" w:cs="Arial"/>
        </w:rPr>
        <w:t xml:space="preserve">We were not taken to this policy by either party but its content is clear.  </w:t>
      </w:r>
      <w:r w:rsidR="009F51BF">
        <w:rPr>
          <w:rFonts w:ascii="Book Antiqua" w:hAnsi="Book Antiqua" w:cs="Arial"/>
        </w:rPr>
        <w:t>Th</w:t>
      </w:r>
      <w:r>
        <w:rPr>
          <w:rFonts w:ascii="Book Antiqua" w:hAnsi="Book Antiqua" w:cs="Arial"/>
        </w:rPr>
        <w:t>e</w:t>
      </w:r>
      <w:r w:rsidR="009F51BF">
        <w:rPr>
          <w:rFonts w:ascii="Book Antiqua" w:hAnsi="Book Antiqua" w:cs="Arial"/>
        </w:rPr>
        <w:t xml:space="preserve"> policy recognises, in effect, that there must be a prior right to work</w:t>
      </w:r>
      <w:r w:rsidR="00B70FBC">
        <w:rPr>
          <w:rFonts w:ascii="Book Antiqua" w:hAnsi="Book Antiqua" w:cs="Arial"/>
        </w:rPr>
        <w:t xml:space="preserve"> – prior that is to any right to work derived from the </w:t>
      </w:r>
      <w:r w:rsidR="00271CCE" w:rsidRPr="00271CCE">
        <w:rPr>
          <w:rFonts w:ascii="Book Antiqua" w:hAnsi="Book Antiqua" w:cs="Arial"/>
          <w:u w:val="single"/>
        </w:rPr>
        <w:t>Chen</w:t>
      </w:r>
      <w:r w:rsidR="00271CCE">
        <w:rPr>
          <w:rFonts w:ascii="Book Antiqua" w:hAnsi="Book Antiqua" w:cs="Arial"/>
        </w:rPr>
        <w:t xml:space="preserve"> status of the appellant’s child – before income derived from that employment may be taken into account in establishing ‘se</w:t>
      </w:r>
      <w:r>
        <w:rPr>
          <w:rFonts w:ascii="Book Antiqua" w:hAnsi="Book Antiqua" w:cs="Arial"/>
        </w:rPr>
        <w:t>l</w:t>
      </w:r>
      <w:r w:rsidR="00271CCE">
        <w:rPr>
          <w:rFonts w:ascii="Book Antiqua" w:hAnsi="Book Antiqua" w:cs="Arial"/>
        </w:rPr>
        <w:t xml:space="preserve">f-sufficiency’.  </w:t>
      </w:r>
      <w:r>
        <w:rPr>
          <w:rFonts w:ascii="Book Antiqua" w:hAnsi="Book Antiqua" w:cs="Arial"/>
        </w:rPr>
        <w:t xml:space="preserve">It </w:t>
      </w:r>
      <w:r w:rsidR="009D4FCB">
        <w:rPr>
          <w:rFonts w:ascii="Book Antiqua" w:hAnsi="Book Antiqua" w:cs="Arial"/>
        </w:rPr>
        <w:t>eschews what might be described as a ‘boot-strapping’ argument</w:t>
      </w:r>
      <w:r w:rsidR="000F21F1">
        <w:rPr>
          <w:rFonts w:ascii="Book Antiqua" w:hAnsi="Book Antiqua" w:cs="Arial"/>
        </w:rPr>
        <w:t xml:space="preserve"> which </w:t>
      </w:r>
      <w:r w:rsidR="00E76177">
        <w:rPr>
          <w:rFonts w:ascii="Book Antiqua" w:hAnsi="Book Antiqua" w:cs="Arial"/>
        </w:rPr>
        <w:t xml:space="preserve">is precisely the argument which </w:t>
      </w:r>
      <w:r w:rsidR="000F21F1">
        <w:rPr>
          <w:rFonts w:ascii="Book Antiqua" w:hAnsi="Book Antiqua" w:cs="Arial"/>
        </w:rPr>
        <w:t xml:space="preserve">Mr </w:t>
      </w:r>
      <w:proofErr w:type="spellStart"/>
      <w:r w:rsidR="000F21F1">
        <w:rPr>
          <w:rFonts w:ascii="Book Antiqua" w:hAnsi="Book Antiqua" w:cs="Arial"/>
        </w:rPr>
        <w:t>McVeety</w:t>
      </w:r>
      <w:proofErr w:type="spellEnd"/>
      <w:r w:rsidR="000F21F1">
        <w:rPr>
          <w:rFonts w:ascii="Book Antiqua" w:hAnsi="Book Antiqua" w:cs="Arial"/>
        </w:rPr>
        <w:t xml:space="preserve"> invited us to reject.  </w:t>
      </w:r>
    </w:p>
    <w:p w14:paraId="43C97D02" w14:textId="77777777" w:rsidR="00A272CE" w:rsidRPr="00A272CE" w:rsidRDefault="00CC4E6B" w:rsidP="00A272CE">
      <w:pPr>
        <w:numPr>
          <w:ilvl w:val="0"/>
          <w:numId w:val="1"/>
        </w:numPr>
        <w:tabs>
          <w:tab w:val="clear" w:pos="567"/>
        </w:tabs>
        <w:spacing w:before="240"/>
        <w:jc w:val="both"/>
        <w:rPr>
          <w:rFonts w:ascii="Book Antiqua" w:hAnsi="Book Antiqua" w:cs="Arial"/>
        </w:rPr>
      </w:pPr>
      <w:r>
        <w:rPr>
          <w:rFonts w:ascii="Book Antiqua" w:hAnsi="Book Antiqua" w:cs="Arial"/>
        </w:rPr>
        <w:t>The Court of Appeal has</w:t>
      </w:r>
      <w:r w:rsidR="00A26A17">
        <w:rPr>
          <w:rFonts w:ascii="Book Antiqua" w:hAnsi="Book Antiqua" w:cs="Arial"/>
        </w:rPr>
        <w:t xml:space="preserve"> concluded that some sources of income cannot be </w:t>
      </w:r>
      <w:r w:rsidR="005D5BC6">
        <w:rPr>
          <w:rFonts w:ascii="Book Antiqua" w:hAnsi="Book Antiqua" w:cs="Arial"/>
        </w:rPr>
        <w:t>utilised</w:t>
      </w:r>
      <w:r w:rsidR="00566471">
        <w:rPr>
          <w:rFonts w:ascii="Book Antiqua" w:hAnsi="Book Antiqua" w:cs="Arial"/>
        </w:rPr>
        <w:t xml:space="preserve"> to </w:t>
      </w:r>
      <w:r w:rsidR="00EC5AC8">
        <w:rPr>
          <w:rFonts w:ascii="Book Antiqua" w:hAnsi="Book Antiqua" w:cs="Arial"/>
        </w:rPr>
        <w:t>establish</w:t>
      </w:r>
      <w:r w:rsidR="00566471">
        <w:rPr>
          <w:rFonts w:ascii="Book Antiqua" w:hAnsi="Book Antiqua" w:cs="Arial"/>
        </w:rPr>
        <w:t xml:space="preserve"> self-</w:t>
      </w:r>
      <w:r w:rsidR="00EC5AC8">
        <w:rPr>
          <w:rFonts w:ascii="Book Antiqua" w:hAnsi="Book Antiqua" w:cs="Arial"/>
        </w:rPr>
        <w:t>sufficiency</w:t>
      </w:r>
      <w:r w:rsidR="00566471">
        <w:rPr>
          <w:rFonts w:ascii="Book Antiqua" w:hAnsi="Book Antiqua" w:cs="Arial"/>
        </w:rPr>
        <w:t xml:space="preserve"> in </w:t>
      </w:r>
      <w:r w:rsidR="00566471" w:rsidRPr="00EC5AC8">
        <w:rPr>
          <w:rFonts w:ascii="Book Antiqua" w:hAnsi="Book Antiqua" w:cs="Arial"/>
          <w:u w:val="single"/>
        </w:rPr>
        <w:t>W(China) and X (China) v SSHD</w:t>
      </w:r>
      <w:r w:rsidR="00566471">
        <w:rPr>
          <w:rFonts w:ascii="Book Antiqua" w:hAnsi="Book Antiqua" w:cs="Arial"/>
        </w:rPr>
        <w:t xml:space="preserve"> [2006] EWCA </w:t>
      </w:r>
      <w:proofErr w:type="spellStart"/>
      <w:r w:rsidR="00566471">
        <w:rPr>
          <w:rFonts w:ascii="Book Antiqua" w:hAnsi="Book Antiqua" w:cs="Arial"/>
        </w:rPr>
        <w:t>Civ</w:t>
      </w:r>
      <w:proofErr w:type="spellEnd"/>
      <w:r w:rsidR="00EC5AC8">
        <w:rPr>
          <w:rFonts w:ascii="Book Antiqua" w:hAnsi="Book Antiqua" w:cs="Arial"/>
        </w:rPr>
        <w:t xml:space="preserve"> 1494 and </w:t>
      </w:r>
      <w:r w:rsidR="00E6478E" w:rsidRPr="00213E7C">
        <w:rPr>
          <w:rFonts w:ascii="Book Antiqua" w:hAnsi="Book Antiqua" w:cs="Arial"/>
          <w:u w:val="single"/>
        </w:rPr>
        <w:t>Li</w:t>
      </w:r>
      <w:r w:rsidR="00213E7C" w:rsidRPr="00213E7C">
        <w:rPr>
          <w:rFonts w:ascii="Book Antiqua" w:hAnsi="Book Antiqua" w:cs="Arial"/>
          <w:u w:val="single"/>
        </w:rPr>
        <w:t>u</w:t>
      </w:r>
      <w:r w:rsidR="00964821">
        <w:rPr>
          <w:rFonts w:ascii="Book Antiqua" w:hAnsi="Book Antiqua" w:cs="Arial"/>
          <w:u w:val="single"/>
        </w:rPr>
        <w:t xml:space="preserve"> and others</w:t>
      </w:r>
      <w:r w:rsidR="00DF6A8F">
        <w:rPr>
          <w:rFonts w:ascii="Book Antiqua" w:hAnsi="Book Antiqua" w:cs="Arial"/>
          <w:u w:val="single"/>
        </w:rPr>
        <w:t xml:space="preserve"> </w:t>
      </w:r>
      <w:r w:rsidR="00213E7C" w:rsidRPr="00213E7C">
        <w:rPr>
          <w:rFonts w:ascii="Book Antiqua" w:hAnsi="Book Antiqua" w:cs="Arial"/>
          <w:u w:val="single"/>
        </w:rPr>
        <w:t>v</w:t>
      </w:r>
      <w:r w:rsidR="00E6478E" w:rsidRPr="00213E7C">
        <w:rPr>
          <w:rFonts w:ascii="Book Antiqua" w:hAnsi="Book Antiqua" w:cs="Arial"/>
          <w:u w:val="single"/>
        </w:rPr>
        <w:t xml:space="preserve"> SSHD</w:t>
      </w:r>
      <w:r w:rsidR="00E6478E">
        <w:rPr>
          <w:rFonts w:ascii="Book Antiqua" w:hAnsi="Book Antiqua" w:cs="Arial"/>
        </w:rPr>
        <w:t xml:space="preserve"> [2007] EWCA </w:t>
      </w:r>
      <w:proofErr w:type="spellStart"/>
      <w:r w:rsidR="00E6478E">
        <w:rPr>
          <w:rFonts w:ascii="Book Antiqua" w:hAnsi="Book Antiqua" w:cs="Arial"/>
        </w:rPr>
        <w:t>Civ</w:t>
      </w:r>
      <w:proofErr w:type="spellEnd"/>
      <w:r w:rsidR="00E6478E">
        <w:rPr>
          <w:rFonts w:ascii="Book Antiqua" w:hAnsi="Book Antiqua" w:cs="Arial"/>
        </w:rPr>
        <w:t xml:space="preserve"> 1275</w:t>
      </w:r>
      <w:r w:rsidR="00EC5AC8">
        <w:rPr>
          <w:rFonts w:ascii="Book Antiqua" w:hAnsi="Book Antiqua" w:cs="Arial"/>
        </w:rPr>
        <w:t xml:space="preserve">.  In </w:t>
      </w:r>
      <w:r w:rsidR="00EC5AC8" w:rsidRPr="00DF6A8F">
        <w:rPr>
          <w:rFonts w:ascii="Book Antiqua" w:hAnsi="Book Antiqua" w:cs="Arial"/>
          <w:u w:val="single"/>
        </w:rPr>
        <w:t>Liu</w:t>
      </w:r>
      <w:r w:rsidR="00EC5AC8">
        <w:rPr>
          <w:rFonts w:ascii="Book Antiqua" w:hAnsi="Book Antiqua" w:cs="Arial"/>
        </w:rPr>
        <w:t>, the Court of Appeal summarised the position at [12]:</w:t>
      </w:r>
    </w:p>
    <w:p w14:paraId="23CD872D" w14:textId="77777777" w:rsidR="00A272CE" w:rsidRDefault="00A272CE" w:rsidP="00A272CE">
      <w:pPr>
        <w:tabs>
          <w:tab w:val="left" w:pos="567"/>
        </w:tabs>
        <w:ind w:left="564" w:hanging="564"/>
        <w:jc w:val="both"/>
        <w:rPr>
          <w:rFonts w:ascii="Book Antiqua" w:hAnsi="Book Antiqua" w:cs="Arial"/>
        </w:rPr>
      </w:pPr>
    </w:p>
    <w:p w14:paraId="1EC78DD6" w14:textId="77777777" w:rsidR="00A272CE" w:rsidRDefault="00A272CE" w:rsidP="00A272CE">
      <w:pPr>
        <w:ind w:left="1701" w:right="566" w:hanging="567"/>
        <w:jc w:val="both"/>
        <w:rPr>
          <w:rFonts w:ascii="Book Antiqua" w:hAnsi="Book Antiqua" w:cs="Arial"/>
          <w:sz w:val="20"/>
          <w:szCs w:val="20"/>
        </w:rPr>
      </w:pPr>
      <w:r w:rsidRPr="00363250">
        <w:rPr>
          <w:rFonts w:ascii="Book Antiqua" w:hAnsi="Book Antiqua" w:cs="Arial"/>
          <w:sz w:val="20"/>
          <w:szCs w:val="20"/>
        </w:rPr>
        <w:t>“</w:t>
      </w:r>
      <w:proofErr w:type="spellStart"/>
      <w:r w:rsidRPr="00363250">
        <w:rPr>
          <w:rFonts w:ascii="Book Antiqua" w:hAnsi="Book Antiqua" w:cs="Arial"/>
          <w:sz w:val="20"/>
          <w:szCs w:val="20"/>
        </w:rPr>
        <w:t>i</w:t>
      </w:r>
      <w:proofErr w:type="spellEnd"/>
      <w:r w:rsidRPr="00363250">
        <w:rPr>
          <w:rFonts w:ascii="Book Antiqua" w:hAnsi="Book Antiqua" w:cs="Arial"/>
          <w:sz w:val="20"/>
          <w:szCs w:val="20"/>
        </w:rPr>
        <w:t xml:space="preserve">) </w:t>
      </w:r>
      <w:r w:rsidRPr="00363250">
        <w:rPr>
          <w:rFonts w:ascii="Book Antiqua" w:hAnsi="Book Antiqua" w:cs="Arial"/>
          <w:sz w:val="20"/>
          <w:szCs w:val="20"/>
        </w:rPr>
        <w:tab/>
        <w:t>Applying paragraph 45 of</w:t>
      </w:r>
      <w:r>
        <w:rPr>
          <w:rFonts w:ascii="Book Antiqua" w:hAnsi="Book Antiqua" w:cs="Arial"/>
          <w:sz w:val="20"/>
          <w:szCs w:val="20"/>
        </w:rPr>
        <w:t xml:space="preserve"> </w:t>
      </w:r>
      <w:r w:rsidRPr="00363250">
        <w:rPr>
          <w:rFonts w:ascii="Book Antiqua" w:hAnsi="Book Antiqua" w:cs="Arial"/>
          <w:sz w:val="20"/>
          <w:szCs w:val="20"/>
          <w:u w:val="single"/>
        </w:rPr>
        <w:t>Chen</w:t>
      </w:r>
      <w:r w:rsidRPr="00363250">
        <w:rPr>
          <w:rFonts w:ascii="Book Antiqua" w:hAnsi="Book Antiqua" w:cs="Arial"/>
          <w:sz w:val="20"/>
          <w:szCs w:val="20"/>
        </w:rPr>
        <w:t>, the right of residence of a minor could only be effectively asserted with the presence and support of a carer or guardian, and that, if the requirements of the Directives are fulfilled, creates a right for the parent to reside with the child, (</w:t>
      </w:r>
      <w:r w:rsidRPr="00363250">
        <w:rPr>
          <w:rFonts w:ascii="Book Antiqua" w:hAnsi="Book Antiqua" w:cs="Arial"/>
          <w:sz w:val="20"/>
          <w:szCs w:val="20"/>
          <w:u w:val="single"/>
        </w:rPr>
        <w:t>W (China</w:t>
      </w:r>
      <w:r w:rsidRPr="00363250">
        <w:rPr>
          <w:rFonts w:ascii="Book Antiqua" w:hAnsi="Book Antiqua" w:cs="Arial"/>
          <w:sz w:val="20"/>
          <w:szCs w:val="20"/>
        </w:rPr>
        <w:t>)</w:t>
      </w:r>
      <w:r>
        <w:rPr>
          <w:rFonts w:ascii="Book Antiqua" w:hAnsi="Book Antiqua" w:cs="Arial"/>
          <w:sz w:val="20"/>
          <w:szCs w:val="20"/>
        </w:rPr>
        <w:t xml:space="preserve"> [</w:t>
      </w:r>
      <w:r w:rsidRPr="00363250">
        <w:rPr>
          <w:rFonts w:ascii="Book Antiqua" w:hAnsi="Book Antiqua" w:cs="Arial"/>
          <w:sz w:val="20"/>
          <w:szCs w:val="20"/>
        </w:rPr>
        <w:t xml:space="preserve">6]); </w:t>
      </w:r>
    </w:p>
    <w:p w14:paraId="6898FEF7" w14:textId="77777777" w:rsidR="00A272CE" w:rsidRPr="00363250" w:rsidRDefault="00A272CE" w:rsidP="00A272CE">
      <w:pPr>
        <w:ind w:left="1701" w:right="566" w:hanging="567"/>
        <w:jc w:val="both"/>
        <w:rPr>
          <w:rFonts w:ascii="Book Antiqua" w:hAnsi="Book Antiqua" w:cs="Arial"/>
          <w:sz w:val="20"/>
          <w:szCs w:val="20"/>
        </w:rPr>
      </w:pPr>
    </w:p>
    <w:p w14:paraId="507A3AB9" w14:textId="77777777" w:rsidR="00A272CE" w:rsidRDefault="00A272CE" w:rsidP="00A272CE">
      <w:pPr>
        <w:ind w:left="1701" w:right="566" w:hanging="567"/>
        <w:jc w:val="both"/>
        <w:rPr>
          <w:rFonts w:ascii="Book Antiqua" w:hAnsi="Book Antiqua" w:cs="Arial"/>
          <w:sz w:val="20"/>
          <w:szCs w:val="20"/>
        </w:rPr>
      </w:pPr>
      <w:r w:rsidRPr="00363250">
        <w:rPr>
          <w:rFonts w:ascii="Book Antiqua" w:hAnsi="Book Antiqua" w:cs="Arial"/>
          <w:sz w:val="20"/>
          <w:szCs w:val="20"/>
        </w:rPr>
        <w:t xml:space="preserve">ii) </w:t>
      </w:r>
      <w:r w:rsidRPr="00363250">
        <w:rPr>
          <w:rFonts w:ascii="Book Antiqua" w:hAnsi="Book Antiqua" w:cs="Arial"/>
          <w:sz w:val="20"/>
          <w:szCs w:val="20"/>
        </w:rPr>
        <w:tab/>
        <w:t>All of the minor EU citizen and his non-EU citizen carers have to fulfil the Directive requirements of (a) sickness insurance; (b) sufficiency of means: (</w:t>
      </w:r>
      <w:r w:rsidRPr="00363250">
        <w:rPr>
          <w:rFonts w:ascii="Book Antiqua" w:hAnsi="Book Antiqua" w:cs="Arial"/>
          <w:sz w:val="20"/>
          <w:szCs w:val="20"/>
          <w:u w:val="single"/>
        </w:rPr>
        <w:t>W (China</w:t>
      </w:r>
      <w:r w:rsidRPr="00363250">
        <w:rPr>
          <w:rFonts w:ascii="Book Antiqua" w:hAnsi="Book Antiqua" w:cs="Arial"/>
          <w:sz w:val="20"/>
          <w:szCs w:val="20"/>
        </w:rPr>
        <w:t xml:space="preserve">) [8]); </w:t>
      </w:r>
    </w:p>
    <w:p w14:paraId="7C2BA1BF" w14:textId="77777777" w:rsidR="00A272CE" w:rsidRPr="00363250" w:rsidRDefault="00A272CE" w:rsidP="00A272CE">
      <w:pPr>
        <w:ind w:left="1701" w:right="566" w:hanging="567"/>
        <w:jc w:val="both"/>
        <w:rPr>
          <w:rFonts w:ascii="Book Antiqua" w:hAnsi="Book Antiqua" w:cs="Arial"/>
          <w:sz w:val="20"/>
          <w:szCs w:val="20"/>
        </w:rPr>
      </w:pPr>
    </w:p>
    <w:p w14:paraId="30E914B9" w14:textId="77777777" w:rsidR="00A272CE" w:rsidRDefault="00A272CE" w:rsidP="00A272CE">
      <w:pPr>
        <w:ind w:left="1701" w:right="566" w:hanging="567"/>
        <w:jc w:val="both"/>
        <w:rPr>
          <w:rFonts w:ascii="Book Antiqua" w:hAnsi="Book Antiqua" w:cs="Arial"/>
          <w:sz w:val="20"/>
          <w:szCs w:val="20"/>
        </w:rPr>
      </w:pPr>
      <w:r w:rsidRPr="00363250">
        <w:rPr>
          <w:rFonts w:ascii="Book Antiqua" w:hAnsi="Book Antiqua" w:cs="Arial"/>
          <w:sz w:val="20"/>
          <w:szCs w:val="20"/>
        </w:rPr>
        <w:t xml:space="preserve">iii) </w:t>
      </w:r>
      <w:r w:rsidRPr="00363250">
        <w:rPr>
          <w:rFonts w:ascii="Book Antiqua" w:hAnsi="Book Antiqua" w:cs="Arial"/>
          <w:sz w:val="20"/>
          <w:szCs w:val="20"/>
        </w:rPr>
        <w:tab/>
        <w:t>Those conditions are pre-conditions to the existence of the article 18 right in any given case, and thus the right does not exist until those conditions are fulfilled: (</w:t>
      </w:r>
      <w:r w:rsidRPr="00363250">
        <w:rPr>
          <w:rFonts w:ascii="Book Antiqua" w:hAnsi="Book Antiqua" w:cs="Arial"/>
          <w:sz w:val="20"/>
          <w:szCs w:val="20"/>
          <w:u w:val="single"/>
        </w:rPr>
        <w:t>W (China</w:t>
      </w:r>
      <w:r w:rsidRPr="00363250">
        <w:rPr>
          <w:rFonts w:ascii="Book Antiqua" w:hAnsi="Book Antiqua" w:cs="Arial"/>
          <w:sz w:val="20"/>
          <w:szCs w:val="20"/>
        </w:rPr>
        <w:t xml:space="preserve">) [16]); </w:t>
      </w:r>
    </w:p>
    <w:p w14:paraId="78CCCC41" w14:textId="77777777" w:rsidR="00A272CE" w:rsidRPr="00363250" w:rsidRDefault="00A272CE" w:rsidP="00A272CE">
      <w:pPr>
        <w:ind w:left="1701" w:right="566" w:hanging="567"/>
        <w:jc w:val="both"/>
        <w:rPr>
          <w:rFonts w:ascii="Book Antiqua" w:hAnsi="Book Antiqua" w:cs="Arial"/>
          <w:sz w:val="20"/>
          <w:szCs w:val="20"/>
        </w:rPr>
      </w:pPr>
    </w:p>
    <w:p w14:paraId="63C4CBA7" w14:textId="77777777" w:rsidR="00A272CE" w:rsidRDefault="00A272CE" w:rsidP="00A272CE">
      <w:pPr>
        <w:ind w:left="1701" w:right="566" w:hanging="567"/>
        <w:jc w:val="both"/>
        <w:rPr>
          <w:rFonts w:ascii="Book Antiqua" w:hAnsi="Book Antiqua" w:cs="Arial"/>
          <w:sz w:val="20"/>
          <w:szCs w:val="20"/>
        </w:rPr>
      </w:pPr>
      <w:r w:rsidRPr="00363250">
        <w:rPr>
          <w:rFonts w:ascii="Book Antiqua" w:hAnsi="Book Antiqua" w:cs="Arial"/>
          <w:sz w:val="20"/>
          <w:szCs w:val="20"/>
        </w:rPr>
        <w:t xml:space="preserve">iv) </w:t>
      </w:r>
      <w:r w:rsidRPr="00363250">
        <w:rPr>
          <w:rFonts w:ascii="Book Antiqua" w:hAnsi="Book Antiqua" w:cs="Arial"/>
          <w:sz w:val="20"/>
          <w:szCs w:val="20"/>
        </w:rPr>
        <w:tab/>
        <w:t>The pre-condition of sufficiency of means cannot be fulfilled by funds derived from employment that is precarious because it is unlawful: (</w:t>
      </w:r>
      <w:r w:rsidRPr="00363250">
        <w:rPr>
          <w:rFonts w:ascii="Book Antiqua" w:hAnsi="Book Antiqua" w:cs="Arial"/>
          <w:sz w:val="20"/>
          <w:szCs w:val="20"/>
          <w:u w:val="single"/>
        </w:rPr>
        <w:t xml:space="preserve">W (China) </w:t>
      </w:r>
      <w:r w:rsidRPr="00363250">
        <w:rPr>
          <w:rFonts w:ascii="Book Antiqua" w:hAnsi="Book Antiqua" w:cs="Arial"/>
          <w:sz w:val="20"/>
          <w:szCs w:val="20"/>
        </w:rPr>
        <w:t xml:space="preserve">[14]); </w:t>
      </w:r>
    </w:p>
    <w:p w14:paraId="0FC5B131" w14:textId="77777777" w:rsidR="00A272CE" w:rsidRPr="00363250" w:rsidRDefault="00A272CE" w:rsidP="00A272CE">
      <w:pPr>
        <w:ind w:left="1701" w:right="566" w:hanging="567"/>
        <w:jc w:val="both"/>
        <w:rPr>
          <w:rFonts w:ascii="Book Antiqua" w:hAnsi="Book Antiqua" w:cs="Arial"/>
          <w:sz w:val="20"/>
          <w:szCs w:val="20"/>
        </w:rPr>
      </w:pPr>
    </w:p>
    <w:p w14:paraId="2E2B7161" w14:textId="77777777" w:rsidR="002B574F" w:rsidRDefault="00A272CE" w:rsidP="00803D50">
      <w:pPr>
        <w:numPr>
          <w:ilvl w:val="0"/>
          <w:numId w:val="1"/>
        </w:numPr>
        <w:tabs>
          <w:tab w:val="left" w:pos="567"/>
        </w:tabs>
        <w:spacing w:before="240"/>
        <w:ind w:left="564" w:hanging="564"/>
        <w:jc w:val="both"/>
        <w:rPr>
          <w:rFonts w:ascii="Book Antiqua" w:hAnsi="Book Antiqua" w:cs="Arial"/>
        </w:rPr>
      </w:pPr>
      <w:r w:rsidRPr="00363250">
        <w:rPr>
          <w:rFonts w:ascii="Book Antiqua" w:hAnsi="Book Antiqua" w:cs="Arial"/>
          <w:sz w:val="20"/>
          <w:szCs w:val="20"/>
        </w:rPr>
        <w:t xml:space="preserve">v) </w:t>
      </w:r>
      <w:r w:rsidRPr="00363250">
        <w:rPr>
          <w:rFonts w:ascii="Book Antiqua" w:hAnsi="Book Antiqua" w:cs="Arial"/>
          <w:sz w:val="20"/>
          <w:szCs w:val="20"/>
        </w:rPr>
        <w:tab/>
        <w:t>The member state is under no obligation to adjust its domestic law in order to make available to the EU citizen resources that will enable him to fulfil the pre-condition to the existence of the Article 18 right: (</w:t>
      </w:r>
      <w:r w:rsidRPr="00363250">
        <w:rPr>
          <w:rFonts w:ascii="Book Antiqua" w:hAnsi="Book Antiqua" w:cs="Arial"/>
          <w:sz w:val="20"/>
          <w:szCs w:val="20"/>
          <w:u w:val="single"/>
        </w:rPr>
        <w:t>W (China</w:t>
      </w:r>
      <w:r w:rsidRPr="00363250">
        <w:rPr>
          <w:rFonts w:ascii="Book Antiqua" w:hAnsi="Book Antiqua" w:cs="Arial"/>
          <w:sz w:val="20"/>
          <w:szCs w:val="20"/>
        </w:rPr>
        <w:t xml:space="preserve">) [16]).” </w:t>
      </w:r>
      <w:r w:rsidR="00040419" w:rsidRPr="002B574F">
        <w:rPr>
          <w:rFonts w:ascii="Book Antiqua" w:hAnsi="Book Antiqua" w:cs="Arial"/>
        </w:rPr>
        <w:t xml:space="preserve">Consequently, </w:t>
      </w:r>
      <w:r w:rsidR="000F7D0C" w:rsidRPr="002B574F">
        <w:rPr>
          <w:rFonts w:ascii="Book Antiqua" w:hAnsi="Book Antiqua" w:cs="Arial"/>
        </w:rPr>
        <w:t xml:space="preserve">another’s earnings </w:t>
      </w:r>
      <w:r w:rsidR="00A619AE">
        <w:rPr>
          <w:rFonts w:ascii="Book Antiqua" w:hAnsi="Book Antiqua" w:cs="Arial"/>
        </w:rPr>
        <w:t xml:space="preserve">- </w:t>
      </w:r>
      <w:r w:rsidR="000F7D0C" w:rsidRPr="002B574F">
        <w:rPr>
          <w:rFonts w:ascii="Book Antiqua" w:hAnsi="Book Antiqua" w:cs="Arial"/>
        </w:rPr>
        <w:t>when that individual had no legal right to work</w:t>
      </w:r>
      <w:r w:rsidR="00040419" w:rsidRPr="002B574F">
        <w:rPr>
          <w:rFonts w:ascii="Book Antiqua" w:hAnsi="Book Antiqua" w:cs="Arial"/>
        </w:rPr>
        <w:t xml:space="preserve"> </w:t>
      </w:r>
      <w:r w:rsidR="00A619AE">
        <w:rPr>
          <w:rFonts w:ascii="Book Antiqua" w:hAnsi="Book Antiqua" w:cs="Arial"/>
        </w:rPr>
        <w:t xml:space="preserve">- </w:t>
      </w:r>
      <w:r w:rsidR="00040419" w:rsidRPr="002B574F">
        <w:rPr>
          <w:rFonts w:ascii="Book Antiqua" w:hAnsi="Book Antiqua" w:cs="Arial"/>
        </w:rPr>
        <w:t>cannot be taken into account</w:t>
      </w:r>
      <w:r w:rsidR="005D5BC6" w:rsidRPr="002B574F">
        <w:rPr>
          <w:rFonts w:ascii="Book Antiqua" w:hAnsi="Book Antiqua" w:cs="Arial"/>
        </w:rPr>
        <w:t xml:space="preserve"> (</w:t>
      </w:r>
      <w:r w:rsidR="005D5BC6" w:rsidRPr="002B574F">
        <w:rPr>
          <w:rFonts w:ascii="Book Antiqua" w:hAnsi="Book Antiqua" w:cs="Arial"/>
          <w:u w:val="single"/>
        </w:rPr>
        <w:t>W (China) v SSHD</w:t>
      </w:r>
      <w:r w:rsidR="005D5BC6" w:rsidRPr="002B574F">
        <w:rPr>
          <w:rFonts w:ascii="Book Antiqua" w:hAnsi="Book Antiqua" w:cs="Arial"/>
        </w:rPr>
        <w:t xml:space="preserve">) and </w:t>
      </w:r>
      <w:r w:rsidR="000F7D0C" w:rsidRPr="002B574F">
        <w:rPr>
          <w:rFonts w:ascii="Book Antiqua" w:hAnsi="Book Antiqua" w:cs="Arial"/>
        </w:rPr>
        <w:t xml:space="preserve">income </w:t>
      </w:r>
      <w:r w:rsidR="005D5BC6" w:rsidRPr="002B574F">
        <w:rPr>
          <w:rFonts w:ascii="Book Antiqua" w:hAnsi="Book Antiqua" w:cs="Arial"/>
        </w:rPr>
        <w:t xml:space="preserve">acquired as a result of </w:t>
      </w:r>
      <w:r w:rsidR="000F7D0C" w:rsidRPr="002B574F">
        <w:rPr>
          <w:rFonts w:ascii="Book Antiqua" w:hAnsi="Book Antiqua" w:cs="Arial"/>
        </w:rPr>
        <w:t xml:space="preserve">a right to work derived </w:t>
      </w:r>
      <w:r w:rsidR="000F7D0C" w:rsidRPr="00A619AE">
        <w:rPr>
          <w:rFonts w:ascii="Book Antiqua" w:hAnsi="Book Antiqua" w:cs="Arial"/>
          <w:u w:val="single"/>
        </w:rPr>
        <w:t>only</w:t>
      </w:r>
      <w:r w:rsidR="000F7D0C" w:rsidRPr="002B574F">
        <w:rPr>
          <w:rFonts w:ascii="Book Antiqua" w:hAnsi="Book Antiqua" w:cs="Arial"/>
        </w:rPr>
        <w:t xml:space="preserve"> from s.3C leave cannot be taken into account (</w:t>
      </w:r>
      <w:r w:rsidR="000F7D0C" w:rsidRPr="002B574F">
        <w:rPr>
          <w:rFonts w:ascii="Book Antiqua" w:hAnsi="Book Antiqua" w:cs="Arial"/>
          <w:u w:val="single"/>
        </w:rPr>
        <w:t>Liu</w:t>
      </w:r>
      <w:r w:rsidR="00964821">
        <w:rPr>
          <w:rFonts w:ascii="Book Antiqua" w:hAnsi="Book Antiqua" w:cs="Arial"/>
          <w:u w:val="single"/>
        </w:rPr>
        <w:t xml:space="preserve"> and others</w:t>
      </w:r>
      <w:r w:rsidR="000F7D0C" w:rsidRPr="002B574F">
        <w:rPr>
          <w:rFonts w:ascii="Book Antiqua" w:hAnsi="Book Antiqua" w:cs="Arial"/>
          <w:u w:val="single"/>
        </w:rPr>
        <w:t xml:space="preserve"> v SSHD</w:t>
      </w:r>
      <w:r w:rsidR="000F7D0C" w:rsidRPr="002B574F">
        <w:rPr>
          <w:rFonts w:ascii="Book Antiqua" w:hAnsi="Book Antiqua" w:cs="Arial"/>
        </w:rPr>
        <w:t>)</w:t>
      </w:r>
      <w:r w:rsidR="005D5BC6" w:rsidRPr="002B574F">
        <w:rPr>
          <w:rFonts w:ascii="Book Antiqua" w:hAnsi="Book Antiqua" w:cs="Arial"/>
        </w:rPr>
        <w:t>.  Those decisions remain binding upon us.</w:t>
      </w:r>
    </w:p>
    <w:p w14:paraId="53A96224" w14:textId="77777777" w:rsidR="002B574F" w:rsidRPr="00BF65A6" w:rsidRDefault="002B574F" w:rsidP="00F66EFC">
      <w:pPr>
        <w:numPr>
          <w:ilvl w:val="0"/>
          <w:numId w:val="1"/>
        </w:numPr>
        <w:spacing w:before="240"/>
        <w:ind w:left="564" w:hanging="564"/>
        <w:jc w:val="both"/>
        <w:rPr>
          <w:rFonts w:ascii="Book Antiqua" w:hAnsi="Book Antiqua" w:cs="Arial"/>
        </w:rPr>
      </w:pPr>
      <w:r w:rsidRPr="00BF65A6">
        <w:rPr>
          <w:rFonts w:ascii="Book Antiqua" w:hAnsi="Book Antiqua" w:cs="Arial"/>
        </w:rPr>
        <w:lastRenderedPageBreak/>
        <w:t>The Upper Tribunal</w:t>
      </w:r>
      <w:r w:rsidR="00F65550" w:rsidRPr="00BF65A6">
        <w:rPr>
          <w:rFonts w:ascii="Book Antiqua" w:hAnsi="Book Antiqua" w:cs="Arial"/>
        </w:rPr>
        <w:t xml:space="preserve"> considered the case law in</w:t>
      </w:r>
      <w:r w:rsidRPr="00BF65A6">
        <w:rPr>
          <w:rFonts w:ascii="Book Antiqua" w:hAnsi="Book Antiqua" w:cs="Arial"/>
        </w:rPr>
        <w:t xml:space="preserve"> </w:t>
      </w:r>
      <w:proofErr w:type="spellStart"/>
      <w:r w:rsidRPr="00BF65A6">
        <w:rPr>
          <w:rFonts w:ascii="Book Antiqua" w:hAnsi="Book Antiqua" w:cs="Arial"/>
          <w:u w:val="single"/>
        </w:rPr>
        <w:t>Seye</w:t>
      </w:r>
      <w:proofErr w:type="spellEnd"/>
      <w:r w:rsidRPr="00BF65A6">
        <w:rPr>
          <w:rFonts w:ascii="Book Antiqua" w:hAnsi="Book Antiqua" w:cs="Arial"/>
        </w:rPr>
        <w:t xml:space="preserve"> (Chen children; employment) [2013] UKUT 00178</w:t>
      </w:r>
      <w:r w:rsidR="00F65550" w:rsidRPr="00BF65A6">
        <w:rPr>
          <w:rFonts w:ascii="Book Antiqua" w:hAnsi="Book Antiqua" w:cs="Arial"/>
        </w:rPr>
        <w:t xml:space="preserve">.  </w:t>
      </w:r>
      <w:r w:rsidR="00BF65A6" w:rsidRPr="00BF65A6">
        <w:rPr>
          <w:rFonts w:ascii="Book Antiqua" w:hAnsi="Book Antiqua" w:cs="Arial"/>
        </w:rPr>
        <w:t xml:space="preserve">We were unfortunately not taken to </w:t>
      </w:r>
      <w:proofErr w:type="spellStart"/>
      <w:r w:rsidR="00BF65A6" w:rsidRPr="00BF65A6">
        <w:rPr>
          <w:rFonts w:ascii="Book Antiqua" w:hAnsi="Book Antiqua" w:cs="Arial"/>
          <w:u w:val="single"/>
        </w:rPr>
        <w:t>Seye</w:t>
      </w:r>
      <w:proofErr w:type="spellEnd"/>
      <w:r w:rsidR="00BF65A6" w:rsidRPr="00BF65A6">
        <w:rPr>
          <w:rFonts w:ascii="Book Antiqua" w:hAnsi="Book Antiqua" w:cs="Arial"/>
        </w:rPr>
        <w:t xml:space="preserve"> by the parties.  </w:t>
      </w:r>
      <w:r w:rsidR="00F65550" w:rsidRPr="00BF65A6">
        <w:rPr>
          <w:rFonts w:ascii="Book Antiqua" w:hAnsi="Book Antiqua" w:cs="Arial"/>
        </w:rPr>
        <w:t>The headnote usefully summarises its conclusions as follows</w:t>
      </w:r>
      <w:r w:rsidRPr="00BF65A6">
        <w:rPr>
          <w:rFonts w:ascii="Book Antiqua" w:hAnsi="Book Antiqua" w:cs="Arial"/>
        </w:rPr>
        <w:t>:</w:t>
      </w:r>
    </w:p>
    <w:p w14:paraId="2426D8FE" w14:textId="77777777" w:rsidR="002B574F" w:rsidRPr="0028169F" w:rsidRDefault="002B574F" w:rsidP="002B574F">
      <w:pPr>
        <w:tabs>
          <w:tab w:val="left" w:pos="567"/>
        </w:tabs>
        <w:ind w:left="564" w:hanging="564"/>
        <w:jc w:val="both"/>
        <w:rPr>
          <w:rFonts w:ascii="Book Antiqua" w:hAnsi="Book Antiqua" w:cs="Arial"/>
        </w:rPr>
      </w:pPr>
    </w:p>
    <w:p w14:paraId="015F60EB" w14:textId="77777777" w:rsidR="002B574F" w:rsidRPr="0028169F" w:rsidRDefault="002B574F" w:rsidP="00F65550">
      <w:pPr>
        <w:numPr>
          <w:ilvl w:val="0"/>
          <w:numId w:val="6"/>
        </w:numPr>
        <w:ind w:right="566"/>
        <w:jc w:val="both"/>
        <w:rPr>
          <w:sz w:val="20"/>
          <w:szCs w:val="20"/>
        </w:rPr>
      </w:pPr>
      <w:r w:rsidRPr="0028169F">
        <w:rPr>
          <w:rFonts w:ascii="Book Antiqua" w:hAnsi="Book Antiqua"/>
          <w:iCs/>
          <w:sz w:val="20"/>
          <w:szCs w:val="20"/>
        </w:rPr>
        <w:t xml:space="preserve">It is clear that income from illegal employment in the host Member State on the part of a parent of a “Chen” child (Case c-200/02 </w:t>
      </w:r>
      <w:r w:rsidRPr="0028169F">
        <w:rPr>
          <w:rFonts w:ascii="Book Antiqua" w:hAnsi="Book Antiqua"/>
          <w:i/>
          <w:iCs/>
          <w:sz w:val="20"/>
          <w:szCs w:val="20"/>
        </w:rPr>
        <w:t>Chen</w:t>
      </w:r>
      <w:r w:rsidRPr="0028169F">
        <w:rPr>
          <w:rFonts w:ascii="Book Antiqua" w:hAnsi="Book Antiqua"/>
          <w:iCs/>
          <w:sz w:val="20"/>
          <w:szCs w:val="20"/>
        </w:rPr>
        <w:t xml:space="preserve"> </w:t>
      </w:r>
      <w:r w:rsidRPr="00733925">
        <w:rPr>
          <w:rFonts w:ascii="Book Antiqua" w:hAnsi="Book Antiqua"/>
          <w:iCs/>
          <w:sz w:val="20"/>
          <w:szCs w:val="20"/>
        </w:rPr>
        <w:t>[2004] ECR I-9925</w:t>
      </w:r>
      <w:r w:rsidRPr="0028169F">
        <w:rPr>
          <w:rFonts w:ascii="Book Antiqua" w:hAnsi="Book Antiqua"/>
          <w:iCs/>
          <w:sz w:val="20"/>
          <w:szCs w:val="20"/>
        </w:rPr>
        <w:t>) cannot create self-sufficiency for that child (</w:t>
      </w:r>
      <w:r w:rsidRPr="0028169F">
        <w:rPr>
          <w:rFonts w:ascii="Book Antiqua" w:hAnsi="Book Antiqua"/>
          <w:i/>
          <w:iCs/>
          <w:sz w:val="20"/>
          <w:szCs w:val="20"/>
        </w:rPr>
        <w:t>W (China) and X (China)</w:t>
      </w:r>
      <w:r w:rsidRPr="0028169F">
        <w:rPr>
          <w:rFonts w:ascii="Book Antiqua" w:hAnsi="Book Antiqua"/>
          <w:iCs/>
          <w:sz w:val="20"/>
          <w:szCs w:val="20"/>
        </w:rPr>
        <w:t xml:space="preserve"> </w:t>
      </w:r>
      <w:r w:rsidRPr="00733925">
        <w:rPr>
          <w:rFonts w:ascii="Book Antiqua" w:hAnsi="Book Antiqua"/>
          <w:iCs/>
          <w:sz w:val="20"/>
          <w:szCs w:val="20"/>
        </w:rPr>
        <w:t xml:space="preserve">[2006] EWCA </w:t>
      </w:r>
      <w:proofErr w:type="spellStart"/>
      <w:r w:rsidRPr="00733925">
        <w:rPr>
          <w:rFonts w:ascii="Book Antiqua" w:hAnsi="Book Antiqua"/>
          <w:iCs/>
          <w:sz w:val="20"/>
          <w:szCs w:val="20"/>
        </w:rPr>
        <w:t>Civ</w:t>
      </w:r>
      <w:proofErr w:type="spellEnd"/>
      <w:r w:rsidRPr="00733925">
        <w:rPr>
          <w:rFonts w:ascii="Book Antiqua" w:hAnsi="Book Antiqua"/>
          <w:iCs/>
          <w:sz w:val="20"/>
          <w:szCs w:val="20"/>
        </w:rPr>
        <w:t xml:space="preserve"> 1494</w:t>
      </w:r>
      <w:r w:rsidRPr="0028169F">
        <w:rPr>
          <w:rFonts w:ascii="Book Antiqua" w:hAnsi="Book Antiqua"/>
          <w:iCs/>
          <w:sz w:val="20"/>
          <w:szCs w:val="20"/>
        </w:rPr>
        <w:t>).</w:t>
      </w:r>
    </w:p>
    <w:p w14:paraId="4315C647" w14:textId="77777777" w:rsidR="002B574F" w:rsidRPr="0028169F" w:rsidRDefault="002B574F" w:rsidP="00F65550">
      <w:pPr>
        <w:ind w:right="566"/>
        <w:jc w:val="both"/>
        <w:rPr>
          <w:sz w:val="20"/>
          <w:szCs w:val="20"/>
        </w:rPr>
      </w:pPr>
      <w:r w:rsidRPr="0028169F">
        <w:rPr>
          <w:rFonts w:ascii="Book Antiqua" w:hAnsi="Book Antiqua"/>
          <w:iCs/>
          <w:sz w:val="20"/>
          <w:szCs w:val="20"/>
        </w:rPr>
        <w:t> </w:t>
      </w:r>
    </w:p>
    <w:p w14:paraId="35646065" w14:textId="77777777" w:rsidR="002B574F" w:rsidRPr="0028169F" w:rsidRDefault="002B574F" w:rsidP="00F65550">
      <w:pPr>
        <w:numPr>
          <w:ilvl w:val="0"/>
          <w:numId w:val="6"/>
        </w:numPr>
        <w:ind w:right="566"/>
        <w:jc w:val="both"/>
        <w:rPr>
          <w:sz w:val="20"/>
          <w:szCs w:val="20"/>
        </w:rPr>
      </w:pPr>
      <w:r w:rsidRPr="0028169F">
        <w:rPr>
          <w:rFonts w:ascii="Book Antiqua" w:hAnsi="Book Antiqua"/>
          <w:iCs/>
          <w:sz w:val="20"/>
          <w:szCs w:val="20"/>
        </w:rPr>
        <w:t xml:space="preserve">The proposition in </w:t>
      </w:r>
      <w:r w:rsidRPr="0028169F">
        <w:rPr>
          <w:rFonts w:ascii="Book Antiqua" w:hAnsi="Book Antiqua"/>
          <w:i/>
          <w:iCs/>
          <w:sz w:val="20"/>
          <w:szCs w:val="20"/>
        </w:rPr>
        <w:t>MA &amp; Others (EU national: self-sufficiency; lawful employment)</w:t>
      </w:r>
      <w:r w:rsidRPr="0028169F">
        <w:rPr>
          <w:rFonts w:ascii="Book Antiqua" w:hAnsi="Book Antiqua"/>
          <w:iCs/>
          <w:sz w:val="20"/>
          <w:szCs w:val="20"/>
        </w:rPr>
        <w:t xml:space="preserve"> </w:t>
      </w:r>
      <w:r w:rsidRPr="00733925">
        <w:rPr>
          <w:rFonts w:ascii="Book Antiqua" w:hAnsi="Book Antiqua"/>
          <w:iCs/>
          <w:sz w:val="20"/>
          <w:szCs w:val="20"/>
        </w:rPr>
        <w:t>[2006] UKAIT 00090</w:t>
      </w:r>
      <w:r w:rsidRPr="0028169F">
        <w:rPr>
          <w:rFonts w:ascii="Book Antiqua" w:hAnsi="Book Antiqua"/>
          <w:iCs/>
          <w:sz w:val="20"/>
          <w:szCs w:val="20"/>
        </w:rPr>
        <w:t xml:space="preserve"> and </w:t>
      </w:r>
      <w:r w:rsidRPr="0028169F">
        <w:rPr>
          <w:rFonts w:ascii="Book Antiqua" w:hAnsi="Book Antiqua"/>
          <w:i/>
          <w:iCs/>
          <w:sz w:val="20"/>
          <w:szCs w:val="20"/>
        </w:rPr>
        <w:t>ER and Others (EU national; self-sufficiency; illegal employment)</w:t>
      </w:r>
      <w:r w:rsidRPr="0028169F">
        <w:rPr>
          <w:rFonts w:ascii="Book Antiqua" w:hAnsi="Book Antiqua"/>
          <w:iCs/>
          <w:sz w:val="20"/>
          <w:szCs w:val="20"/>
        </w:rPr>
        <w:t xml:space="preserve"> </w:t>
      </w:r>
      <w:r w:rsidRPr="00733925">
        <w:rPr>
          <w:rFonts w:ascii="Book Antiqua" w:hAnsi="Book Antiqua"/>
          <w:iCs/>
          <w:sz w:val="20"/>
          <w:szCs w:val="20"/>
        </w:rPr>
        <w:t>[2006] UKAIT 00096</w:t>
      </w:r>
      <w:r w:rsidRPr="0028169F">
        <w:rPr>
          <w:rFonts w:ascii="Book Antiqua" w:hAnsi="Book Antiqua"/>
          <w:iCs/>
          <w:sz w:val="20"/>
          <w:szCs w:val="20"/>
        </w:rPr>
        <w:t xml:space="preserve"> that even lawful employment cannot create such self-sufficiency, where the parent is on limited leave or temporary admission, must be regarded as doubtful, in the light of </w:t>
      </w:r>
      <w:proofErr w:type="spellStart"/>
      <w:r w:rsidRPr="0028169F">
        <w:rPr>
          <w:rFonts w:ascii="Book Antiqua" w:hAnsi="Book Antiqua"/>
          <w:i/>
          <w:iCs/>
          <w:sz w:val="20"/>
          <w:szCs w:val="20"/>
        </w:rPr>
        <w:t>Metock</w:t>
      </w:r>
      <w:proofErr w:type="spellEnd"/>
      <w:r w:rsidRPr="0028169F">
        <w:rPr>
          <w:rFonts w:ascii="Book Antiqua" w:hAnsi="Book Antiqua"/>
          <w:i/>
          <w:iCs/>
          <w:sz w:val="20"/>
          <w:szCs w:val="20"/>
        </w:rPr>
        <w:t xml:space="preserve"> and Others</w:t>
      </w:r>
      <w:r w:rsidRPr="0028169F">
        <w:rPr>
          <w:rFonts w:ascii="Book Antiqua" w:hAnsi="Book Antiqua"/>
          <w:iCs/>
          <w:sz w:val="20"/>
          <w:szCs w:val="20"/>
        </w:rPr>
        <w:t xml:space="preserve"> </w:t>
      </w:r>
      <w:r w:rsidRPr="00733925">
        <w:rPr>
          <w:rFonts w:ascii="Book Antiqua" w:hAnsi="Book Antiqua"/>
          <w:iCs/>
          <w:sz w:val="20"/>
          <w:szCs w:val="20"/>
        </w:rPr>
        <w:t>[2008] EUECJ C-127/08</w:t>
      </w:r>
      <w:r w:rsidRPr="0028169F">
        <w:rPr>
          <w:rFonts w:ascii="Book Antiqua" w:hAnsi="Book Antiqua"/>
          <w:iCs/>
          <w:sz w:val="20"/>
          <w:szCs w:val="20"/>
        </w:rPr>
        <w:t xml:space="preserve"> and </w:t>
      </w:r>
      <w:r w:rsidRPr="0028169F">
        <w:rPr>
          <w:rFonts w:ascii="Book Antiqua" w:hAnsi="Book Antiqua"/>
          <w:i/>
          <w:iCs/>
          <w:sz w:val="20"/>
          <w:szCs w:val="20"/>
        </w:rPr>
        <w:t xml:space="preserve">Liu and </w:t>
      </w:r>
      <w:proofErr w:type="spellStart"/>
      <w:r w:rsidRPr="0028169F">
        <w:rPr>
          <w:rFonts w:ascii="Book Antiqua" w:hAnsi="Book Antiqua"/>
          <w:i/>
          <w:iCs/>
          <w:sz w:val="20"/>
          <w:szCs w:val="20"/>
        </w:rPr>
        <w:t>Ors</w:t>
      </w:r>
      <w:proofErr w:type="spellEnd"/>
      <w:r w:rsidRPr="0028169F">
        <w:rPr>
          <w:rFonts w:ascii="Book Antiqua" w:hAnsi="Book Antiqua"/>
          <w:i/>
          <w:iCs/>
          <w:sz w:val="20"/>
          <w:szCs w:val="20"/>
        </w:rPr>
        <w:t xml:space="preserve"> v SSHD</w:t>
      </w:r>
      <w:r w:rsidRPr="0028169F">
        <w:rPr>
          <w:rFonts w:ascii="Book Antiqua" w:hAnsi="Book Antiqua"/>
          <w:iCs/>
          <w:sz w:val="20"/>
          <w:szCs w:val="20"/>
        </w:rPr>
        <w:t xml:space="preserve"> </w:t>
      </w:r>
      <w:r w:rsidRPr="00733925">
        <w:rPr>
          <w:rFonts w:ascii="Book Antiqua" w:hAnsi="Book Antiqua"/>
          <w:iCs/>
          <w:sz w:val="20"/>
          <w:szCs w:val="20"/>
        </w:rPr>
        <w:t xml:space="preserve">[2007] EWCA </w:t>
      </w:r>
      <w:proofErr w:type="spellStart"/>
      <w:r w:rsidRPr="00733925">
        <w:rPr>
          <w:rFonts w:ascii="Book Antiqua" w:hAnsi="Book Antiqua"/>
          <w:iCs/>
          <w:sz w:val="20"/>
          <w:szCs w:val="20"/>
        </w:rPr>
        <w:t>Civ</w:t>
      </w:r>
      <w:proofErr w:type="spellEnd"/>
      <w:r w:rsidRPr="00733925">
        <w:rPr>
          <w:rFonts w:ascii="Book Antiqua" w:hAnsi="Book Antiqua"/>
          <w:iCs/>
          <w:sz w:val="20"/>
          <w:szCs w:val="20"/>
        </w:rPr>
        <w:t xml:space="preserve"> 1275</w:t>
      </w:r>
      <w:r w:rsidRPr="0028169F">
        <w:rPr>
          <w:rFonts w:ascii="Book Antiqua" w:hAnsi="Book Antiqua"/>
          <w:iCs/>
          <w:sz w:val="20"/>
          <w:szCs w:val="20"/>
        </w:rPr>
        <w:t>.</w:t>
      </w:r>
    </w:p>
    <w:p w14:paraId="66D2D662" w14:textId="77777777" w:rsidR="002B574F" w:rsidRPr="0028169F" w:rsidRDefault="002B574F" w:rsidP="00F65550">
      <w:pPr>
        <w:ind w:right="566"/>
        <w:jc w:val="both"/>
        <w:rPr>
          <w:sz w:val="20"/>
          <w:szCs w:val="20"/>
        </w:rPr>
      </w:pPr>
      <w:r w:rsidRPr="0028169F">
        <w:rPr>
          <w:rFonts w:ascii="Book Antiqua" w:hAnsi="Book Antiqua"/>
          <w:iCs/>
          <w:sz w:val="20"/>
          <w:szCs w:val="20"/>
        </w:rPr>
        <w:t> </w:t>
      </w:r>
    </w:p>
    <w:p w14:paraId="417769AF" w14:textId="77777777" w:rsidR="002B574F" w:rsidRPr="006E0611" w:rsidRDefault="002B574F" w:rsidP="00F65550">
      <w:pPr>
        <w:numPr>
          <w:ilvl w:val="0"/>
          <w:numId w:val="6"/>
        </w:numPr>
        <w:ind w:right="566"/>
        <w:jc w:val="both"/>
        <w:rPr>
          <w:sz w:val="20"/>
          <w:szCs w:val="20"/>
        </w:rPr>
      </w:pPr>
      <w:r w:rsidRPr="006E0611">
        <w:rPr>
          <w:rFonts w:ascii="Book Antiqua" w:hAnsi="Book Antiqua"/>
          <w:iCs/>
          <w:sz w:val="20"/>
          <w:szCs w:val="20"/>
        </w:rPr>
        <w:t xml:space="preserve">It is, however, part of the binding ratio in </w:t>
      </w:r>
      <w:r w:rsidRPr="006E0611">
        <w:rPr>
          <w:rFonts w:ascii="Book Antiqua" w:hAnsi="Book Antiqua"/>
          <w:i/>
          <w:iCs/>
          <w:sz w:val="20"/>
          <w:szCs w:val="20"/>
        </w:rPr>
        <w:t xml:space="preserve">Liu </w:t>
      </w:r>
      <w:r w:rsidRPr="006E0611">
        <w:rPr>
          <w:rFonts w:ascii="Book Antiqua" w:hAnsi="Book Antiqua"/>
          <w:iCs/>
          <w:sz w:val="20"/>
          <w:szCs w:val="20"/>
        </w:rPr>
        <w:t>that lawful employment undertaken by a parent whose leave has been extended under section 3C of the Immigration Act</w:t>
      </w:r>
      <w:r>
        <w:rPr>
          <w:rFonts w:ascii="Book Antiqua" w:hAnsi="Book Antiqua"/>
          <w:iCs/>
          <w:sz w:val="20"/>
          <w:szCs w:val="20"/>
        </w:rPr>
        <w:t xml:space="preserve"> 1971 cannot create self-</w:t>
      </w:r>
      <w:r w:rsidRPr="006E0611">
        <w:rPr>
          <w:rFonts w:ascii="Book Antiqua" w:hAnsi="Book Antiqua"/>
          <w:iCs/>
          <w:sz w:val="20"/>
          <w:szCs w:val="20"/>
        </w:rPr>
        <w:t>sufficiency for the “Chen” child.</w:t>
      </w:r>
    </w:p>
    <w:p w14:paraId="1D1E30A0" w14:textId="77777777" w:rsidR="002B574F" w:rsidRDefault="002B574F" w:rsidP="002B574F">
      <w:pPr>
        <w:tabs>
          <w:tab w:val="left" w:pos="567"/>
        </w:tabs>
        <w:ind w:left="564" w:hanging="564"/>
        <w:jc w:val="both"/>
        <w:rPr>
          <w:rFonts w:ascii="Book Antiqua" w:hAnsi="Book Antiqua" w:cs="Arial"/>
        </w:rPr>
      </w:pPr>
    </w:p>
    <w:p w14:paraId="2A3C19A2" w14:textId="77777777" w:rsidR="002B574F" w:rsidRDefault="002B574F" w:rsidP="002B574F">
      <w:pPr>
        <w:tabs>
          <w:tab w:val="left" w:pos="567"/>
        </w:tabs>
        <w:ind w:left="564" w:hanging="564"/>
        <w:jc w:val="both"/>
        <w:rPr>
          <w:rFonts w:ascii="Book Antiqua" w:hAnsi="Book Antiqua" w:cs="Arial"/>
        </w:rPr>
      </w:pPr>
      <w:r>
        <w:rPr>
          <w:rFonts w:ascii="Book Antiqua" w:hAnsi="Book Antiqua" w:cs="Arial"/>
        </w:rPr>
        <w:t>19.</w:t>
      </w:r>
      <w:r>
        <w:rPr>
          <w:rFonts w:ascii="Book Antiqua" w:hAnsi="Book Antiqua" w:cs="Arial"/>
        </w:rPr>
        <w:tab/>
      </w:r>
      <w:r w:rsidR="00480C4E">
        <w:rPr>
          <w:rFonts w:ascii="Book Antiqua" w:hAnsi="Book Antiqua" w:cs="Arial"/>
        </w:rPr>
        <w:t xml:space="preserve">The point at issue in the present appeal was, however, left open by the Upper Tribunal although it is fair to say that it considered </w:t>
      </w:r>
      <w:r w:rsidR="007715FB">
        <w:rPr>
          <w:rFonts w:ascii="Book Antiqua" w:hAnsi="Book Antiqua" w:cs="Arial"/>
        </w:rPr>
        <w:t xml:space="preserve">that </w:t>
      </w:r>
      <w:r w:rsidR="00480C4E">
        <w:rPr>
          <w:rFonts w:ascii="Book Antiqua" w:hAnsi="Book Antiqua" w:cs="Arial"/>
        </w:rPr>
        <w:t xml:space="preserve">the </w:t>
      </w:r>
      <w:r w:rsidR="009D4A04">
        <w:rPr>
          <w:rFonts w:ascii="Book Antiqua" w:hAnsi="Book Antiqua" w:cs="Arial"/>
        </w:rPr>
        <w:t>CJEU</w:t>
      </w:r>
      <w:r w:rsidR="007715FB">
        <w:rPr>
          <w:rFonts w:ascii="Book Antiqua" w:hAnsi="Book Antiqua" w:cs="Arial"/>
        </w:rPr>
        <w:t>’s</w:t>
      </w:r>
      <w:r w:rsidR="009D4A04">
        <w:rPr>
          <w:rFonts w:ascii="Book Antiqua" w:hAnsi="Book Antiqua" w:cs="Arial"/>
        </w:rPr>
        <w:t xml:space="preserve"> case law made the </w:t>
      </w:r>
      <w:r w:rsidR="00941C7A">
        <w:rPr>
          <w:rFonts w:ascii="Book Antiqua" w:hAnsi="Book Antiqua" w:cs="Arial"/>
        </w:rPr>
        <w:t>Secretary</w:t>
      </w:r>
      <w:r w:rsidR="009D4A04">
        <w:rPr>
          <w:rFonts w:ascii="Book Antiqua" w:hAnsi="Book Antiqua" w:cs="Arial"/>
        </w:rPr>
        <w:t xml:space="preserve"> of State’s argument, as </w:t>
      </w:r>
      <w:r w:rsidR="007F4C8F">
        <w:rPr>
          <w:rFonts w:ascii="Book Antiqua" w:hAnsi="Book Antiqua" w:cs="Arial"/>
        </w:rPr>
        <w:t xml:space="preserve">propounded </w:t>
      </w:r>
      <w:r w:rsidR="009D4A04">
        <w:rPr>
          <w:rFonts w:ascii="Book Antiqua" w:hAnsi="Book Antiqua" w:cs="Arial"/>
        </w:rPr>
        <w:t xml:space="preserve">in this appeal, less likely to be sustainable.  At </w:t>
      </w:r>
      <w:r w:rsidR="00941C7A">
        <w:rPr>
          <w:rFonts w:ascii="Book Antiqua" w:hAnsi="Book Antiqua" w:cs="Arial"/>
        </w:rPr>
        <w:t>[51], the Upper Tribunal said this:</w:t>
      </w:r>
    </w:p>
    <w:p w14:paraId="5EB01578" w14:textId="77777777" w:rsidR="002B574F" w:rsidRDefault="002B574F" w:rsidP="002B574F">
      <w:pPr>
        <w:tabs>
          <w:tab w:val="left" w:pos="567"/>
        </w:tabs>
        <w:ind w:left="564" w:hanging="564"/>
        <w:jc w:val="both"/>
        <w:rPr>
          <w:rFonts w:ascii="Book Antiqua" w:hAnsi="Book Antiqua" w:cs="Arial"/>
        </w:rPr>
      </w:pPr>
    </w:p>
    <w:p w14:paraId="24349096" w14:textId="77777777" w:rsidR="002B574F" w:rsidRPr="00190894" w:rsidRDefault="002B574F" w:rsidP="00C218DC">
      <w:pPr>
        <w:tabs>
          <w:tab w:val="left" w:pos="567"/>
        </w:tabs>
        <w:ind w:left="1440" w:right="566"/>
        <w:jc w:val="both"/>
        <w:rPr>
          <w:rFonts w:ascii="Book Antiqua" w:hAnsi="Book Antiqua" w:cs="Arial"/>
          <w:sz w:val="20"/>
          <w:szCs w:val="20"/>
        </w:rPr>
      </w:pPr>
      <w:r w:rsidRPr="00190894">
        <w:rPr>
          <w:rFonts w:ascii="Book Antiqua" w:hAnsi="Book Antiqua" w:cs="Arial"/>
          <w:sz w:val="20"/>
          <w:szCs w:val="20"/>
        </w:rPr>
        <w:t xml:space="preserve">“51. </w:t>
      </w:r>
      <w:r w:rsidRPr="00190894">
        <w:rPr>
          <w:rFonts w:ascii="Book Antiqua" w:hAnsi="Book Antiqua"/>
          <w:sz w:val="20"/>
          <w:szCs w:val="20"/>
        </w:rPr>
        <w:t xml:space="preserve">It seems to us that the preponderance of argument does not exclude the second position being consistent with either Court of Justice or Court of Appeal authority. However, we do not need in this case to resolve definitively which of the two positions described above is correct. As already explained, even assuming that the second position is the correct one under EU law, the claimants in this case could still not establish their case. Under the second position there remains the question of what type of employment could be considered to demonstrate such self-sufficiency in the Union citizen child. Whilst in our opinion the case law of the Court of Justice and Court of Appeal does not exclude employment on the part of a parent or parents in the host Member State being able to create self-sufficiency for their Union citizen child in some circumstances, it clearly does exclude employment that is illegal employment as well as employment that is lawful purely in the sense that the relevant parent has section 3C leave. That is why the appellants Mrs Wang and Mr and Mrs Ahmed lost in </w:t>
      </w:r>
      <w:r w:rsidRPr="00190894">
        <w:rPr>
          <w:rFonts w:ascii="Book Antiqua" w:hAnsi="Book Antiqua"/>
          <w:sz w:val="20"/>
          <w:szCs w:val="20"/>
          <w:u w:val="single"/>
        </w:rPr>
        <w:t>Liu</w:t>
      </w:r>
      <w:r w:rsidRPr="00190894">
        <w:rPr>
          <w:rFonts w:ascii="Book Antiqua" w:hAnsi="Book Antiqua"/>
          <w:sz w:val="20"/>
          <w:szCs w:val="20"/>
        </w:rPr>
        <w:t xml:space="preserve"> and why the claimants cannot succeed in the appeal before us.”</w:t>
      </w:r>
    </w:p>
    <w:p w14:paraId="0F9B84DD" w14:textId="4CA8322E" w:rsidR="00393C92" w:rsidRPr="008879A0" w:rsidRDefault="00104613" w:rsidP="00C85867">
      <w:pPr>
        <w:numPr>
          <w:ilvl w:val="0"/>
          <w:numId w:val="1"/>
        </w:numPr>
        <w:tabs>
          <w:tab w:val="clear" w:pos="567"/>
        </w:tabs>
        <w:spacing w:before="240"/>
        <w:jc w:val="both"/>
        <w:rPr>
          <w:rFonts w:ascii="Book Antiqua" w:hAnsi="Book Antiqua" w:cs="Arial"/>
        </w:rPr>
      </w:pPr>
      <w:r w:rsidRPr="008879A0">
        <w:rPr>
          <w:rFonts w:ascii="Book Antiqua" w:hAnsi="Book Antiqua" w:cs="Arial"/>
        </w:rPr>
        <w:t xml:space="preserve">We agree with the Upper Tribunal’s ‘inclination’ in </w:t>
      </w:r>
      <w:proofErr w:type="spellStart"/>
      <w:r w:rsidRPr="008879A0">
        <w:rPr>
          <w:rFonts w:ascii="Book Antiqua" w:hAnsi="Book Antiqua" w:cs="Arial"/>
          <w:u w:val="single"/>
        </w:rPr>
        <w:t>Seye</w:t>
      </w:r>
      <w:proofErr w:type="spellEnd"/>
      <w:r w:rsidRPr="008879A0">
        <w:rPr>
          <w:rFonts w:ascii="Book Antiqua" w:hAnsi="Book Antiqua" w:cs="Arial"/>
        </w:rPr>
        <w:t xml:space="preserve"> as to the proper effect of EU law. </w:t>
      </w:r>
      <w:r w:rsidR="007715FB">
        <w:rPr>
          <w:rFonts w:ascii="Book Antiqua" w:hAnsi="Book Antiqua" w:cs="Arial"/>
        </w:rPr>
        <w:t>W</w:t>
      </w:r>
      <w:r w:rsidR="00CD4AFE" w:rsidRPr="008879A0">
        <w:rPr>
          <w:rFonts w:ascii="Book Antiqua" w:hAnsi="Book Antiqua" w:cs="Arial"/>
        </w:rPr>
        <w:t>e</w:t>
      </w:r>
      <w:r w:rsidR="004A278D" w:rsidRPr="008879A0">
        <w:rPr>
          <w:rFonts w:ascii="Book Antiqua" w:hAnsi="Book Antiqua" w:cs="Arial"/>
        </w:rPr>
        <w:t xml:space="preserve"> reject </w:t>
      </w:r>
      <w:r w:rsidR="00CD4AFE" w:rsidRPr="008879A0">
        <w:rPr>
          <w:rFonts w:ascii="Book Antiqua" w:hAnsi="Book Antiqua" w:cs="Arial"/>
        </w:rPr>
        <w:t xml:space="preserve">Mr </w:t>
      </w:r>
      <w:proofErr w:type="spellStart"/>
      <w:r w:rsidR="00CD4AFE" w:rsidRPr="008879A0">
        <w:rPr>
          <w:rFonts w:ascii="Book Antiqua" w:hAnsi="Book Antiqua" w:cs="Arial"/>
        </w:rPr>
        <w:t>McVeety’s</w:t>
      </w:r>
      <w:proofErr w:type="spellEnd"/>
      <w:r w:rsidR="004A278D" w:rsidRPr="008879A0">
        <w:rPr>
          <w:rFonts w:ascii="Book Antiqua" w:hAnsi="Book Antiqua" w:cs="Arial"/>
        </w:rPr>
        <w:t xml:space="preserve"> submission</w:t>
      </w:r>
      <w:r w:rsidR="00CD4AFE" w:rsidRPr="008879A0">
        <w:rPr>
          <w:rFonts w:ascii="Book Antiqua" w:hAnsi="Book Antiqua" w:cs="Arial"/>
        </w:rPr>
        <w:t xml:space="preserve"> that income derived from lawful employment</w:t>
      </w:r>
      <w:r w:rsidR="00216B65" w:rsidRPr="008879A0">
        <w:rPr>
          <w:rFonts w:ascii="Book Antiqua" w:hAnsi="Book Antiqua" w:cs="Arial"/>
        </w:rPr>
        <w:t xml:space="preserve"> </w:t>
      </w:r>
      <w:r w:rsidR="007715FB">
        <w:rPr>
          <w:rFonts w:ascii="Book Antiqua" w:hAnsi="Book Antiqua" w:cs="Arial"/>
        </w:rPr>
        <w:t>(excluding</w:t>
      </w:r>
      <w:r w:rsidR="0037433A">
        <w:rPr>
          <w:rFonts w:ascii="Book Antiqua" w:hAnsi="Book Antiqua" w:cs="Arial"/>
        </w:rPr>
        <w:t xml:space="preserve"> </w:t>
      </w:r>
      <w:r w:rsidR="007715FB">
        <w:rPr>
          <w:rFonts w:ascii="Book Antiqua" w:hAnsi="Book Antiqua" w:cs="Arial"/>
        </w:rPr>
        <w:t xml:space="preserve">that derived from a right to work during any s.3C leave) </w:t>
      </w:r>
      <w:r w:rsidR="00216B65" w:rsidRPr="008879A0">
        <w:rPr>
          <w:rFonts w:ascii="Book Antiqua" w:hAnsi="Book Antiqua" w:cs="Arial"/>
        </w:rPr>
        <w:t>cannot be taken into account in establishing ‘self-sufficiency</w:t>
      </w:r>
      <w:r w:rsidR="007715FB">
        <w:rPr>
          <w:rFonts w:ascii="Book Antiqua" w:hAnsi="Book Antiqua" w:cs="Arial"/>
        </w:rPr>
        <w:t>’</w:t>
      </w:r>
      <w:r w:rsidR="00216B65" w:rsidRPr="008879A0">
        <w:rPr>
          <w:rFonts w:ascii="Book Antiqua" w:hAnsi="Book Antiqua" w:cs="Arial"/>
        </w:rPr>
        <w:t xml:space="preserve">.  </w:t>
      </w:r>
      <w:r w:rsidR="00866109" w:rsidRPr="008879A0">
        <w:rPr>
          <w:rFonts w:ascii="Book Antiqua" w:hAnsi="Book Antiqua" w:cs="Arial"/>
        </w:rPr>
        <w:t>Th</w:t>
      </w:r>
      <w:r w:rsidR="0037433A">
        <w:rPr>
          <w:rFonts w:ascii="Book Antiqua" w:hAnsi="Book Antiqua" w:cs="Arial"/>
        </w:rPr>
        <w:t>e</w:t>
      </w:r>
      <w:r w:rsidR="00866109" w:rsidRPr="008879A0">
        <w:rPr>
          <w:rFonts w:ascii="Book Antiqua" w:hAnsi="Book Antiqua" w:cs="Arial"/>
        </w:rPr>
        <w:t xml:space="preserve"> </w:t>
      </w:r>
      <w:r w:rsidR="008879A0" w:rsidRPr="008879A0">
        <w:rPr>
          <w:rFonts w:ascii="Book Antiqua" w:hAnsi="Book Antiqua" w:cs="Arial"/>
        </w:rPr>
        <w:t xml:space="preserve">lawful </w:t>
      </w:r>
      <w:r w:rsidR="00866109" w:rsidRPr="008879A0">
        <w:rPr>
          <w:rFonts w:ascii="Book Antiqua" w:hAnsi="Book Antiqua" w:cs="Arial"/>
        </w:rPr>
        <w:t>employment may arise as a result of a ‘prior’ right to work or, as in this case</w:t>
      </w:r>
      <w:r w:rsidR="00E844A3" w:rsidRPr="008879A0">
        <w:rPr>
          <w:rFonts w:ascii="Book Antiqua" w:hAnsi="Book Antiqua" w:cs="Arial"/>
        </w:rPr>
        <w:t>,</w:t>
      </w:r>
      <w:r w:rsidR="00866109" w:rsidRPr="008879A0">
        <w:rPr>
          <w:rFonts w:ascii="Book Antiqua" w:hAnsi="Book Antiqua" w:cs="Arial"/>
        </w:rPr>
        <w:t xml:space="preserve"> because of the </w:t>
      </w:r>
      <w:r w:rsidR="00E844A3" w:rsidRPr="008879A0">
        <w:rPr>
          <w:rFonts w:ascii="Book Antiqua" w:hAnsi="Book Antiqua" w:cs="Arial"/>
        </w:rPr>
        <w:t>Secretary</w:t>
      </w:r>
      <w:r w:rsidR="00866109" w:rsidRPr="008879A0">
        <w:rPr>
          <w:rFonts w:ascii="Book Antiqua" w:hAnsi="Book Antiqua" w:cs="Arial"/>
        </w:rPr>
        <w:t xml:space="preserve"> of State’s </w:t>
      </w:r>
      <w:r w:rsidR="00EA57C7" w:rsidRPr="008879A0">
        <w:rPr>
          <w:rFonts w:ascii="Book Antiqua" w:hAnsi="Book Antiqua" w:cs="Arial"/>
        </w:rPr>
        <w:t>COA which entitled the appellant to work.</w:t>
      </w:r>
      <w:r w:rsidR="004A278D" w:rsidRPr="008879A0">
        <w:rPr>
          <w:rFonts w:ascii="Book Antiqua" w:hAnsi="Book Antiqua" w:cs="Arial"/>
        </w:rPr>
        <w:t xml:space="preserve">  </w:t>
      </w:r>
      <w:r w:rsidR="00493751" w:rsidRPr="008879A0">
        <w:rPr>
          <w:rFonts w:ascii="Book Antiqua" w:hAnsi="Book Antiqua" w:cs="Arial"/>
        </w:rPr>
        <w:t xml:space="preserve">Nothing in </w:t>
      </w:r>
      <w:r w:rsidR="00493751" w:rsidRPr="008879A0">
        <w:rPr>
          <w:rFonts w:ascii="Book Antiqua" w:hAnsi="Book Antiqua" w:cs="Arial"/>
          <w:u w:val="single"/>
        </w:rPr>
        <w:t>Li</w:t>
      </w:r>
      <w:r w:rsidR="00BC5A1A" w:rsidRPr="008879A0">
        <w:rPr>
          <w:rFonts w:ascii="Book Antiqua" w:hAnsi="Book Antiqua" w:cs="Arial"/>
          <w:u w:val="single"/>
        </w:rPr>
        <w:t>u</w:t>
      </w:r>
      <w:r w:rsidR="00BC5A1A" w:rsidRPr="008879A0">
        <w:rPr>
          <w:rFonts w:ascii="Book Antiqua" w:hAnsi="Book Antiqua" w:cs="Arial"/>
        </w:rPr>
        <w:t xml:space="preserve"> or </w:t>
      </w:r>
      <w:r w:rsidR="00BC5A1A" w:rsidRPr="008879A0">
        <w:rPr>
          <w:rFonts w:ascii="Book Antiqua" w:hAnsi="Book Antiqua" w:cs="Arial"/>
          <w:u w:val="single"/>
        </w:rPr>
        <w:t>W(China)</w:t>
      </w:r>
      <w:r w:rsidR="00BC5A1A" w:rsidRPr="008879A0">
        <w:rPr>
          <w:rFonts w:ascii="Book Antiqua" w:hAnsi="Book Antiqua" w:cs="Arial"/>
        </w:rPr>
        <w:t xml:space="preserve"> requires us to </w:t>
      </w:r>
      <w:r w:rsidR="002E4290" w:rsidRPr="008879A0">
        <w:rPr>
          <w:rFonts w:ascii="Book Antiqua" w:hAnsi="Book Antiqua" w:cs="Arial"/>
        </w:rPr>
        <w:t xml:space="preserve">decide otherwise.  </w:t>
      </w:r>
      <w:r w:rsidR="00065A5E" w:rsidRPr="008879A0">
        <w:rPr>
          <w:rFonts w:ascii="Book Antiqua" w:hAnsi="Book Antiqua" w:cs="Arial"/>
        </w:rPr>
        <w:t xml:space="preserve">It may be that </w:t>
      </w:r>
      <w:r w:rsidR="00CF6EBD">
        <w:rPr>
          <w:rFonts w:ascii="Book Antiqua" w:hAnsi="Book Antiqua" w:cs="Arial"/>
        </w:rPr>
        <w:t>t</w:t>
      </w:r>
      <w:r w:rsidR="00065A5E" w:rsidRPr="008879A0">
        <w:rPr>
          <w:rFonts w:ascii="Book Antiqua" w:hAnsi="Book Antiqua" w:cs="Arial"/>
        </w:rPr>
        <w:t xml:space="preserve">he respondent was not required to allow the appellant to work and thereby </w:t>
      </w:r>
      <w:r w:rsidR="001A73A4" w:rsidRPr="008879A0">
        <w:rPr>
          <w:rFonts w:ascii="Book Antiqua" w:hAnsi="Book Antiqua" w:cs="Arial"/>
        </w:rPr>
        <w:t xml:space="preserve">create the conditions </w:t>
      </w:r>
      <w:r w:rsidR="00393C92" w:rsidRPr="008879A0">
        <w:rPr>
          <w:rFonts w:ascii="Book Antiqua" w:hAnsi="Book Antiqua" w:cs="Arial"/>
        </w:rPr>
        <w:t>whereby</w:t>
      </w:r>
      <w:r w:rsidR="001A73A4" w:rsidRPr="008879A0">
        <w:rPr>
          <w:rFonts w:ascii="Book Antiqua" w:hAnsi="Book Antiqua" w:cs="Arial"/>
        </w:rPr>
        <w:t xml:space="preserve"> the appellant could work and establish that she </w:t>
      </w:r>
      <w:r w:rsidR="00393C92" w:rsidRPr="008879A0">
        <w:rPr>
          <w:rFonts w:ascii="Book Antiqua" w:hAnsi="Book Antiqua" w:cs="Arial"/>
        </w:rPr>
        <w:t>(</w:t>
      </w:r>
      <w:r w:rsidR="001A73A4" w:rsidRPr="008879A0">
        <w:rPr>
          <w:rFonts w:ascii="Book Antiqua" w:hAnsi="Book Antiqua" w:cs="Arial"/>
        </w:rPr>
        <w:t xml:space="preserve">and her child) were self-sufficient.  But, by </w:t>
      </w:r>
      <w:r w:rsidR="00393C92" w:rsidRPr="008879A0">
        <w:rPr>
          <w:rFonts w:ascii="Book Antiqua" w:hAnsi="Book Antiqua" w:cs="Arial"/>
        </w:rPr>
        <w:t>virtue of the COA, the respondent has, in fact, done so.  The reality is that the appellant may lawfully work and, if her income is sufficient, establish that she (and her child) are self-</w:t>
      </w:r>
      <w:r w:rsidR="00393C92" w:rsidRPr="008879A0">
        <w:rPr>
          <w:rFonts w:ascii="Book Antiqua" w:hAnsi="Book Antiqua" w:cs="Arial"/>
        </w:rPr>
        <w:lastRenderedPageBreak/>
        <w:t xml:space="preserve">sufficient.  We see no basis in principle or </w:t>
      </w:r>
      <w:proofErr w:type="spellStart"/>
      <w:r w:rsidR="00393C92" w:rsidRPr="008879A0">
        <w:rPr>
          <w:rFonts w:ascii="Book Antiqua" w:hAnsi="Book Antiqua" w:cs="Arial"/>
        </w:rPr>
        <w:t>commonsense</w:t>
      </w:r>
      <w:proofErr w:type="spellEnd"/>
      <w:r w:rsidR="00393C92" w:rsidRPr="008879A0">
        <w:rPr>
          <w:rFonts w:ascii="Book Antiqua" w:hAnsi="Book Antiqua" w:cs="Arial"/>
        </w:rPr>
        <w:t xml:space="preserve"> to disregard the reality of the situation in which the appellant and her child find themselves.</w:t>
      </w:r>
    </w:p>
    <w:p w14:paraId="5C44D8DE" w14:textId="77777777" w:rsidR="005D2831" w:rsidRDefault="00393C92" w:rsidP="004A278D">
      <w:pPr>
        <w:numPr>
          <w:ilvl w:val="0"/>
          <w:numId w:val="1"/>
        </w:numPr>
        <w:tabs>
          <w:tab w:val="clear" w:pos="567"/>
        </w:tabs>
        <w:spacing w:before="240"/>
        <w:jc w:val="both"/>
        <w:rPr>
          <w:rFonts w:ascii="Book Antiqua" w:hAnsi="Book Antiqua" w:cs="Arial"/>
        </w:rPr>
      </w:pPr>
      <w:r>
        <w:rPr>
          <w:rFonts w:ascii="Book Antiqua" w:hAnsi="Book Antiqua" w:cs="Arial"/>
        </w:rPr>
        <w:t>Most importantly, however, i</w:t>
      </w:r>
      <w:r w:rsidR="004A278D">
        <w:rPr>
          <w:rFonts w:ascii="Book Antiqua" w:hAnsi="Book Antiqua" w:cs="Arial"/>
        </w:rPr>
        <w:t xml:space="preserve">t is clear to us that the CJEU </w:t>
      </w:r>
      <w:r>
        <w:rPr>
          <w:rFonts w:ascii="Book Antiqua" w:hAnsi="Book Antiqua" w:cs="Arial"/>
        </w:rPr>
        <w:t xml:space="preserve">in its decisions post-dating the Court of Appeal decisions </w:t>
      </w:r>
      <w:r w:rsidR="004A278D">
        <w:rPr>
          <w:rFonts w:ascii="Book Antiqua" w:hAnsi="Book Antiqua" w:cs="Arial"/>
        </w:rPr>
        <w:t xml:space="preserve">has not placed any arbitrary limitation on resources that are available to the </w:t>
      </w:r>
      <w:r>
        <w:rPr>
          <w:rFonts w:ascii="Book Antiqua" w:hAnsi="Book Antiqua" w:cs="Arial"/>
        </w:rPr>
        <w:t>EU</w:t>
      </w:r>
      <w:r w:rsidR="004A278D">
        <w:rPr>
          <w:rFonts w:ascii="Book Antiqua" w:hAnsi="Book Antiqua" w:cs="Arial"/>
        </w:rPr>
        <w:t xml:space="preserve"> national (here the </w:t>
      </w:r>
      <w:r w:rsidR="004A278D">
        <w:rPr>
          <w:rFonts w:ascii="Book Antiqua" w:hAnsi="Book Antiqua" w:cs="Arial"/>
          <w:u w:val="single"/>
        </w:rPr>
        <w:t>Chen</w:t>
      </w:r>
      <w:r w:rsidR="004A278D">
        <w:rPr>
          <w:rFonts w:ascii="Book Antiqua" w:hAnsi="Book Antiqua" w:cs="Arial"/>
        </w:rPr>
        <w:t xml:space="preserve">-child).  That is illustrated by the decision in </w:t>
      </w:r>
      <w:proofErr w:type="spellStart"/>
      <w:r w:rsidR="004A278D" w:rsidRPr="004A278D">
        <w:rPr>
          <w:rFonts w:ascii="Book Antiqua" w:hAnsi="Book Antiqua" w:cs="Arial"/>
          <w:u w:val="single"/>
        </w:rPr>
        <w:t>Alokpa</w:t>
      </w:r>
      <w:proofErr w:type="spellEnd"/>
      <w:r w:rsidR="005723BB">
        <w:rPr>
          <w:rFonts w:ascii="Book Antiqua" w:hAnsi="Book Antiqua" w:cs="Arial"/>
          <w:u w:val="single"/>
        </w:rPr>
        <w:t xml:space="preserve"> and O</w:t>
      </w:r>
      <w:r w:rsidR="00117FC6">
        <w:rPr>
          <w:rFonts w:ascii="Book Antiqua" w:hAnsi="Book Antiqua" w:cs="Arial"/>
          <w:u w:val="single"/>
        </w:rPr>
        <w:t xml:space="preserve">thers v </w:t>
      </w:r>
      <w:proofErr w:type="spellStart"/>
      <w:r w:rsidR="00117FC6">
        <w:rPr>
          <w:rFonts w:ascii="Book Antiqua" w:hAnsi="Book Antiqua" w:cs="Arial"/>
          <w:u w:val="single"/>
        </w:rPr>
        <w:t>Ministre</w:t>
      </w:r>
      <w:proofErr w:type="spellEnd"/>
      <w:r w:rsidR="004A278D">
        <w:rPr>
          <w:rFonts w:ascii="Book Antiqua" w:hAnsi="Book Antiqua" w:cs="Arial"/>
          <w:u w:val="single"/>
        </w:rPr>
        <w:t xml:space="preserve"> du Travail, de </w:t>
      </w:r>
      <w:proofErr w:type="spellStart"/>
      <w:r w:rsidR="004A278D">
        <w:rPr>
          <w:rFonts w:ascii="Book Antiqua" w:hAnsi="Book Antiqua" w:cs="Arial"/>
          <w:u w:val="single"/>
        </w:rPr>
        <w:t>l’Emploi</w:t>
      </w:r>
      <w:proofErr w:type="spellEnd"/>
      <w:r w:rsidR="004A278D">
        <w:rPr>
          <w:rFonts w:ascii="Book Antiqua" w:hAnsi="Book Antiqua" w:cs="Arial"/>
          <w:u w:val="single"/>
        </w:rPr>
        <w:t xml:space="preserve"> et de </w:t>
      </w:r>
      <w:proofErr w:type="spellStart"/>
      <w:r w:rsidR="00117FC6">
        <w:rPr>
          <w:rFonts w:ascii="Book Antiqua" w:hAnsi="Book Antiqua" w:cs="Arial"/>
          <w:u w:val="single"/>
        </w:rPr>
        <w:t>l’I</w:t>
      </w:r>
      <w:r w:rsidR="004A278D" w:rsidRPr="004A278D">
        <w:rPr>
          <w:rFonts w:ascii="Book Antiqua" w:hAnsi="Book Antiqua" w:cs="Arial"/>
        </w:rPr>
        <w:t>mmigration</w:t>
      </w:r>
      <w:proofErr w:type="spellEnd"/>
      <w:r w:rsidR="004A278D" w:rsidRPr="004A278D">
        <w:rPr>
          <w:rFonts w:ascii="Book Antiqua" w:hAnsi="Book Antiqua" w:cs="Arial"/>
        </w:rPr>
        <w:t xml:space="preserve"> (Case C-86/12) (10 October 2013)</w:t>
      </w:r>
      <w:r w:rsidR="004A278D">
        <w:rPr>
          <w:rFonts w:ascii="Book Antiqua" w:hAnsi="Book Antiqua" w:cs="Arial"/>
        </w:rPr>
        <w:t xml:space="preserve"> to which the grant of permission made reference.  There</w:t>
      </w:r>
      <w:r w:rsidR="00CD1691">
        <w:rPr>
          <w:rFonts w:ascii="Book Antiqua" w:hAnsi="Book Antiqua" w:cs="Arial"/>
        </w:rPr>
        <w:t>,</w:t>
      </w:r>
      <w:r w:rsidR="004A278D">
        <w:rPr>
          <w:rFonts w:ascii="Book Antiqua" w:hAnsi="Book Antiqua" w:cs="Arial"/>
        </w:rPr>
        <w:t xml:space="preserve"> the CJEU was concerned with a derivative right of residence by a third-country individual who was the mother (and primary carer) of a French national child living in Luxembourg.  Consistent with this earlier case law, the CJEU acknowledge</w:t>
      </w:r>
      <w:r w:rsidR="005312E6">
        <w:rPr>
          <w:rFonts w:ascii="Book Antiqua" w:hAnsi="Book Antiqua" w:cs="Arial"/>
        </w:rPr>
        <w:t>d</w:t>
      </w:r>
      <w:r w:rsidR="004A278D">
        <w:rPr>
          <w:rFonts w:ascii="Book Antiqua" w:hAnsi="Book Antiqua" w:cs="Arial"/>
        </w:rPr>
        <w:t xml:space="preserve"> that the Citizens</w:t>
      </w:r>
      <w:r w:rsidR="005D2831">
        <w:rPr>
          <w:rFonts w:ascii="Book Antiqua" w:hAnsi="Book Antiqua" w:cs="Arial"/>
        </w:rPr>
        <w:t>’</w:t>
      </w:r>
      <w:r w:rsidR="004A278D">
        <w:rPr>
          <w:rFonts w:ascii="Book Antiqua" w:hAnsi="Book Antiqua" w:cs="Arial"/>
        </w:rPr>
        <w:t xml:space="preserve"> Directive (2004/38/EC) was not directly applicable as a parent, in the circumstances, who is dependent upon an EU national child did not fall within the definition of “family member” in Art</w:t>
      </w:r>
      <w:r w:rsidR="00117FC6">
        <w:rPr>
          <w:rFonts w:ascii="Book Antiqua" w:hAnsi="Book Antiqua" w:cs="Arial"/>
        </w:rPr>
        <w:t>icle</w:t>
      </w:r>
      <w:r w:rsidR="004A278D">
        <w:rPr>
          <w:rFonts w:ascii="Book Antiqua" w:hAnsi="Book Antiqua" w:cs="Arial"/>
        </w:rPr>
        <w:t xml:space="preserve"> 2.2 of the Directive.  However, relying upon the decision in </w:t>
      </w:r>
      <w:r w:rsidR="00117FC6">
        <w:rPr>
          <w:rFonts w:ascii="Book Antiqua" w:hAnsi="Book Antiqua" w:cs="Arial"/>
          <w:u w:val="single"/>
        </w:rPr>
        <w:t>Chen and Zh</w:t>
      </w:r>
      <w:r w:rsidR="004A278D" w:rsidRPr="004A278D">
        <w:rPr>
          <w:rFonts w:ascii="Book Antiqua" w:hAnsi="Book Antiqua" w:cs="Arial"/>
          <w:u w:val="single"/>
        </w:rPr>
        <w:t>u</w:t>
      </w:r>
      <w:r w:rsidR="004A278D">
        <w:rPr>
          <w:rFonts w:ascii="Book Antiqua" w:hAnsi="Book Antiqua" w:cs="Arial"/>
        </w:rPr>
        <w:t xml:space="preserve"> the CJEU recognised that the third-country national could derive </w:t>
      </w:r>
      <w:r w:rsidR="005312E6">
        <w:rPr>
          <w:rFonts w:ascii="Book Antiqua" w:hAnsi="Book Antiqua" w:cs="Arial"/>
        </w:rPr>
        <w:t>a</w:t>
      </w:r>
      <w:r w:rsidR="004A278D">
        <w:rPr>
          <w:rFonts w:ascii="Book Antiqua" w:hAnsi="Book Antiqua" w:cs="Arial"/>
        </w:rPr>
        <w:t xml:space="preserve"> right from the EU national’s right to reside as a “self-sufficient”</w:t>
      </w:r>
      <w:r w:rsidR="005D2831">
        <w:rPr>
          <w:rFonts w:ascii="Book Antiqua" w:hAnsi="Book Antiqua" w:cs="Arial"/>
        </w:rPr>
        <w:t xml:space="preserve"> person in the host Member S</w:t>
      </w:r>
      <w:r w:rsidR="004A278D">
        <w:rPr>
          <w:rFonts w:ascii="Book Antiqua" w:hAnsi="Book Antiqua" w:cs="Arial"/>
        </w:rPr>
        <w:t>tate.</w:t>
      </w:r>
      <w:r w:rsidR="005D2831">
        <w:rPr>
          <w:rFonts w:ascii="Book Antiqua" w:hAnsi="Book Antiqua" w:cs="Arial"/>
        </w:rPr>
        <w:t xml:space="preserve">  The CJEU accepted that, by analogy, the self-sufficiency requirement in Art</w:t>
      </w:r>
      <w:r w:rsidR="00117FC6">
        <w:rPr>
          <w:rFonts w:ascii="Book Antiqua" w:hAnsi="Book Antiqua" w:cs="Arial"/>
        </w:rPr>
        <w:t>icle</w:t>
      </w:r>
      <w:r w:rsidR="005D2831">
        <w:rPr>
          <w:rFonts w:ascii="Book Antiqua" w:hAnsi="Book Antiqua" w:cs="Arial"/>
        </w:rPr>
        <w:t xml:space="preserve"> 7(1)(b) of the Directive applied.  At [27], the CJEU said this:  </w:t>
      </w:r>
    </w:p>
    <w:p w14:paraId="58409A88" w14:textId="77777777" w:rsidR="004A278D" w:rsidRPr="005D2831" w:rsidRDefault="005D2831" w:rsidP="005D2831">
      <w:pPr>
        <w:spacing w:before="240"/>
        <w:ind w:left="1134" w:right="566"/>
        <w:jc w:val="both"/>
        <w:rPr>
          <w:rFonts w:ascii="Book Antiqua" w:hAnsi="Book Antiqua" w:cs="Arial"/>
          <w:sz w:val="20"/>
          <w:szCs w:val="20"/>
        </w:rPr>
      </w:pPr>
      <w:r w:rsidRPr="005D2831">
        <w:rPr>
          <w:rFonts w:ascii="Book Antiqua" w:hAnsi="Book Antiqua" w:cs="Arial"/>
          <w:sz w:val="20"/>
          <w:szCs w:val="20"/>
        </w:rPr>
        <w:t>“however, in the context of a case such as that at issue in the main proceedings, in which a Union citizen was born in the host Member State and had not made use of the right to free movement, the court has held that the expression ‘have’ sufficient resources in a provision similar to Art</w:t>
      </w:r>
      <w:r w:rsidR="00117FC6">
        <w:rPr>
          <w:rFonts w:ascii="Book Antiqua" w:hAnsi="Book Antiqua" w:cs="Arial"/>
          <w:sz w:val="20"/>
          <w:szCs w:val="20"/>
        </w:rPr>
        <w:t>icle</w:t>
      </w:r>
      <w:r w:rsidRPr="005D2831">
        <w:rPr>
          <w:rFonts w:ascii="Book Antiqua" w:hAnsi="Book Antiqua" w:cs="Arial"/>
          <w:sz w:val="20"/>
          <w:szCs w:val="20"/>
        </w:rPr>
        <w:t xml:space="preserve"> 7(1)(b) of Directive 2004/38 must be interpreted as meaning that it suffices that such resources are available to the Union citizens, and that that provision lays down no requirement whatsoev</w:t>
      </w:r>
      <w:r>
        <w:rPr>
          <w:rFonts w:ascii="Book Antiqua" w:hAnsi="Book Antiqua" w:cs="Arial"/>
          <w:sz w:val="20"/>
          <w:szCs w:val="20"/>
        </w:rPr>
        <w:t xml:space="preserve">er as to their origin, since they could not be provided, inter alia, by a national of a non-Member State, the parent of the citizens who are minor children at issue (see, to that effect, concerning European Union law, instruments pre-dating that Directive, Case C-200/02 </w:t>
      </w:r>
      <w:r w:rsidRPr="005D2831">
        <w:rPr>
          <w:rFonts w:ascii="Book Antiqua" w:hAnsi="Book Antiqua" w:cs="Arial"/>
          <w:i/>
          <w:sz w:val="20"/>
          <w:szCs w:val="20"/>
        </w:rPr>
        <w:t>Zhu and Chen</w:t>
      </w:r>
      <w:r>
        <w:rPr>
          <w:rFonts w:ascii="Book Antiqua" w:hAnsi="Book Antiqua" w:cs="Arial"/>
          <w:sz w:val="20"/>
          <w:szCs w:val="20"/>
        </w:rPr>
        <w:t xml:space="preserve"> [2004] ECR I-9925, paragraphs 28 and 30).”</w:t>
      </w:r>
    </w:p>
    <w:p w14:paraId="41754419" w14:textId="77777777" w:rsidR="0034188C" w:rsidRDefault="005D2831" w:rsidP="00462BBF">
      <w:pPr>
        <w:numPr>
          <w:ilvl w:val="0"/>
          <w:numId w:val="1"/>
        </w:numPr>
        <w:tabs>
          <w:tab w:val="clear" w:pos="567"/>
        </w:tabs>
        <w:spacing w:before="240"/>
        <w:jc w:val="both"/>
        <w:rPr>
          <w:rFonts w:ascii="Book Antiqua" w:hAnsi="Book Antiqua" w:cs="Arial"/>
        </w:rPr>
      </w:pPr>
      <w:r>
        <w:rPr>
          <w:rFonts w:ascii="Book Antiqua" w:hAnsi="Book Antiqua" w:cs="Arial"/>
        </w:rPr>
        <w:t xml:space="preserve">The CJEU went on to state (at [30]) </w:t>
      </w:r>
      <w:r w:rsidR="00855865">
        <w:rPr>
          <w:rFonts w:ascii="Book Antiqua" w:hAnsi="Book Antiqua" w:cs="Arial"/>
        </w:rPr>
        <w:t xml:space="preserve">that a court: </w:t>
      </w:r>
    </w:p>
    <w:p w14:paraId="4AC2541D" w14:textId="77777777" w:rsidR="005D2831" w:rsidRPr="00564DA7" w:rsidRDefault="00855865" w:rsidP="00564DA7">
      <w:pPr>
        <w:spacing w:before="240"/>
        <w:ind w:left="1134" w:right="566"/>
        <w:jc w:val="both"/>
        <w:rPr>
          <w:rFonts w:ascii="Book Antiqua" w:hAnsi="Book Antiqua" w:cs="Arial"/>
          <w:sz w:val="20"/>
          <w:szCs w:val="20"/>
        </w:rPr>
      </w:pPr>
      <w:r w:rsidRPr="00564DA7">
        <w:rPr>
          <w:rFonts w:ascii="Book Antiqua" w:hAnsi="Book Antiqua" w:cs="Arial"/>
          <w:sz w:val="20"/>
          <w:szCs w:val="20"/>
        </w:rPr>
        <w:t>“must determine whether those children have, on their own or through their mother, sufficient resources and comprehensive sickness insurance cover, within the meaning of Article 7(1)(b) of the Directive 2004/38.”</w:t>
      </w:r>
    </w:p>
    <w:p w14:paraId="1C21BEFE" w14:textId="77777777" w:rsidR="00667210" w:rsidRDefault="00855865" w:rsidP="004A278D">
      <w:pPr>
        <w:numPr>
          <w:ilvl w:val="0"/>
          <w:numId w:val="1"/>
        </w:numPr>
        <w:tabs>
          <w:tab w:val="clear" w:pos="567"/>
        </w:tabs>
        <w:spacing w:before="240"/>
        <w:jc w:val="both"/>
        <w:rPr>
          <w:rFonts w:ascii="Book Antiqua" w:hAnsi="Book Antiqua" w:cs="Arial"/>
        </w:rPr>
      </w:pPr>
      <w:r>
        <w:rPr>
          <w:rFonts w:ascii="Book Antiqua" w:hAnsi="Book Antiqua" w:cs="Arial"/>
        </w:rPr>
        <w:t xml:space="preserve">As we have already indicated, </w:t>
      </w:r>
      <w:proofErr w:type="spellStart"/>
      <w:r w:rsidR="0075228D">
        <w:rPr>
          <w:rFonts w:ascii="Book Antiqua" w:hAnsi="Book Antiqua" w:cs="Arial"/>
        </w:rPr>
        <w:t>r</w:t>
      </w:r>
      <w:r>
        <w:rPr>
          <w:rFonts w:ascii="Book Antiqua" w:hAnsi="Book Antiqua" w:cs="Arial"/>
        </w:rPr>
        <w:t>eg</w:t>
      </w:r>
      <w:proofErr w:type="spellEnd"/>
      <w:r>
        <w:rPr>
          <w:rFonts w:ascii="Book Antiqua" w:hAnsi="Book Antiqua" w:cs="Arial"/>
        </w:rPr>
        <w:t xml:space="preserve"> 16(2) of the EEA Regulations 2016 seek to give effect to that EU right.  We see no limitation in what the CJEU refers to as “resources… available to the Union citizens” including from the parent of such citizens so as to exclude lawful earnings </w:t>
      </w:r>
      <w:r w:rsidR="00846926">
        <w:rPr>
          <w:rFonts w:ascii="Book Antiqua" w:hAnsi="Book Antiqua" w:cs="Arial"/>
        </w:rPr>
        <w:t>of the</w:t>
      </w:r>
      <w:r>
        <w:rPr>
          <w:rFonts w:ascii="Book Antiqua" w:hAnsi="Book Antiqua" w:cs="Arial"/>
        </w:rPr>
        <w:t xml:space="preserve"> parent.  There is no doubt that from the date upon which the respondent issued the appellant with a COA on 13 September 2017, she had a right to work and her earnings were lawful.  Mr </w:t>
      </w:r>
      <w:proofErr w:type="spellStart"/>
      <w:r>
        <w:rPr>
          <w:rFonts w:ascii="Book Antiqua" w:hAnsi="Book Antiqua" w:cs="Arial"/>
        </w:rPr>
        <w:t>McVeety</w:t>
      </w:r>
      <w:proofErr w:type="spellEnd"/>
      <w:r>
        <w:rPr>
          <w:rFonts w:ascii="Book Antiqua" w:hAnsi="Book Antiqua" w:cs="Arial"/>
        </w:rPr>
        <w:t xml:space="preserve"> was not in a position to inform us why the Secretary of State had a policy of issuing, in cases such as the present, the individual with a COA.  </w:t>
      </w:r>
      <w:r w:rsidR="00AF3060">
        <w:rPr>
          <w:rFonts w:ascii="Book Antiqua" w:hAnsi="Book Antiqua" w:cs="Arial"/>
        </w:rPr>
        <w:t xml:space="preserve">It may or may not be required by EU law.  </w:t>
      </w:r>
      <w:r>
        <w:rPr>
          <w:rFonts w:ascii="Book Antiqua" w:hAnsi="Book Antiqua" w:cs="Arial"/>
        </w:rPr>
        <w:t xml:space="preserve">In any event, the practical reality is that the respondent does issue COAs and, in a case such as the present, it would be wholly unreasonable not to have regard to that income in determining whether the EU national has established that they are “self-sufficient”.  </w:t>
      </w:r>
      <w:r w:rsidR="0041345B">
        <w:rPr>
          <w:rFonts w:ascii="Book Antiqua" w:hAnsi="Book Antiqua" w:cs="Arial"/>
        </w:rPr>
        <w:t xml:space="preserve">We agree with what was said by the Tribunal in </w:t>
      </w:r>
      <w:proofErr w:type="spellStart"/>
      <w:r w:rsidR="0041345B" w:rsidRPr="002C6E9D">
        <w:rPr>
          <w:rFonts w:ascii="Book Antiqua" w:hAnsi="Book Antiqua" w:cs="Arial"/>
          <w:u w:val="single"/>
        </w:rPr>
        <w:t>Seye</w:t>
      </w:r>
      <w:proofErr w:type="spellEnd"/>
      <w:r w:rsidR="0041345B">
        <w:rPr>
          <w:rFonts w:ascii="Book Antiqua" w:hAnsi="Book Antiqua" w:cs="Arial"/>
        </w:rPr>
        <w:t xml:space="preserve"> on that point. But we</w:t>
      </w:r>
      <w:r w:rsidR="00A27EAF">
        <w:rPr>
          <w:rFonts w:ascii="Book Antiqua" w:hAnsi="Book Antiqua" w:cs="Arial"/>
        </w:rPr>
        <w:t xml:space="preserve"> are clearer in our view: t</w:t>
      </w:r>
      <w:r w:rsidR="00667210">
        <w:rPr>
          <w:rFonts w:ascii="Book Antiqua" w:hAnsi="Book Antiqua" w:cs="Arial"/>
        </w:rPr>
        <w:t xml:space="preserve">he position recognised by the AIT in </w:t>
      </w:r>
      <w:r w:rsidR="0047507E" w:rsidRPr="0047507E">
        <w:rPr>
          <w:rFonts w:ascii="Book Antiqua" w:hAnsi="Book Antiqua" w:cs="Arial"/>
          <w:u w:val="single"/>
        </w:rPr>
        <w:t>GM and AM</w:t>
      </w:r>
      <w:r w:rsidR="0047507E">
        <w:rPr>
          <w:rFonts w:ascii="Book Antiqua" w:hAnsi="Book Antiqua" w:cs="Arial"/>
        </w:rPr>
        <w:t xml:space="preserve"> and </w:t>
      </w:r>
      <w:r w:rsidR="0047507E" w:rsidRPr="0047507E">
        <w:rPr>
          <w:rFonts w:ascii="Book Antiqua" w:hAnsi="Book Antiqua" w:cs="Arial"/>
          <w:u w:val="single"/>
        </w:rPr>
        <w:t>MA</w:t>
      </w:r>
      <w:r w:rsidR="0047507E">
        <w:rPr>
          <w:rFonts w:ascii="Book Antiqua" w:hAnsi="Book Antiqua" w:cs="Arial"/>
        </w:rPr>
        <w:t xml:space="preserve"> cannot survive the approach of the CJEU.</w:t>
      </w:r>
      <w:r w:rsidR="002C6E9D">
        <w:rPr>
          <w:rFonts w:ascii="Book Antiqua" w:hAnsi="Book Antiqua" w:cs="Arial"/>
        </w:rPr>
        <w:t xml:space="preserve">  </w:t>
      </w:r>
    </w:p>
    <w:p w14:paraId="55A8E3AC" w14:textId="77777777" w:rsidR="003D3111" w:rsidRDefault="00013A0C" w:rsidP="004A278D">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Consequently, the judge was wrong not to take into account the appellant’s lawful earnings in assessing whether D was “self-sufficient”.  Had he done so, the judge was satisfied that they were “quantitatively sufficient”.  </w:t>
      </w:r>
    </w:p>
    <w:p w14:paraId="4B332FAD" w14:textId="77777777" w:rsidR="00897BD7" w:rsidRPr="00897BD7" w:rsidRDefault="00897BD7" w:rsidP="00897BD7">
      <w:pPr>
        <w:spacing w:before="240"/>
        <w:ind w:left="567"/>
        <w:jc w:val="both"/>
        <w:rPr>
          <w:rFonts w:ascii="Book Antiqua" w:hAnsi="Book Antiqua" w:cs="Arial"/>
          <w:i/>
        </w:rPr>
      </w:pPr>
      <w:r w:rsidRPr="00897BD7">
        <w:rPr>
          <w:rFonts w:ascii="Book Antiqua" w:hAnsi="Book Antiqua" w:cs="Arial"/>
          <w:i/>
        </w:rPr>
        <w:t>Comprehensive sickness insurance</w:t>
      </w:r>
    </w:p>
    <w:p w14:paraId="05B8D2CC" w14:textId="77777777" w:rsidR="00013A0C" w:rsidRDefault="00897BD7" w:rsidP="004A278D">
      <w:pPr>
        <w:numPr>
          <w:ilvl w:val="0"/>
          <w:numId w:val="1"/>
        </w:numPr>
        <w:tabs>
          <w:tab w:val="clear" w:pos="567"/>
        </w:tabs>
        <w:spacing w:before="240"/>
        <w:jc w:val="both"/>
        <w:rPr>
          <w:rFonts w:ascii="Book Antiqua" w:hAnsi="Book Antiqua" w:cs="Arial"/>
        </w:rPr>
      </w:pPr>
      <w:r>
        <w:rPr>
          <w:rFonts w:ascii="Book Antiqua" w:hAnsi="Book Antiqua" w:cs="Arial"/>
        </w:rPr>
        <w:t>I</w:t>
      </w:r>
      <w:r w:rsidR="00013A0C">
        <w:rPr>
          <w:rFonts w:ascii="Book Antiqua" w:hAnsi="Book Antiqua" w:cs="Arial"/>
        </w:rPr>
        <w:t xml:space="preserve">n order to be a “self-sufficient” person the EU citizen (and indeed the appellant) </w:t>
      </w:r>
      <w:r>
        <w:rPr>
          <w:rFonts w:ascii="Book Antiqua" w:hAnsi="Book Antiqua" w:cs="Arial"/>
        </w:rPr>
        <w:t>must also</w:t>
      </w:r>
      <w:r w:rsidR="00013A0C">
        <w:rPr>
          <w:rFonts w:ascii="Book Antiqua" w:hAnsi="Book Antiqua" w:cs="Arial"/>
        </w:rPr>
        <w:t xml:space="preserve"> have “comprehensive sickness insurance”</w:t>
      </w:r>
      <w:r>
        <w:rPr>
          <w:rFonts w:ascii="Book Antiqua" w:hAnsi="Book Antiqua" w:cs="Arial"/>
        </w:rPr>
        <w:t xml:space="preserve"> (</w:t>
      </w:r>
      <w:proofErr w:type="spellStart"/>
      <w:r>
        <w:rPr>
          <w:rFonts w:ascii="Book Antiqua" w:hAnsi="Book Antiqua" w:cs="Arial"/>
        </w:rPr>
        <w:t>reg</w:t>
      </w:r>
      <w:proofErr w:type="spellEnd"/>
      <w:r>
        <w:rPr>
          <w:rFonts w:ascii="Book Antiqua" w:hAnsi="Book Antiqua" w:cs="Arial"/>
        </w:rPr>
        <w:t xml:space="preserve"> </w:t>
      </w:r>
      <w:r w:rsidR="00EF49A2">
        <w:rPr>
          <w:rFonts w:ascii="Book Antiqua" w:hAnsi="Book Antiqua" w:cs="Arial"/>
        </w:rPr>
        <w:t>4(1)(c))</w:t>
      </w:r>
      <w:r w:rsidR="00013A0C">
        <w:rPr>
          <w:rFonts w:ascii="Book Antiqua" w:hAnsi="Book Antiqua" w:cs="Arial"/>
        </w:rPr>
        <w:t>.</w:t>
      </w:r>
    </w:p>
    <w:p w14:paraId="1E7B9282" w14:textId="77777777" w:rsidR="009F0431" w:rsidRDefault="00013A0C" w:rsidP="004A278D">
      <w:pPr>
        <w:numPr>
          <w:ilvl w:val="0"/>
          <w:numId w:val="1"/>
        </w:numPr>
        <w:tabs>
          <w:tab w:val="clear" w:pos="567"/>
        </w:tabs>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Atuegbe</w:t>
      </w:r>
      <w:proofErr w:type="spellEnd"/>
      <w:r>
        <w:rPr>
          <w:rFonts w:ascii="Book Antiqua" w:hAnsi="Book Antiqua" w:cs="Arial"/>
        </w:rPr>
        <w:t>, who represented the appellant, did not seek to contend with any vigour that the appellant’s health insurance was “comprehensive”.  He was, in our judgment, right not to do so.  There is no doubt that the requirement to have “comprehensive sickness insurance” is a condition to establishing the EU national</w:t>
      </w:r>
      <w:r w:rsidR="00462BBF">
        <w:rPr>
          <w:rFonts w:ascii="Book Antiqua" w:hAnsi="Book Antiqua" w:cs="Arial"/>
        </w:rPr>
        <w:t>’s</w:t>
      </w:r>
      <w:r>
        <w:rPr>
          <w:rFonts w:ascii="Book Antiqua" w:hAnsi="Book Antiqua" w:cs="Arial"/>
        </w:rPr>
        <w:t xml:space="preserve"> right of residence as a “self-sufficient” person and of the appellant to establish her derived right of residence as his </w:t>
      </w:r>
      <w:proofErr w:type="spellStart"/>
      <w:r>
        <w:rPr>
          <w:rFonts w:ascii="Book Antiqua" w:hAnsi="Book Antiqua" w:cs="Arial"/>
        </w:rPr>
        <w:t>carer</w:t>
      </w:r>
      <w:proofErr w:type="spellEnd"/>
      <w:r>
        <w:rPr>
          <w:rFonts w:ascii="Book Antiqua" w:hAnsi="Book Antiqua" w:cs="Arial"/>
        </w:rPr>
        <w:t xml:space="preserve">.  The CJEU acknowledged that at [30] of its decision in </w:t>
      </w:r>
      <w:proofErr w:type="spellStart"/>
      <w:r>
        <w:rPr>
          <w:rFonts w:ascii="Book Antiqua" w:hAnsi="Book Antiqua" w:cs="Arial"/>
          <w:u w:val="single"/>
        </w:rPr>
        <w:t>Alokpa</w:t>
      </w:r>
      <w:proofErr w:type="spellEnd"/>
      <w:r>
        <w:rPr>
          <w:rFonts w:ascii="Book Antiqua" w:hAnsi="Book Antiqua" w:cs="Arial"/>
        </w:rPr>
        <w:t xml:space="preserve"> (which we set out above).</w:t>
      </w:r>
      <w:r w:rsidR="002D2702">
        <w:rPr>
          <w:rFonts w:ascii="Book Antiqua" w:hAnsi="Book Antiqua" w:cs="Arial"/>
        </w:rPr>
        <w:t xml:space="preserve">  </w:t>
      </w:r>
    </w:p>
    <w:p w14:paraId="05B05A20" w14:textId="77777777" w:rsidR="00F241E2" w:rsidRDefault="002D2702" w:rsidP="002B1DA3">
      <w:pPr>
        <w:numPr>
          <w:ilvl w:val="0"/>
          <w:numId w:val="1"/>
        </w:numPr>
        <w:spacing w:before="240"/>
        <w:jc w:val="both"/>
        <w:rPr>
          <w:rFonts w:ascii="Book Antiqua" w:hAnsi="Book Antiqua" w:cs="Arial"/>
        </w:rPr>
      </w:pPr>
      <w:r>
        <w:rPr>
          <w:rFonts w:ascii="Book Antiqua" w:hAnsi="Book Antiqua" w:cs="Arial"/>
        </w:rPr>
        <w:t xml:space="preserve">We were </w:t>
      </w:r>
      <w:r w:rsidR="009E71D9">
        <w:rPr>
          <w:rFonts w:ascii="Book Antiqua" w:hAnsi="Book Antiqua" w:cs="Arial"/>
        </w:rPr>
        <w:t xml:space="preserve">briefly </w:t>
      </w:r>
      <w:r>
        <w:rPr>
          <w:rFonts w:ascii="Book Antiqua" w:hAnsi="Book Antiqua" w:cs="Arial"/>
        </w:rPr>
        <w:t>referred to the decision of the CJEU</w:t>
      </w:r>
      <w:r w:rsidR="00842842">
        <w:rPr>
          <w:rFonts w:ascii="Book Antiqua" w:hAnsi="Book Antiqua" w:cs="Arial"/>
        </w:rPr>
        <w:t xml:space="preserve"> in </w:t>
      </w:r>
      <w:r w:rsidR="00842842" w:rsidRPr="00CB31DE">
        <w:rPr>
          <w:rFonts w:ascii="Book Antiqua" w:hAnsi="Book Antiqua" w:cs="Arial"/>
          <w:u w:val="single"/>
        </w:rPr>
        <w:t xml:space="preserve">Jobcentre Berlin </w:t>
      </w:r>
      <w:proofErr w:type="spellStart"/>
      <w:r w:rsidR="00842842" w:rsidRPr="00CB31DE">
        <w:rPr>
          <w:rFonts w:ascii="Book Antiqua" w:hAnsi="Book Antiqua" w:cs="Arial"/>
          <w:u w:val="single"/>
        </w:rPr>
        <w:t>Neukoll</w:t>
      </w:r>
      <w:proofErr w:type="spellEnd"/>
      <w:r w:rsidR="00842842" w:rsidRPr="00CB31DE">
        <w:rPr>
          <w:rFonts w:ascii="Book Antiqua" w:hAnsi="Book Antiqua" w:cs="Arial"/>
          <w:u w:val="single"/>
        </w:rPr>
        <w:t xml:space="preserve"> v </w:t>
      </w:r>
      <w:proofErr w:type="spellStart"/>
      <w:r w:rsidR="00842842" w:rsidRPr="00CB31DE">
        <w:rPr>
          <w:rFonts w:ascii="Book Antiqua" w:hAnsi="Book Antiqua" w:cs="Arial"/>
          <w:u w:val="single"/>
        </w:rPr>
        <w:t>Alimanovic</w:t>
      </w:r>
      <w:proofErr w:type="spellEnd"/>
      <w:r w:rsidR="00842842">
        <w:rPr>
          <w:rFonts w:ascii="Book Antiqua" w:hAnsi="Book Antiqua" w:cs="Arial"/>
        </w:rPr>
        <w:t xml:space="preserve"> (Ca</w:t>
      </w:r>
      <w:r w:rsidR="00CB31DE">
        <w:rPr>
          <w:rFonts w:ascii="Book Antiqua" w:hAnsi="Book Antiqua" w:cs="Arial"/>
        </w:rPr>
        <w:t>s</w:t>
      </w:r>
      <w:r w:rsidR="00842842">
        <w:rPr>
          <w:rFonts w:ascii="Book Antiqua" w:hAnsi="Book Antiqua" w:cs="Arial"/>
        </w:rPr>
        <w:t>e C-67/1)</w:t>
      </w:r>
      <w:r w:rsidR="00FD5AB5">
        <w:rPr>
          <w:rFonts w:ascii="Book Antiqua" w:hAnsi="Book Antiqua" w:cs="Arial"/>
        </w:rPr>
        <w:t xml:space="preserve"> (15 September 2015)</w:t>
      </w:r>
      <w:r w:rsidR="00CB31DE">
        <w:rPr>
          <w:rFonts w:ascii="Book Antiqua" w:hAnsi="Book Antiqua" w:cs="Arial"/>
        </w:rPr>
        <w:t>.</w:t>
      </w:r>
      <w:r w:rsidR="009F0431">
        <w:rPr>
          <w:rFonts w:ascii="Book Antiqua" w:hAnsi="Book Antiqua" w:cs="Arial"/>
        </w:rPr>
        <w:t xml:space="preserve"> We are not entirely sure to what effect the appellant relied upon this case.</w:t>
      </w:r>
      <w:r w:rsidR="006203B4">
        <w:rPr>
          <w:rFonts w:ascii="Book Antiqua" w:hAnsi="Book Antiqua" w:cs="Arial"/>
        </w:rPr>
        <w:t xml:space="preserve"> </w:t>
      </w:r>
      <w:r w:rsidR="00E80947">
        <w:rPr>
          <w:rFonts w:ascii="Book Antiqua" w:hAnsi="Book Antiqua" w:cs="Arial"/>
        </w:rPr>
        <w:t xml:space="preserve"> As we understand Mr </w:t>
      </w:r>
      <w:proofErr w:type="spellStart"/>
      <w:r w:rsidR="00981899">
        <w:rPr>
          <w:rFonts w:ascii="Book Antiqua" w:hAnsi="Book Antiqua" w:cs="Arial"/>
        </w:rPr>
        <w:t>Atuegbe’s</w:t>
      </w:r>
      <w:proofErr w:type="spellEnd"/>
      <w:r w:rsidR="00981899">
        <w:rPr>
          <w:rFonts w:ascii="Book Antiqua" w:hAnsi="Book Antiqua" w:cs="Arial"/>
        </w:rPr>
        <w:t xml:space="preserve"> brief submissions</w:t>
      </w:r>
      <w:r w:rsidR="00F13CCF">
        <w:rPr>
          <w:rFonts w:ascii="Book Antiqua" w:hAnsi="Book Antiqua" w:cs="Arial"/>
        </w:rPr>
        <w:t xml:space="preserve"> (paras 5 and 6 of his skeleton argument)</w:t>
      </w:r>
      <w:r w:rsidR="00981899">
        <w:rPr>
          <w:rFonts w:ascii="Book Antiqua" w:hAnsi="Book Antiqua" w:cs="Arial"/>
        </w:rPr>
        <w:t>, he relie</w:t>
      </w:r>
      <w:r w:rsidR="00E55D78">
        <w:rPr>
          <w:rFonts w:ascii="Book Antiqua" w:hAnsi="Book Antiqua" w:cs="Arial"/>
        </w:rPr>
        <w:t>d</w:t>
      </w:r>
      <w:r w:rsidR="00981899">
        <w:rPr>
          <w:rFonts w:ascii="Book Antiqua" w:hAnsi="Book Antiqua" w:cs="Arial"/>
        </w:rPr>
        <w:t xml:space="preserve"> on </w:t>
      </w:r>
      <w:proofErr w:type="spellStart"/>
      <w:r w:rsidR="00981899" w:rsidRPr="00F241E2">
        <w:rPr>
          <w:rFonts w:ascii="Book Antiqua" w:hAnsi="Book Antiqua" w:cs="Arial"/>
          <w:u w:val="single"/>
        </w:rPr>
        <w:t>Alim</w:t>
      </w:r>
      <w:r w:rsidR="00F241E2" w:rsidRPr="00F241E2">
        <w:rPr>
          <w:rFonts w:ascii="Book Antiqua" w:hAnsi="Book Antiqua" w:cs="Arial"/>
          <w:u w:val="single"/>
        </w:rPr>
        <w:t>anovic</w:t>
      </w:r>
      <w:proofErr w:type="spellEnd"/>
      <w:r w:rsidR="00F241E2">
        <w:rPr>
          <w:rFonts w:ascii="Book Antiqua" w:hAnsi="Book Antiqua" w:cs="Arial"/>
        </w:rPr>
        <w:t xml:space="preserve"> to disapply the requirement of having “comprehensive health insurance” and, perhaps, to </w:t>
      </w:r>
      <w:r w:rsidR="001A05EC">
        <w:rPr>
          <w:rFonts w:ascii="Book Antiqua" w:hAnsi="Book Antiqua" w:cs="Arial"/>
        </w:rPr>
        <w:t>contend that</w:t>
      </w:r>
      <w:r w:rsidR="00F241E2">
        <w:rPr>
          <w:rFonts w:ascii="Book Antiqua" w:hAnsi="Book Antiqua" w:cs="Arial"/>
        </w:rPr>
        <w:t xml:space="preserve"> NHS provision </w:t>
      </w:r>
      <w:r w:rsidR="00E0604D">
        <w:rPr>
          <w:rFonts w:ascii="Book Antiqua" w:hAnsi="Book Antiqua" w:cs="Arial"/>
        </w:rPr>
        <w:t>suffic</w:t>
      </w:r>
      <w:r w:rsidR="001A05EC">
        <w:rPr>
          <w:rFonts w:ascii="Book Antiqua" w:hAnsi="Book Antiqua" w:cs="Arial"/>
        </w:rPr>
        <w:t>ed</w:t>
      </w:r>
      <w:r w:rsidR="00E0604D">
        <w:rPr>
          <w:rFonts w:ascii="Book Antiqua" w:hAnsi="Book Antiqua" w:cs="Arial"/>
        </w:rPr>
        <w:t xml:space="preserve"> since it is available to British citizens.</w:t>
      </w:r>
    </w:p>
    <w:p w14:paraId="597E2962" w14:textId="77777777" w:rsidR="00013A0C" w:rsidRDefault="006203B4" w:rsidP="002B1DA3">
      <w:pPr>
        <w:numPr>
          <w:ilvl w:val="0"/>
          <w:numId w:val="1"/>
        </w:numPr>
        <w:spacing w:before="240"/>
        <w:jc w:val="both"/>
        <w:rPr>
          <w:rFonts w:ascii="Book Antiqua" w:hAnsi="Book Antiqua" w:cs="Arial"/>
        </w:rPr>
      </w:pPr>
      <w:r>
        <w:rPr>
          <w:rFonts w:ascii="Book Antiqua" w:hAnsi="Book Antiqua" w:cs="Arial"/>
        </w:rPr>
        <w:t>In our judgment,</w:t>
      </w:r>
      <w:r w:rsidR="00E0604D">
        <w:rPr>
          <w:rFonts w:ascii="Book Antiqua" w:hAnsi="Book Antiqua" w:cs="Arial"/>
        </w:rPr>
        <w:t xml:space="preserve"> </w:t>
      </w:r>
      <w:proofErr w:type="spellStart"/>
      <w:r w:rsidR="00E0604D" w:rsidRPr="00BA1DA2">
        <w:rPr>
          <w:rFonts w:ascii="Book Antiqua" w:hAnsi="Book Antiqua" w:cs="Arial"/>
          <w:u w:val="single"/>
        </w:rPr>
        <w:t>Alimanovic</w:t>
      </w:r>
      <w:proofErr w:type="spellEnd"/>
      <w:r w:rsidR="00E0604D">
        <w:rPr>
          <w:rFonts w:ascii="Book Antiqua" w:hAnsi="Book Antiqua" w:cs="Arial"/>
        </w:rPr>
        <w:t xml:space="preserve"> </w:t>
      </w:r>
      <w:r w:rsidR="00BA1DA2">
        <w:rPr>
          <w:rFonts w:ascii="Book Antiqua" w:hAnsi="Book Antiqua" w:cs="Arial"/>
        </w:rPr>
        <w:t>does</w:t>
      </w:r>
      <w:r>
        <w:rPr>
          <w:rFonts w:ascii="Book Antiqua" w:hAnsi="Book Antiqua" w:cs="Arial"/>
        </w:rPr>
        <w:t xml:space="preserve"> </w:t>
      </w:r>
      <w:r w:rsidR="00BA1DA2">
        <w:rPr>
          <w:rFonts w:ascii="Book Antiqua" w:hAnsi="Book Antiqua" w:cs="Arial"/>
        </w:rPr>
        <w:t xml:space="preserve">not </w:t>
      </w:r>
      <w:r>
        <w:rPr>
          <w:rFonts w:ascii="Book Antiqua" w:hAnsi="Book Antiqua" w:cs="Arial"/>
        </w:rPr>
        <w:t xml:space="preserve">provide any basis for disregarding the requirement in the </w:t>
      </w:r>
      <w:r w:rsidR="009A4ADC">
        <w:rPr>
          <w:rFonts w:ascii="Book Antiqua" w:hAnsi="Book Antiqua" w:cs="Arial"/>
        </w:rPr>
        <w:t>EEA Regulations 2016 (derived from the Citizens’ Dire</w:t>
      </w:r>
      <w:r w:rsidR="00283257">
        <w:rPr>
          <w:rFonts w:ascii="Book Antiqua" w:hAnsi="Book Antiqua" w:cs="Arial"/>
        </w:rPr>
        <w:t>c</w:t>
      </w:r>
      <w:r w:rsidR="009A4ADC">
        <w:rPr>
          <w:rFonts w:ascii="Book Antiqua" w:hAnsi="Book Antiqua" w:cs="Arial"/>
        </w:rPr>
        <w:t>tive</w:t>
      </w:r>
      <w:r w:rsidR="00BA1DA2">
        <w:rPr>
          <w:rFonts w:ascii="Book Antiqua" w:hAnsi="Book Antiqua" w:cs="Arial"/>
        </w:rPr>
        <w:t>)</w:t>
      </w:r>
      <w:r w:rsidR="009A4ADC">
        <w:rPr>
          <w:rFonts w:ascii="Book Antiqua" w:hAnsi="Book Antiqua" w:cs="Arial"/>
        </w:rPr>
        <w:t xml:space="preserve"> that </w:t>
      </w:r>
      <w:r w:rsidR="00283257">
        <w:rPr>
          <w:rFonts w:ascii="Book Antiqua" w:hAnsi="Book Antiqua" w:cs="Arial"/>
        </w:rPr>
        <w:t xml:space="preserve">the </w:t>
      </w:r>
      <w:r w:rsidR="00BA1DA2">
        <w:rPr>
          <w:rFonts w:ascii="Book Antiqua" w:hAnsi="Book Antiqua" w:cs="Arial"/>
        </w:rPr>
        <w:t>appellant and D</w:t>
      </w:r>
      <w:r w:rsidR="00283257">
        <w:rPr>
          <w:rFonts w:ascii="Book Antiqua" w:hAnsi="Book Antiqua" w:cs="Arial"/>
        </w:rPr>
        <w:t xml:space="preserve"> must have </w:t>
      </w:r>
      <w:r w:rsidR="009A4ADC">
        <w:rPr>
          <w:rFonts w:ascii="Book Antiqua" w:hAnsi="Book Antiqua" w:cs="Arial"/>
        </w:rPr>
        <w:t>“</w:t>
      </w:r>
      <w:r w:rsidR="00283257">
        <w:rPr>
          <w:rFonts w:ascii="Book Antiqua" w:hAnsi="Book Antiqua" w:cs="Arial"/>
        </w:rPr>
        <w:t>comprehensive</w:t>
      </w:r>
      <w:r w:rsidR="009A4ADC">
        <w:rPr>
          <w:rFonts w:ascii="Book Antiqua" w:hAnsi="Book Antiqua" w:cs="Arial"/>
        </w:rPr>
        <w:t xml:space="preserve"> health insurance”</w:t>
      </w:r>
      <w:r w:rsidR="00283257">
        <w:rPr>
          <w:rFonts w:ascii="Book Antiqua" w:hAnsi="Book Antiqua" w:cs="Arial"/>
        </w:rPr>
        <w:t xml:space="preserve">.  </w:t>
      </w:r>
      <w:r w:rsidR="005E51EE">
        <w:rPr>
          <w:rFonts w:ascii="Book Antiqua" w:hAnsi="Book Antiqua" w:cs="Arial"/>
        </w:rPr>
        <w:t xml:space="preserve">That case does not </w:t>
      </w:r>
      <w:r w:rsidR="00E80947">
        <w:rPr>
          <w:rFonts w:ascii="Book Antiqua" w:hAnsi="Book Antiqua" w:cs="Arial"/>
        </w:rPr>
        <w:t xml:space="preserve">entitle the appellant to rely upon the NHS as provision of “social assistance” equivalent to British citizens.  </w:t>
      </w:r>
      <w:r w:rsidR="009A4ADC">
        <w:rPr>
          <w:rFonts w:ascii="Book Antiqua" w:hAnsi="Book Antiqua" w:cs="Arial"/>
        </w:rPr>
        <w:t xml:space="preserve"> </w:t>
      </w:r>
      <w:r w:rsidR="00A77636">
        <w:rPr>
          <w:rFonts w:ascii="Book Antiqua" w:hAnsi="Book Antiqua" w:cs="Arial"/>
        </w:rPr>
        <w:t xml:space="preserve">It does not require that “social assistance”, if NHS treatment is properly so described, be provided (see [74] and [75]).  Further, </w:t>
      </w:r>
      <w:r w:rsidR="00006854">
        <w:rPr>
          <w:rFonts w:ascii="Book Antiqua" w:hAnsi="Book Antiqua" w:cs="Arial"/>
        </w:rPr>
        <w:t xml:space="preserve">in </w:t>
      </w:r>
      <w:r w:rsidR="002F3F3F" w:rsidRPr="00E55D78">
        <w:rPr>
          <w:rFonts w:ascii="Book Antiqua" w:hAnsi="Book Antiqua" w:cs="Arial"/>
          <w:u w:val="single"/>
        </w:rPr>
        <w:t>W(China)</w:t>
      </w:r>
      <w:r w:rsidR="002F3F3F">
        <w:rPr>
          <w:rFonts w:ascii="Book Antiqua" w:hAnsi="Book Antiqua" w:cs="Arial"/>
        </w:rPr>
        <w:t xml:space="preserve">, the Court of Appeal affirmed the </w:t>
      </w:r>
      <w:r w:rsidR="00E119E6">
        <w:rPr>
          <w:rFonts w:ascii="Book Antiqua" w:hAnsi="Book Antiqua" w:cs="Arial"/>
        </w:rPr>
        <w:t>requirement to have “comprehensive health insurance” and held that</w:t>
      </w:r>
      <w:r w:rsidR="00F87916">
        <w:rPr>
          <w:rFonts w:ascii="Book Antiqua" w:hAnsi="Book Antiqua" w:cs="Arial"/>
        </w:rPr>
        <w:t xml:space="preserve"> </w:t>
      </w:r>
      <w:r w:rsidR="00E119E6">
        <w:rPr>
          <w:rFonts w:ascii="Book Antiqua" w:hAnsi="Book Antiqua" w:cs="Arial"/>
        </w:rPr>
        <w:t xml:space="preserve">NHS treatment that was </w:t>
      </w:r>
      <w:r w:rsidR="00F87916">
        <w:rPr>
          <w:rFonts w:ascii="Book Antiqua" w:hAnsi="Book Antiqua" w:cs="Arial"/>
        </w:rPr>
        <w:t>available</w:t>
      </w:r>
      <w:r w:rsidR="00E119E6">
        <w:rPr>
          <w:rFonts w:ascii="Book Antiqua" w:hAnsi="Book Antiqua" w:cs="Arial"/>
        </w:rPr>
        <w:t xml:space="preserve"> did not satisfy that requirement.</w:t>
      </w:r>
    </w:p>
    <w:p w14:paraId="58067170" w14:textId="77777777" w:rsidR="00013A0C" w:rsidRDefault="00013A0C" w:rsidP="002B1DA3">
      <w:pPr>
        <w:numPr>
          <w:ilvl w:val="0"/>
          <w:numId w:val="1"/>
        </w:numPr>
        <w:spacing w:before="240"/>
        <w:jc w:val="both"/>
        <w:rPr>
          <w:rFonts w:ascii="Book Antiqua" w:hAnsi="Book Antiqua" w:cs="Arial"/>
        </w:rPr>
      </w:pPr>
      <w:r>
        <w:rPr>
          <w:rFonts w:ascii="Book Antiqua" w:hAnsi="Book Antiqua" w:cs="Arial"/>
        </w:rPr>
        <w:t xml:space="preserve">Like the judge, we were not referred to any authorities or other source as to the meaning of “comprehensive sickness insurance”.  We note, however, that the respondent’s own guidance in relation to EEA nationals provides at para 1.2.17 (p.30):  </w:t>
      </w:r>
    </w:p>
    <w:p w14:paraId="0A3AB18E" w14:textId="77777777" w:rsidR="00013A0C" w:rsidRPr="00013A0C" w:rsidRDefault="00013A0C" w:rsidP="00013A0C">
      <w:pPr>
        <w:spacing w:before="240"/>
        <w:ind w:left="1134" w:right="566"/>
        <w:jc w:val="both"/>
        <w:rPr>
          <w:rFonts w:ascii="Book Antiqua" w:hAnsi="Book Antiqua" w:cs="Arial"/>
          <w:sz w:val="20"/>
        </w:rPr>
      </w:pPr>
      <w:r w:rsidRPr="00013A0C">
        <w:rPr>
          <w:rFonts w:ascii="Book Antiqua" w:hAnsi="Book Antiqua" w:cs="Arial"/>
          <w:sz w:val="20"/>
        </w:rPr>
        <w:t>“you can accept an EEA national or their family member as having [comprehensive sickness insurance] if they hold any form of insurance that will cover the cost of the majority of medical treatment they may receive in the UK.</w:t>
      </w:r>
    </w:p>
    <w:p w14:paraId="08BA3C3A" w14:textId="77777777" w:rsidR="00013A0C" w:rsidRPr="00013A0C" w:rsidRDefault="00013A0C" w:rsidP="00013A0C">
      <w:pPr>
        <w:spacing w:before="240"/>
        <w:ind w:left="1134" w:right="566"/>
        <w:jc w:val="both"/>
        <w:rPr>
          <w:rFonts w:ascii="Book Antiqua" w:hAnsi="Book Antiqua" w:cs="Arial"/>
          <w:sz w:val="20"/>
        </w:rPr>
      </w:pPr>
      <w:r w:rsidRPr="00013A0C">
        <w:rPr>
          <w:rFonts w:ascii="Book Antiqua" w:hAnsi="Book Antiqua" w:cs="Arial"/>
          <w:sz w:val="20"/>
        </w:rPr>
        <w:t>You must take a proportionate approach when you consider if an insurance policy is comprehensive.  For example, a policy may contain certain exemptions but if the policy covers the applicant for medical treatment in the majority of circumstances you can accept it.”</w:t>
      </w:r>
    </w:p>
    <w:p w14:paraId="6BA533EA" w14:textId="77777777" w:rsidR="00013A0C" w:rsidRDefault="00013A0C" w:rsidP="002B1DA3">
      <w:pPr>
        <w:numPr>
          <w:ilvl w:val="0"/>
          <w:numId w:val="1"/>
        </w:numPr>
        <w:spacing w:before="240"/>
        <w:jc w:val="both"/>
        <w:rPr>
          <w:rFonts w:ascii="Book Antiqua" w:hAnsi="Book Antiqua" w:cs="Arial"/>
        </w:rPr>
      </w:pPr>
      <w:r>
        <w:rPr>
          <w:rFonts w:ascii="Book Antiqua" w:hAnsi="Book Antiqua" w:cs="Arial"/>
        </w:rPr>
        <w:t xml:space="preserve">We are content to assume that that is a </w:t>
      </w:r>
      <w:r w:rsidR="00A669FF">
        <w:rPr>
          <w:rFonts w:ascii="Book Antiqua" w:hAnsi="Book Antiqua" w:cs="Arial"/>
        </w:rPr>
        <w:t>permissible</w:t>
      </w:r>
      <w:r>
        <w:rPr>
          <w:rFonts w:ascii="Book Antiqua" w:hAnsi="Book Antiqua" w:cs="Arial"/>
        </w:rPr>
        <w:t xml:space="preserve"> interpretation of “comprehensive” which cannot reasonably require that </w:t>
      </w:r>
      <w:r w:rsidRPr="00A669FF">
        <w:rPr>
          <w:rFonts w:ascii="Book Antiqua" w:hAnsi="Book Antiqua" w:cs="Arial"/>
          <w:u w:val="single"/>
        </w:rPr>
        <w:t>every</w:t>
      </w:r>
      <w:r>
        <w:rPr>
          <w:rFonts w:ascii="Book Antiqua" w:hAnsi="Book Antiqua" w:cs="Arial"/>
        </w:rPr>
        <w:t xml:space="preserve"> medical treatment or procedure that </w:t>
      </w:r>
      <w:r>
        <w:rPr>
          <w:rFonts w:ascii="Book Antiqua" w:hAnsi="Book Antiqua" w:cs="Arial"/>
        </w:rPr>
        <w:lastRenderedPageBreak/>
        <w:t xml:space="preserve">would otherwise be obtained through the NHS must be covered by the health insurance.  The difficulty for the appellant in this case is that the omissions are significant and include any visits to a GP or to </w:t>
      </w:r>
      <w:r w:rsidR="00A669FF">
        <w:rPr>
          <w:rFonts w:ascii="Book Antiqua" w:hAnsi="Book Antiqua" w:cs="Arial"/>
        </w:rPr>
        <w:t>an</w:t>
      </w:r>
      <w:r>
        <w:rPr>
          <w:rFonts w:ascii="Book Antiqua" w:hAnsi="Book Antiqua" w:cs="Arial"/>
        </w:rPr>
        <w:t xml:space="preserve"> Accident &amp; Emergency department.  The judge set out the evidence at paras 14 – 15 of his determination as follows:</w:t>
      </w:r>
    </w:p>
    <w:p w14:paraId="3BC596B6" w14:textId="77777777" w:rsidR="00013A0C" w:rsidRPr="00013A0C" w:rsidRDefault="00833373" w:rsidP="00715CF2">
      <w:pPr>
        <w:spacing w:before="240"/>
        <w:ind w:left="1701" w:right="566" w:hanging="567"/>
        <w:jc w:val="both"/>
        <w:rPr>
          <w:rFonts w:ascii="Book Antiqua" w:hAnsi="Book Antiqua" w:cs="Arial"/>
          <w:sz w:val="20"/>
        </w:rPr>
      </w:pPr>
      <w:r>
        <w:rPr>
          <w:rFonts w:ascii="Book Antiqua" w:hAnsi="Book Antiqua" w:cs="Arial"/>
          <w:sz w:val="20"/>
        </w:rPr>
        <w:t>“</w:t>
      </w:r>
      <w:r w:rsidR="00013A0C" w:rsidRPr="00013A0C">
        <w:rPr>
          <w:rFonts w:ascii="Book Antiqua" w:hAnsi="Book Antiqua" w:cs="Arial"/>
          <w:sz w:val="20"/>
        </w:rPr>
        <w:t>14.</w:t>
      </w:r>
      <w:r w:rsidR="00013A0C" w:rsidRPr="00013A0C">
        <w:rPr>
          <w:rFonts w:ascii="Book Antiqua" w:hAnsi="Book Antiqua" w:cs="Arial"/>
          <w:sz w:val="20"/>
        </w:rPr>
        <w:tab/>
        <w:t>However, in the Appellant’s supplementary bundle there is a health insurance policy, valid from 7</w:t>
      </w:r>
      <w:r w:rsidR="00013A0C" w:rsidRPr="00013A0C">
        <w:rPr>
          <w:rFonts w:ascii="Book Antiqua" w:hAnsi="Book Antiqua" w:cs="Arial"/>
          <w:sz w:val="20"/>
          <w:vertAlign w:val="superscript"/>
        </w:rPr>
        <w:t>th</w:t>
      </w:r>
      <w:r w:rsidR="00013A0C" w:rsidRPr="00013A0C">
        <w:rPr>
          <w:rFonts w:ascii="Book Antiqua" w:hAnsi="Book Antiqua" w:cs="Arial"/>
          <w:sz w:val="20"/>
        </w:rPr>
        <w:t xml:space="preserve"> December 2017.  </w:t>
      </w:r>
      <w:proofErr w:type="gramStart"/>
      <w:r w:rsidR="00013A0C" w:rsidRPr="00013A0C">
        <w:rPr>
          <w:rFonts w:ascii="Book Antiqua" w:hAnsi="Book Antiqua" w:cs="Arial"/>
          <w:sz w:val="20"/>
        </w:rPr>
        <w:t>This long post-dates</w:t>
      </w:r>
      <w:proofErr w:type="gramEnd"/>
      <w:r w:rsidR="00013A0C" w:rsidRPr="00013A0C">
        <w:rPr>
          <w:rFonts w:ascii="Book Antiqua" w:hAnsi="Book Antiqua" w:cs="Arial"/>
          <w:sz w:val="20"/>
        </w:rPr>
        <w:t xml:space="preserve"> the Respondent’s decision but I am able to take account of it pursuant to Section 85(4) of the 2002 Act (above).  This policy covers both the Appellant and Daniel.  The question that arises in respect of it is whether it amounts to “comprehensive sickness insurance”.  Neither party was able to give me any assistance as to the minimum attributes of comprehensive sickness insurance.  I am not aware of any jurisprudence that assists with this issue.  I note that this policy does not cover visits to a GP or to A </w:t>
      </w:r>
      <w:r>
        <w:rPr>
          <w:rFonts w:ascii="Book Antiqua" w:hAnsi="Book Antiqua" w:cs="Arial"/>
          <w:sz w:val="20"/>
        </w:rPr>
        <w:t>&amp;</w:t>
      </w:r>
      <w:r w:rsidR="00013A0C" w:rsidRPr="00013A0C">
        <w:rPr>
          <w:rFonts w:ascii="Book Antiqua" w:hAnsi="Book Antiqua" w:cs="Arial"/>
          <w:sz w:val="20"/>
        </w:rPr>
        <w:t xml:space="preserve"> E.  Nor does it cover the recurrence within two years of a pre-existing condition suffered in the previous </w:t>
      </w:r>
      <w:r>
        <w:rPr>
          <w:rFonts w:ascii="Book Antiqua" w:hAnsi="Book Antiqua" w:cs="Arial"/>
          <w:sz w:val="20"/>
        </w:rPr>
        <w:t>five years.  It does not cover ‘</w:t>
      </w:r>
      <w:r w:rsidR="00013A0C" w:rsidRPr="00013A0C">
        <w:rPr>
          <w:rFonts w:ascii="Book Antiqua" w:hAnsi="Book Antiqua" w:cs="Arial"/>
          <w:sz w:val="20"/>
        </w:rPr>
        <w:t xml:space="preserve">ongoing, recurrent or </w:t>
      </w:r>
      <w:proofErr w:type="gramStart"/>
      <w:r w:rsidR="00013A0C" w:rsidRPr="00013A0C">
        <w:rPr>
          <w:rFonts w:ascii="Book Antiqua" w:hAnsi="Book Antiqua" w:cs="Arial"/>
          <w:sz w:val="20"/>
        </w:rPr>
        <w:t>long term</w:t>
      </w:r>
      <w:proofErr w:type="gramEnd"/>
      <w:r w:rsidR="00013A0C" w:rsidRPr="00013A0C">
        <w:rPr>
          <w:rFonts w:ascii="Book Antiqua" w:hAnsi="Book Antiqua" w:cs="Arial"/>
          <w:sz w:val="20"/>
        </w:rPr>
        <w:t xml:space="preserve"> conditions</w:t>
      </w:r>
      <w:r>
        <w:rPr>
          <w:rFonts w:ascii="Book Antiqua" w:hAnsi="Book Antiqua" w:cs="Arial"/>
          <w:sz w:val="20"/>
        </w:rPr>
        <w:t>’</w:t>
      </w:r>
      <w:r w:rsidR="00013A0C" w:rsidRPr="00013A0C">
        <w:rPr>
          <w:rFonts w:ascii="Book Antiqua" w:hAnsi="Book Antiqua" w:cs="Arial"/>
          <w:sz w:val="20"/>
        </w:rPr>
        <w:t>.  It does not cover routine pregnancy and childbirth.  It only covers up to three specialist consultations a year.</w:t>
      </w:r>
    </w:p>
    <w:p w14:paraId="2633A3F4" w14:textId="77777777" w:rsidR="00013A0C" w:rsidRPr="00013A0C" w:rsidRDefault="00013A0C" w:rsidP="00715CF2">
      <w:pPr>
        <w:spacing w:before="240"/>
        <w:ind w:left="1701" w:right="566" w:hanging="567"/>
        <w:jc w:val="both"/>
        <w:rPr>
          <w:rFonts w:ascii="Book Antiqua" w:hAnsi="Book Antiqua" w:cs="Arial"/>
          <w:sz w:val="20"/>
        </w:rPr>
      </w:pPr>
      <w:r w:rsidRPr="00013A0C">
        <w:rPr>
          <w:rFonts w:ascii="Book Antiqua" w:hAnsi="Book Antiqua" w:cs="Arial"/>
          <w:sz w:val="20"/>
        </w:rPr>
        <w:t>15.</w:t>
      </w:r>
      <w:r w:rsidRPr="00013A0C">
        <w:rPr>
          <w:rFonts w:ascii="Book Antiqua" w:hAnsi="Book Antiqua" w:cs="Arial"/>
          <w:sz w:val="20"/>
        </w:rPr>
        <w:tab/>
        <w:t xml:space="preserve">The object of the requirement for comprehensive insurance cover is to avoid the person concerned becoming a burden on the medical services of the host state, in this case the NHS.  The kind of medical services which the Appellant and Daniel are most likely to need are those of a GP or an A </w:t>
      </w:r>
      <w:r w:rsidR="00833373">
        <w:rPr>
          <w:rFonts w:ascii="Book Antiqua" w:hAnsi="Book Antiqua" w:cs="Arial"/>
          <w:sz w:val="20"/>
        </w:rPr>
        <w:t>&amp;</w:t>
      </w:r>
      <w:r w:rsidRPr="00013A0C">
        <w:rPr>
          <w:rFonts w:ascii="Book Antiqua" w:hAnsi="Book Antiqua" w:cs="Arial"/>
          <w:sz w:val="20"/>
        </w:rPr>
        <w:t xml:space="preserve"> E department.  Since these are not covered by the Appellant’s policy, I am not satisfied that this policy provides comprehensive sickness insurance.</w:t>
      </w:r>
      <w:r w:rsidR="00833373">
        <w:rPr>
          <w:rFonts w:ascii="Book Antiqua" w:hAnsi="Book Antiqua" w:cs="Arial"/>
          <w:sz w:val="20"/>
        </w:rPr>
        <w:t>”</w:t>
      </w:r>
    </w:p>
    <w:p w14:paraId="26258755" w14:textId="77777777" w:rsidR="00013A0C" w:rsidRDefault="004F2A45" w:rsidP="002B1DA3">
      <w:pPr>
        <w:numPr>
          <w:ilvl w:val="0"/>
          <w:numId w:val="1"/>
        </w:numPr>
        <w:spacing w:before="240"/>
        <w:jc w:val="both"/>
        <w:rPr>
          <w:rFonts w:ascii="Book Antiqua" w:hAnsi="Book Antiqua" w:cs="Arial"/>
        </w:rPr>
      </w:pPr>
      <w:r>
        <w:rPr>
          <w:rFonts w:ascii="Book Antiqua" w:hAnsi="Book Antiqua" w:cs="Arial"/>
        </w:rPr>
        <w:t>In our judgment, the judge’s conclusion is legally unassailable.</w:t>
      </w:r>
    </w:p>
    <w:p w14:paraId="08C58A7E" w14:textId="77777777" w:rsidR="004F2A45" w:rsidRDefault="004F2A45" w:rsidP="002B1DA3">
      <w:pPr>
        <w:numPr>
          <w:ilvl w:val="0"/>
          <w:numId w:val="1"/>
        </w:numPr>
        <w:spacing w:before="240"/>
        <w:jc w:val="both"/>
        <w:rPr>
          <w:rFonts w:ascii="Book Antiqua" w:hAnsi="Book Antiqua" w:cs="Arial"/>
        </w:rPr>
      </w:pPr>
      <w:r>
        <w:rPr>
          <w:rFonts w:ascii="Book Antiqua" w:hAnsi="Book Antiqua" w:cs="Arial"/>
        </w:rPr>
        <w:t xml:space="preserve">At paragraph 16, the judge referred to an “upgraded health insurance policy” which the </w:t>
      </w:r>
      <w:proofErr w:type="spellStart"/>
      <w:r>
        <w:rPr>
          <w:rFonts w:ascii="Book Antiqua" w:hAnsi="Book Antiqua" w:cs="Arial"/>
        </w:rPr>
        <w:t>FtT</w:t>
      </w:r>
      <w:proofErr w:type="spellEnd"/>
      <w:r>
        <w:rPr>
          <w:rFonts w:ascii="Book Antiqua" w:hAnsi="Book Antiqua" w:cs="Arial"/>
        </w:rPr>
        <w:t xml:space="preserve"> had received after the hearing.  Mr </w:t>
      </w:r>
      <w:proofErr w:type="spellStart"/>
      <w:r>
        <w:rPr>
          <w:rFonts w:ascii="Book Antiqua" w:hAnsi="Book Antiqua" w:cs="Arial"/>
        </w:rPr>
        <w:t>Atuegbe</w:t>
      </w:r>
      <w:proofErr w:type="spellEnd"/>
      <w:r>
        <w:rPr>
          <w:rFonts w:ascii="Book Antiqua" w:hAnsi="Book Antiqua" w:cs="Arial"/>
        </w:rPr>
        <w:t xml:space="preserve"> referred us to that policy but, he accepted, it retained very significant omissions in coverage, including any GP or A &amp; E treatment.  He did not contend that it was any more “comprehensive” for the purposes of the EEA Regulations 2016 than was the original policy obtained by the appellant.</w:t>
      </w:r>
    </w:p>
    <w:p w14:paraId="1D5EC99C" w14:textId="77777777" w:rsidR="004F2A45" w:rsidRDefault="004F2A45" w:rsidP="002B1DA3">
      <w:pPr>
        <w:numPr>
          <w:ilvl w:val="0"/>
          <w:numId w:val="1"/>
        </w:numPr>
        <w:spacing w:before="240"/>
        <w:jc w:val="both"/>
        <w:rPr>
          <w:rFonts w:ascii="Book Antiqua" w:hAnsi="Book Antiqua" w:cs="Arial"/>
        </w:rPr>
      </w:pPr>
      <w:r>
        <w:rPr>
          <w:rFonts w:ascii="Book Antiqua" w:hAnsi="Book Antiqua" w:cs="Arial"/>
        </w:rPr>
        <w:t>It follows, in our judgment, that whilst the judge was wrong to exclude the appellant’s earnings in determining whether D had “sufficient resources” not to be a burden on the social security system in the UK (</w:t>
      </w:r>
      <w:proofErr w:type="spellStart"/>
      <w:r w:rsidR="0075228D">
        <w:rPr>
          <w:rFonts w:ascii="Book Antiqua" w:hAnsi="Book Antiqua" w:cs="Arial"/>
        </w:rPr>
        <w:t>r</w:t>
      </w:r>
      <w:r>
        <w:rPr>
          <w:rFonts w:ascii="Book Antiqua" w:hAnsi="Book Antiqua" w:cs="Arial"/>
        </w:rPr>
        <w:t>eg</w:t>
      </w:r>
      <w:proofErr w:type="spellEnd"/>
      <w:r>
        <w:rPr>
          <w:rFonts w:ascii="Book Antiqua" w:hAnsi="Book Antiqua" w:cs="Arial"/>
        </w:rPr>
        <w:t xml:space="preserve"> 4(1)(c)(</w:t>
      </w:r>
      <w:proofErr w:type="spellStart"/>
      <w:r>
        <w:rPr>
          <w:rFonts w:ascii="Book Antiqua" w:hAnsi="Book Antiqua" w:cs="Arial"/>
        </w:rPr>
        <w:t>i</w:t>
      </w:r>
      <w:proofErr w:type="spellEnd"/>
      <w:r>
        <w:rPr>
          <w:rFonts w:ascii="Book Antiqua" w:hAnsi="Book Antiqua" w:cs="Arial"/>
        </w:rPr>
        <w:t>)); the judge was correct to find that D did not have “comprehensive sickness insurance</w:t>
      </w:r>
      <w:r w:rsidR="00CA12ED">
        <w:rPr>
          <w:rFonts w:ascii="Book Antiqua" w:hAnsi="Book Antiqua" w:cs="Arial"/>
        </w:rPr>
        <w:t>”</w:t>
      </w:r>
      <w:r>
        <w:rPr>
          <w:rFonts w:ascii="Book Antiqua" w:hAnsi="Book Antiqua" w:cs="Arial"/>
        </w:rPr>
        <w:t xml:space="preserve"> cover in the UK as required by </w:t>
      </w:r>
      <w:proofErr w:type="spellStart"/>
      <w:r w:rsidR="009B582F">
        <w:rPr>
          <w:rFonts w:ascii="Book Antiqua" w:hAnsi="Book Antiqua" w:cs="Arial"/>
        </w:rPr>
        <w:t>r</w:t>
      </w:r>
      <w:r>
        <w:rPr>
          <w:rFonts w:ascii="Book Antiqua" w:hAnsi="Book Antiqua" w:cs="Arial"/>
        </w:rPr>
        <w:t>eg</w:t>
      </w:r>
      <w:proofErr w:type="spellEnd"/>
      <w:r>
        <w:rPr>
          <w:rFonts w:ascii="Book Antiqua" w:hAnsi="Book Antiqua" w:cs="Arial"/>
        </w:rPr>
        <w:t xml:space="preserve"> 4(1)(c)(ii) and consequently the judge was correct to find that D was not a “self-sufficient person” within </w:t>
      </w:r>
      <w:proofErr w:type="spellStart"/>
      <w:r w:rsidR="009B582F">
        <w:rPr>
          <w:rFonts w:ascii="Book Antiqua" w:hAnsi="Book Antiqua" w:cs="Arial"/>
        </w:rPr>
        <w:t>r</w:t>
      </w:r>
      <w:r>
        <w:rPr>
          <w:rFonts w:ascii="Book Antiqua" w:hAnsi="Book Antiqua" w:cs="Arial"/>
        </w:rPr>
        <w:t>eg</w:t>
      </w:r>
      <w:proofErr w:type="spellEnd"/>
      <w:r>
        <w:rPr>
          <w:rFonts w:ascii="Book Antiqua" w:hAnsi="Book Antiqua" w:cs="Arial"/>
        </w:rPr>
        <w:t xml:space="preserve"> 16(2)(b)(ii) </w:t>
      </w:r>
      <w:r w:rsidR="00BA17D8">
        <w:rPr>
          <w:rFonts w:ascii="Book Antiqua" w:hAnsi="Book Antiqua" w:cs="Arial"/>
        </w:rPr>
        <w:t>and so</w:t>
      </w:r>
      <w:r>
        <w:rPr>
          <w:rFonts w:ascii="Book Antiqua" w:hAnsi="Book Antiqua" w:cs="Arial"/>
        </w:rPr>
        <w:t xml:space="preserve"> the appellant could not derive a right of residence as his primary carer.  The</w:t>
      </w:r>
      <w:r w:rsidR="00833373">
        <w:rPr>
          <w:rFonts w:ascii="Book Antiqua" w:hAnsi="Book Antiqua" w:cs="Arial"/>
        </w:rPr>
        <w:t xml:space="preserve"> judge was, in our judg</w:t>
      </w:r>
      <w:r>
        <w:rPr>
          <w:rFonts w:ascii="Book Antiqua" w:hAnsi="Book Antiqua" w:cs="Arial"/>
        </w:rPr>
        <w:t>ment, right to dismiss the appellant’s appeal on this ground.</w:t>
      </w:r>
    </w:p>
    <w:p w14:paraId="5869243C" w14:textId="77777777" w:rsidR="00A27EAF" w:rsidRPr="00A27EAF" w:rsidRDefault="00A27EAF" w:rsidP="00A27EAF">
      <w:pPr>
        <w:spacing w:before="240"/>
        <w:ind w:left="567"/>
        <w:jc w:val="both"/>
        <w:rPr>
          <w:rFonts w:ascii="Book Antiqua" w:hAnsi="Book Antiqua" w:cs="Arial"/>
          <w:i/>
        </w:rPr>
      </w:pPr>
      <w:r w:rsidRPr="00A27EAF">
        <w:rPr>
          <w:rFonts w:ascii="Book Antiqua" w:hAnsi="Book Antiqua" w:cs="Arial"/>
          <w:i/>
        </w:rPr>
        <w:t>The Zambrano argument</w:t>
      </w:r>
    </w:p>
    <w:p w14:paraId="54A00556" w14:textId="77777777" w:rsidR="004F2A45" w:rsidRDefault="004F2A45" w:rsidP="002B1DA3">
      <w:pPr>
        <w:numPr>
          <w:ilvl w:val="0"/>
          <w:numId w:val="1"/>
        </w:numPr>
        <w:spacing w:before="240"/>
        <w:jc w:val="both"/>
        <w:rPr>
          <w:rFonts w:ascii="Book Antiqua" w:hAnsi="Book Antiqua" w:cs="Arial"/>
        </w:rPr>
      </w:pPr>
      <w:r>
        <w:rPr>
          <w:rFonts w:ascii="Book Antiqua" w:hAnsi="Book Antiqua" w:cs="Arial"/>
        </w:rPr>
        <w:t xml:space="preserve">Before us, Mr </w:t>
      </w:r>
      <w:proofErr w:type="spellStart"/>
      <w:r>
        <w:rPr>
          <w:rFonts w:ascii="Book Antiqua" w:hAnsi="Book Antiqua" w:cs="Arial"/>
        </w:rPr>
        <w:t>Atuegbe</w:t>
      </w:r>
      <w:proofErr w:type="spellEnd"/>
      <w:r>
        <w:rPr>
          <w:rFonts w:ascii="Book Antiqua" w:hAnsi="Book Antiqua" w:cs="Arial"/>
        </w:rPr>
        <w:t xml:space="preserve"> advanced a different basis for the appellant’s </w:t>
      </w:r>
      <w:r w:rsidR="00833373">
        <w:rPr>
          <w:rFonts w:ascii="Book Antiqua" w:hAnsi="Book Antiqua" w:cs="Arial"/>
        </w:rPr>
        <w:t>claimed</w:t>
      </w:r>
      <w:r>
        <w:rPr>
          <w:rFonts w:ascii="Book Antiqua" w:hAnsi="Book Antiqua" w:cs="Arial"/>
        </w:rPr>
        <w:t xml:space="preserve"> derived right of residence.  He relied upon the CJEU’s reasoning in </w:t>
      </w:r>
      <w:proofErr w:type="spellStart"/>
      <w:r>
        <w:rPr>
          <w:rFonts w:ascii="Book Antiqua" w:hAnsi="Book Antiqua" w:cs="Arial"/>
          <w:u w:val="single"/>
        </w:rPr>
        <w:t>Alokpa</w:t>
      </w:r>
      <w:proofErr w:type="spellEnd"/>
      <w:r>
        <w:rPr>
          <w:rFonts w:ascii="Book Antiqua" w:hAnsi="Book Antiqua" w:cs="Arial"/>
        </w:rPr>
        <w:t xml:space="preserve"> at [32] – [ 36] where the </w:t>
      </w:r>
      <w:r w:rsidR="00585666">
        <w:rPr>
          <w:rFonts w:ascii="Book Antiqua" w:hAnsi="Book Antiqua" w:cs="Arial"/>
        </w:rPr>
        <w:t>C</w:t>
      </w:r>
      <w:r>
        <w:rPr>
          <w:rFonts w:ascii="Book Antiqua" w:hAnsi="Book Antiqua" w:cs="Arial"/>
        </w:rPr>
        <w:t>ourt said this:</w:t>
      </w:r>
    </w:p>
    <w:p w14:paraId="19F99188" w14:textId="77777777" w:rsidR="004F2A45" w:rsidRPr="00424B4A" w:rsidRDefault="00424B4A" w:rsidP="00BA17D8">
      <w:pPr>
        <w:pStyle w:val="Normal1"/>
        <w:spacing w:before="240" w:beforeAutospacing="0"/>
        <w:ind w:left="1701" w:right="566" w:hanging="567"/>
        <w:jc w:val="both"/>
        <w:rPr>
          <w:rFonts w:ascii="Book Antiqua" w:hAnsi="Book Antiqua"/>
          <w:sz w:val="20"/>
          <w:szCs w:val="20"/>
        </w:rPr>
      </w:pPr>
      <w:r>
        <w:rPr>
          <w:rFonts w:ascii="Book Antiqua" w:hAnsi="Book Antiqua"/>
          <w:sz w:val="20"/>
          <w:szCs w:val="20"/>
        </w:rPr>
        <w:t>“</w:t>
      </w:r>
      <w:r w:rsidR="004F2A45" w:rsidRPr="00424B4A">
        <w:rPr>
          <w:rFonts w:ascii="Book Antiqua" w:hAnsi="Book Antiqua"/>
          <w:sz w:val="20"/>
          <w:szCs w:val="20"/>
        </w:rPr>
        <w:t>32</w:t>
      </w:r>
      <w:r w:rsidR="004F2A45" w:rsidRPr="00424B4A">
        <w:rPr>
          <w:rFonts w:ascii="Book Antiqua" w:hAnsi="Book Antiqua"/>
          <w:sz w:val="20"/>
          <w:szCs w:val="20"/>
        </w:rPr>
        <w:tab/>
        <w:t xml:space="preserve">Concerning, in the second place, Article 20 TFEU, the Court has held that there are very specific situations in which, despite the fact that the secondary law on the right </w:t>
      </w:r>
      <w:r w:rsidR="004F2A45" w:rsidRPr="00424B4A">
        <w:rPr>
          <w:rFonts w:ascii="Book Antiqua" w:hAnsi="Book Antiqua"/>
          <w:sz w:val="20"/>
          <w:szCs w:val="20"/>
        </w:rPr>
        <w:lastRenderedPageBreak/>
        <w:t xml:space="preserve">of residence of third-country nationals does not apply and the Union citizen concerned has not made use of his freedom of movement, a right of residence cannot, exceptionally, without undermining the effectiveness of the Union citizenship that citizen enjoys, be refused to a third-country national who is a family member of his if, as a consequence of refusal, that citizen would be obliged in practice to leave the territory of the European Union altogether, thus denying him the genuine enjoyment of the substance of the rights conferred by virtue of the status of citizen of the European Union (see </w:t>
      </w:r>
      <w:r w:rsidR="004F2A45" w:rsidRPr="00833373">
        <w:rPr>
          <w:rStyle w:val="italic"/>
          <w:rFonts w:ascii="Book Antiqua" w:hAnsi="Book Antiqua"/>
          <w:sz w:val="20"/>
          <w:szCs w:val="20"/>
          <w:u w:val="single"/>
        </w:rPr>
        <w:t>Iida</w:t>
      </w:r>
      <w:r w:rsidR="004F2A45" w:rsidRPr="00424B4A">
        <w:rPr>
          <w:rFonts w:ascii="Book Antiqua" w:hAnsi="Book Antiqua"/>
          <w:sz w:val="20"/>
          <w:szCs w:val="20"/>
        </w:rPr>
        <w:t xml:space="preserve">, paragraph 71, and </w:t>
      </w:r>
      <w:proofErr w:type="spellStart"/>
      <w:r w:rsidR="004F2A45" w:rsidRPr="00833373">
        <w:rPr>
          <w:rStyle w:val="italic"/>
          <w:rFonts w:ascii="Book Antiqua" w:hAnsi="Book Antiqua"/>
          <w:sz w:val="20"/>
          <w:szCs w:val="20"/>
          <w:u w:val="single"/>
        </w:rPr>
        <w:t>Ymeraga</w:t>
      </w:r>
      <w:proofErr w:type="spellEnd"/>
      <w:r w:rsidR="004F2A45" w:rsidRPr="00833373">
        <w:rPr>
          <w:rStyle w:val="italic"/>
          <w:rFonts w:ascii="Book Antiqua" w:hAnsi="Book Antiqua"/>
          <w:sz w:val="20"/>
          <w:szCs w:val="20"/>
          <w:u w:val="single"/>
        </w:rPr>
        <w:t xml:space="preserve"> and </w:t>
      </w:r>
      <w:proofErr w:type="spellStart"/>
      <w:r w:rsidR="004F2A45" w:rsidRPr="00833373">
        <w:rPr>
          <w:rStyle w:val="italic"/>
          <w:rFonts w:ascii="Book Antiqua" w:hAnsi="Book Antiqua"/>
          <w:sz w:val="20"/>
          <w:szCs w:val="20"/>
          <w:u w:val="single"/>
        </w:rPr>
        <w:t>Ymeraga-Tafarshiku</w:t>
      </w:r>
      <w:proofErr w:type="spellEnd"/>
      <w:r w:rsidR="004F2A45" w:rsidRPr="00424B4A">
        <w:rPr>
          <w:rFonts w:ascii="Book Antiqua" w:hAnsi="Book Antiqua"/>
          <w:sz w:val="20"/>
          <w:szCs w:val="20"/>
        </w:rPr>
        <w:t>, paragraph 36).</w:t>
      </w:r>
    </w:p>
    <w:p w14:paraId="1650C75B" w14:textId="77777777" w:rsidR="004F2A45" w:rsidRPr="00424B4A" w:rsidRDefault="004F2A45" w:rsidP="00BA17D8">
      <w:pPr>
        <w:pStyle w:val="Normal1"/>
        <w:tabs>
          <w:tab w:val="left" w:pos="240"/>
        </w:tabs>
        <w:spacing w:before="240" w:beforeAutospacing="0"/>
        <w:ind w:left="1701" w:right="566" w:hanging="567"/>
        <w:jc w:val="both"/>
        <w:rPr>
          <w:rFonts w:ascii="Book Antiqua" w:hAnsi="Book Antiqua"/>
          <w:sz w:val="20"/>
          <w:szCs w:val="20"/>
        </w:rPr>
      </w:pPr>
      <w:r w:rsidRPr="00424B4A">
        <w:rPr>
          <w:rFonts w:ascii="Book Antiqua" w:hAnsi="Book Antiqua"/>
          <w:sz w:val="20"/>
          <w:szCs w:val="20"/>
        </w:rPr>
        <w:t>33</w:t>
      </w:r>
      <w:r w:rsidRPr="00424B4A">
        <w:rPr>
          <w:rFonts w:ascii="Book Antiqua" w:hAnsi="Book Antiqua"/>
          <w:sz w:val="20"/>
          <w:szCs w:val="20"/>
        </w:rPr>
        <w:tab/>
        <w:t xml:space="preserve">Therefore, if the referring court holds that Article 21 TFEU does not preclude Mrs </w:t>
      </w:r>
      <w:proofErr w:type="spellStart"/>
      <w:r w:rsidRPr="00424B4A">
        <w:rPr>
          <w:rFonts w:ascii="Book Antiqua" w:hAnsi="Book Antiqua"/>
          <w:sz w:val="20"/>
          <w:szCs w:val="20"/>
        </w:rPr>
        <w:t>Alokpa</w:t>
      </w:r>
      <w:proofErr w:type="spellEnd"/>
      <w:r w:rsidRPr="00424B4A">
        <w:rPr>
          <w:rFonts w:ascii="Book Antiqua" w:hAnsi="Book Antiqua"/>
          <w:sz w:val="20"/>
          <w:szCs w:val="20"/>
        </w:rPr>
        <w:t xml:space="preserve"> from being refused a right of residence in Luxembourg, that court must still determine whether such a right of residence may nevertheless be granted to her, exceptionally – if the effectiveness of the Union citizenship that her children enjoy is not to be undermined – in light of the fact that, as a consequence of such a refusal, those children would find themselves obliged in practice to leave the territory of the European Union altogether, thus denying them the genuine enjoyment of the substance of the rights conferred by virtue of that status.</w:t>
      </w:r>
    </w:p>
    <w:p w14:paraId="33FCA355" w14:textId="77777777" w:rsidR="004F2A45" w:rsidRPr="00424B4A" w:rsidRDefault="004F2A45" w:rsidP="00BA17D8">
      <w:pPr>
        <w:pStyle w:val="Normal1"/>
        <w:tabs>
          <w:tab w:val="left" w:pos="240"/>
        </w:tabs>
        <w:spacing w:before="240" w:beforeAutospacing="0"/>
        <w:ind w:left="1701" w:right="566" w:hanging="567"/>
        <w:jc w:val="both"/>
        <w:rPr>
          <w:rFonts w:ascii="Book Antiqua" w:hAnsi="Book Antiqua"/>
          <w:sz w:val="20"/>
          <w:szCs w:val="20"/>
        </w:rPr>
      </w:pPr>
      <w:r w:rsidRPr="00424B4A">
        <w:rPr>
          <w:rFonts w:ascii="Book Antiqua" w:hAnsi="Book Antiqua"/>
          <w:sz w:val="20"/>
          <w:szCs w:val="20"/>
        </w:rPr>
        <w:t>34</w:t>
      </w:r>
      <w:r w:rsidRPr="00424B4A">
        <w:rPr>
          <w:rFonts w:ascii="Book Antiqua" w:hAnsi="Book Antiqua"/>
          <w:sz w:val="20"/>
          <w:szCs w:val="20"/>
        </w:rPr>
        <w:tab/>
        <w:t xml:space="preserve">In that regard, as the Advocate-General stated in points 55 and 56 of his Opinion, Mrs </w:t>
      </w:r>
      <w:proofErr w:type="spellStart"/>
      <w:r w:rsidRPr="00424B4A">
        <w:rPr>
          <w:rFonts w:ascii="Book Antiqua" w:hAnsi="Book Antiqua"/>
          <w:sz w:val="20"/>
          <w:szCs w:val="20"/>
        </w:rPr>
        <w:t>Alokpa</w:t>
      </w:r>
      <w:proofErr w:type="spellEnd"/>
      <w:r w:rsidRPr="00424B4A">
        <w:rPr>
          <w:rFonts w:ascii="Book Antiqua" w:hAnsi="Book Antiqua"/>
          <w:sz w:val="20"/>
          <w:szCs w:val="20"/>
        </w:rPr>
        <w:t xml:space="preserve">, as the mother of </w:t>
      </w:r>
      <w:proofErr w:type="spellStart"/>
      <w:r w:rsidRPr="00424B4A">
        <w:rPr>
          <w:rFonts w:ascii="Book Antiqua" w:hAnsi="Book Antiqua"/>
          <w:sz w:val="20"/>
          <w:szCs w:val="20"/>
        </w:rPr>
        <w:t>Jarel</w:t>
      </w:r>
      <w:proofErr w:type="spellEnd"/>
      <w:r w:rsidRPr="00424B4A">
        <w:rPr>
          <w:rFonts w:ascii="Book Antiqua" w:hAnsi="Book Antiqua"/>
          <w:sz w:val="20"/>
          <w:szCs w:val="20"/>
        </w:rPr>
        <w:t xml:space="preserve"> and </w:t>
      </w:r>
      <w:proofErr w:type="spellStart"/>
      <w:r w:rsidRPr="00424B4A">
        <w:rPr>
          <w:rFonts w:ascii="Book Antiqua" w:hAnsi="Book Antiqua"/>
          <w:sz w:val="20"/>
          <w:szCs w:val="20"/>
        </w:rPr>
        <w:t>Eja</w:t>
      </w:r>
      <w:proofErr w:type="spellEnd"/>
      <w:r w:rsidRPr="00424B4A">
        <w:rPr>
          <w:rFonts w:ascii="Book Antiqua" w:hAnsi="Book Antiqua"/>
          <w:sz w:val="20"/>
          <w:szCs w:val="20"/>
        </w:rPr>
        <w:t xml:space="preserve"> </w:t>
      </w:r>
      <w:proofErr w:type="spellStart"/>
      <w:r w:rsidRPr="00424B4A">
        <w:rPr>
          <w:rFonts w:ascii="Book Antiqua" w:hAnsi="Book Antiqua"/>
          <w:sz w:val="20"/>
          <w:szCs w:val="20"/>
        </w:rPr>
        <w:t>Moudoulou</w:t>
      </w:r>
      <w:proofErr w:type="spellEnd"/>
      <w:r w:rsidRPr="00424B4A">
        <w:rPr>
          <w:rFonts w:ascii="Book Antiqua" w:hAnsi="Book Antiqua"/>
          <w:sz w:val="20"/>
          <w:szCs w:val="20"/>
        </w:rPr>
        <w:t xml:space="preserve"> and as sole carer of those children since their birth, could have the benefit of a derived right to reside in France.</w:t>
      </w:r>
    </w:p>
    <w:p w14:paraId="7E12D356" w14:textId="77777777" w:rsidR="004F2A45" w:rsidRPr="00424B4A" w:rsidRDefault="004F2A45" w:rsidP="00BA17D8">
      <w:pPr>
        <w:pStyle w:val="Normal1"/>
        <w:spacing w:before="240" w:beforeAutospacing="0"/>
        <w:ind w:left="1701" w:right="566" w:hanging="567"/>
        <w:jc w:val="both"/>
        <w:rPr>
          <w:rFonts w:ascii="Book Antiqua" w:hAnsi="Book Antiqua"/>
          <w:sz w:val="20"/>
          <w:szCs w:val="20"/>
        </w:rPr>
      </w:pPr>
      <w:r w:rsidRPr="00424B4A">
        <w:rPr>
          <w:rFonts w:ascii="Book Antiqua" w:hAnsi="Book Antiqua"/>
          <w:sz w:val="20"/>
          <w:szCs w:val="20"/>
        </w:rPr>
        <w:t>35</w:t>
      </w:r>
      <w:r w:rsidRPr="00424B4A">
        <w:rPr>
          <w:rFonts w:ascii="Book Antiqua" w:hAnsi="Book Antiqua"/>
          <w:sz w:val="20"/>
          <w:szCs w:val="20"/>
        </w:rPr>
        <w:tab/>
        <w:t xml:space="preserve">It follows that, in principle, the refusal by the Luxembourg authorities to grant Mrs </w:t>
      </w:r>
      <w:proofErr w:type="spellStart"/>
      <w:r w:rsidRPr="00424B4A">
        <w:rPr>
          <w:rFonts w:ascii="Book Antiqua" w:hAnsi="Book Antiqua"/>
          <w:sz w:val="20"/>
          <w:szCs w:val="20"/>
        </w:rPr>
        <w:t>Alokpa</w:t>
      </w:r>
      <w:proofErr w:type="spellEnd"/>
      <w:r w:rsidRPr="00424B4A">
        <w:rPr>
          <w:rFonts w:ascii="Book Antiqua" w:hAnsi="Book Antiqua"/>
          <w:sz w:val="20"/>
          <w:szCs w:val="20"/>
        </w:rPr>
        <w:t xml:space="preserve"> a right of residence cannot result in her children being obliged to leave the territory of the European Union altogether. It is, however, for the referring court to determine whether, in the light of all of the facts of the main proceedings, that is in fact the case.</w:t>
      </w:r>
    </w:p>
    <w:p w14:paraId="334273D1" w14:textId="77777777" w:rsidR="004F2A45" w:rsidRPr="00424B4A" w:rsidRDefault="004F2A45" w:rsidP="00BA17D8">
      <w:pPr>
        <w:pStyle w:val="Normal1"/>
        <w:spacing w:before="240" w:beforeAutospacing="0"/>
        <w:ind w:left="1701" w:right="566" w:hanging="567"/>
        <w:jc w:val="both"/>
        <w:rPr>
          <w:rFonts w:ascii="Book Antiqua" w:hAnsi="Book Antiqua"/>
          <w:sz w:val="20"/>
          <w:szCs w:val="20"/>
        </w:rPr>
      </w:pPr>
      <w:r w:rsidRPr="00424B4A">
        <w:rPr>
          <w:rFonts w:ascii="Book Antiqua" w:hAnsi="Book Antiqua"/>
          <w:sz w:val="20"/>
          <w:szCs w:val="20"/>
        </w:rPr>
        <w:t>36</w:t>
      </w:r>
      <w:r w:rsidRPr="00424B4A">
        <w:rPr>
          <w:rFonts w:ascii="Book Antiqua" w:hAnsi="Book Antiqua"/>
          <w:sz w:val="20"/>
          <w:szCs w:val="20"/>
        </w:rPr>
        <w:tab/>
        <w:t>In the light of all of the foregoing considerations, the answer to the question referred is that, in a situation such as that at issue in the main proceedings, Articles 20 TFEU and 21 TFEU must be interpreted as meaning that they do not preclude a Member State from refusing to allow a third-country national to reside in its territory, where that third-country national has sole responsibility for her minor children who are citizens of the European Union, and who have resided with her in that Member State since their birth, without possessing the nationality of that Member State and making use of their right to freedom of movement, in so far as those Union citizens do not satisfy the conditions set out in Directive 2004/38 or such a refusal does not deprive those citizens of effective enjoyment of the substance of the rights conferred by virtue of the status of European Union citizenship, a matter which is to be determined by the referring court.</w:t>
      </w:r>
      <w:r w:rsidR="00424B4A">
        <w:rPr>
          <w:rFonts w:ascii="Book Antiqua" w:hAnsi="Book Antiqua"/>
          <w:sz w:val="20"/>
          <w:szCs w:val="20"/>
        </w:rPr>
        <w:t>”</w:t>
      </w:r>
    </w:p>
    <w:p w14:paraId="1761F038" w14:textId="77777777" w:rsidR="00AE5E65" w:rsidRDefault="00424B4A" w:rsidP="002B1DA3">
      <w:pPr>
        <w:numPr>
          <w:ilvl w:val="0"/>
          <w:numId w:val="1"/>
        </w:numPr>
        <w:spacing w:before="240"/>
        <w:jc w:val="both"/>
        <w:rPr>
          <w:rFonts w:ascii="Book Antiqua" w:hAnsi="Book Antiqua" w:cs="Arial"/>
        </w:rPr>
      </w:pPr>
      <w:r>
        <w:rPr>
          <w:rFonts w:ascii="Book Antiqua" w:hAnsi="Book Antiqua" w:cs="Arial"/>
        </w:rPr>
        <w:t xml:space="preserve">This basis of the appellant’s claim is, as we understand it, a claim based upon the </w:t>
      </w:r>
      <w:r w:rsidR="00D22AAD">
        <w:rPr>
          <w:rFonts w:ascii="Book Antiqua" w:hAnsi="Book Antiqua" w:cs="Arial"/>
        </w:rPr>
        <w:t>line</w:t>
      </w:r>
      <w:r>
        <w:rPr>
          <w:rFonts w:ascii="Book Antiqua" w:hAnsi="Book Antiqua" w:cs="Arial"/>
        </w:rPr>
        <w:t xml:space="preserve"> of authority in the CJEU beginning with </w:t>
      </w:r>
      <w:r w:rsidRPr="00424B4A">
        <w:rPr>
          <w:rFonts w:ascii="Book Antiqua" w:hAnsi="Book Antiqua" w:cs="Arial"/>
          <w:u w:val="single"/>
        </w:rPr>
        <w:t xml:space="preserve">Ruiz Zambrano v Office National de </w:t>
      </w:r>
      <w:proofErr w:type="spellStart"/>
      <w:r w:rsidRPr="00424B4A">
        <w:rPr>
          <w:rFonts w:ascii="Book Antiqua" w:hAnsi="Book Antiqua" w:cs="Arial"/>
          <w:u w:val="single"/>
        </w:rPr>
        <w:t>l’Emploi</w:t>
      </w:r>
      <w:proofErr w:type="spellEnd"/>
      <w:r>
        <w:rPr>
          <w:rFonts w:ascii="Book Antiqua" w:hAnsi="Book Antiqua" w:cs="Arial"/>
        </w:rPr>
        <w:t xml:space="preserve"> (Case C-34/09) (8 March 2011) </w:t>
      </w:r>
      <w:r w:rsidR="002C6BE3">
        <w:rPr>
          <w:rFonts w:ascii="Book Antiqua" w:hAnsi="Book Antiqua" w:cs="Arial"/>
        </w:rPr>
        <w:t xml:space="preserve">and </w:t>
      </w:r>
      <w:r>
        <w:rPr>
          <w:rFonts w:ascii="Book Antiqua" w:hAnsi="Book Antiqua" w:cs="Arial"/>
        </w:rPr>
        <w:t xml:space="preserve">followed in </w:t>
      </w:r>
      <w:proofErr w:type="spellStart"/>
      <w:r>
        <w:rPr>
          <w:rFonts w:ascii="Book Antiqua" w:hAnsi="Book Antiqua" w:cs="Arial"/>
          <w:u w:val="single"/>
        </w:rPr>
        <w:t>Dereci</w:t>
      </w:r>
      <w:proofErr w:type="spellEnd"/>
      <w:r>
        <w:rPr>
          <w:rFonts w:ascii="Book Antiqua" w:hAnsi="Book Antiqua" w:cs="Arial"/>
          <w:u w:val="single"/>
        </w:rPr>
        <w:t xml:space="preserve"> and others v </w:t>
      </w:r>
      <w:proofErr w:type="spellStart"/>
      <w:r>
        <w:rPr>
          <w:rFonts w:ascii="Book Antiqua" w:hAnsi="Book Antiqua" w:cs="Arial"/>
          <w:u w:val="single"/>
        </w:rPr>
        <w:t>Bundes</w:t>
      </w:r>
      <w:r w:rsidR="002C6BE3">
        <w:rPr>
          <w:rFonts w:ascii="Book Antiqua" w:hAnsi="Book Antiqua" w:cs="Arial"/>
          <w:u w:val="single"/>
        </w:rPr>
        <w:t>i</w:t>
      </w:r>
      <w:r>
        <w:rPr>
          <w:rFonts w:ascii="Book Antiqua" w:hAnsi="Book Antiqua" w:cs="Arial"/>
          <w:u w:val="single"/>
        </w:rPr>
        <w:t>ministerim</w:t>
      </w:r>
      <w:proofErr w:type="spellEnd"/>
      <w:r>
        <w:rPr>
          <w:rFonts w:ascii="Book Antiqua" w:hAnsi="Book Antiqua" w:cs="Arial"/>
          <w:u w:val="single"/>
        </w:rPr>
        <w:t xml:space="preserve"> fur </w:t>
      </w:r>
      <w:proofErr w:type="spellStart"/>
      <w:r>
        <w:rPr>
          <w:rFonts w:ascii="Book Antiqua" w:hAnsi="Book Antiqua" w:cs="Arial"/>
          <w:u w:val="single"/>
        </w:rPr>
        <w:t>Inneres</w:t>
      </w:r>
      <w:proofErr w:type="spellEnd"/>
      <w:r>
        <w:rPr>
          <w:rFonts w:ascii="Book Antiqua" w:hAnsi="Book Antiqua" w:cs="Arial"/>
        </w:rPr>
        <w:t xml:space="preserve"> (Case C-256/11) (15 November 2011).  Relying upon Article 20 TFU, the CJEU recognised that a Union citizen has a right to the genuine enjoyment of the substance of their right to reside in the EU.  Those upon whom they are dependent, may derive a right of residence also if not to do so would deprive the EU citizen of the “substance” of their right of residence.  </w:t>
      </w:r>
    </w:p>
    <w:p w14:paraId="23495F46" w14:textId="77777777" w:rsidR="004F2A45" w:rsidRDefault="00424B4A" w:rsidP="002B1DA3">
      <w:pPr>
        <w:numPr>
          <w:ilvl w:val="0"/>
          <w:numId w:val="1"/>
        </w:numPr>
        <w:spacing w:before="240"/>
        <w:jc w:val="both"/>
        <w:rPr>
          <w:rFonts w:ascii="Book Antiqua" w:hAnsi="Book Antiqua" w:cs="Arial"/>
        </w:rPr>
      </w:pPr>
      <w:r>
        <w:rPr>
          <w:rFonts w:ascii="Book Antiqua" w:hAnsi="Book Antiqua" w:cs="Arial"/>
        </w:rPr>
        <w:t xml:space="preserve">The CJEU’s case law was considered by the Court of Appeal in </w:t>
      </w:r>
      <w:r w:rsidRPr="00424B4A">
        <w:rPr>
          <w:rFonts w:ascii="Book Antiqua" w:hAnsi="Book Antiqua" w:cs="Arial"/>
          <w:u w:val="single"/>
        </w:rPr>
        <w:t xml:space="preserve">Patel v </w:t>
      </w:r>
      <w:r>
        <w:rPr>
          <w:rFonts w:ascii="Book Antiqua" w:hAnsi="Book Antiqua" w:cs="Arial"/>
          <w:u w:val="single"/>
        </w:rPr>
        <w:t>SSHD</w:t>
      </w:r>
      <w:r>
        <w:rPr>
          <w:rFonts w:ascii="Book Antiqua" w:hAnsi="Book Antiqua" w:cs="Arial"/>
        </w:rPr>
        <w:t xml:space="preserve"> [2017] EWCA </w:t>
      </w:r>
      <w:proofErr w:type="spellStart"/>
      <w:r>
        <w:rPr>
          <w:rFonts w:ascii="Book Antiqua" w:hAnsi="Book Antiqua" w:cs="Arial"/>
        </w:rPr>
        <w:t>Civ</w:t>
      </w:r>
      <w:proofErr w:type="spellEnd"/>
      <w:r>
        <w:rPr>
          <w:rFonts w:ascii="Book Antiqua" w:hAnsi="Book Antiqua" w:cs="Arial"/>
        </w:rPr>
        <w:t xml:space="preserve"> 2028, including the subsequent decision of the CJEU in </w:t>
      </w:r>
      <w:r w:rsidR="002C6BE3">
        <w:rPr>
          <w:rFonts w:ascii="Book Antiqua" w:hAnsi="Book Antiqua" w:cs="Arial"/>
          <w:u w:val="single"/>
        </w:rPr>
        <w:t>Chavez-</w:t>
      </w:r>
      <w:proofErr w:type="spellStart"/>
      <w:r w:rsidR="002C6BE3">
        <w:rPr>
          <w:rFonts w:ascii="Book Antiqua" w:hAnsi="Book Antiqua" w:cs="Arial"/>
          <w:u w:val="single"/>
        </w:rPr>
        <w:t>Vil</w:t>
      </w:r>
      <w:r>
        <w:rPr>
          <w:rFonts w:ascii="Book Antiqua" w:hAnsi="Book Antiqua" w:cs="Arial"/>
          <w:u w:val="single"/>
        </w:rPr>
        <w:t>chez</w:t>
      </w:r>
      <w:proofErr w:type="spellEnd"/>
      <w:r>
        <w:rPr>
          <w:rFonts w:ascii="Book Antiqua" w:hAnsi="Book Antiqua" w:cs="Arial"/>
          <w:u w:val="single"/>
        </w:rPr>
        <w:t xml:space="preserve"> </w:t>
      </w:r>
      <w:r>
        <w:rPr>
          <w:rFonts w:ascii="Book Antiqua" w:hAnsi="Book Antiqua" w:cs="Arial"/>
          <w:u w:val="single"/>
        </w:rPr>
        <w:lastRenderedPageBreak/>
        <w:t>and Others</w:t>
      </w:r>
      <w:r>
        <w:rPr>
          <w:rFonts w:ascii="Book Antiqua" w:hAnsi="Book Antiqua" w:cs="Arial"/>
        </w:rPr>
        <w:t xml:space="preserve"> (Case C-133/15) (10 May 2017).  The Court of Appeal recognised that the </w:t>
      </w:r>
      <w:r>
        <w:rPr>
          <w:rFonts w:ascii="Book Antiqua" w:hAnsi="Book Antiqua" w:cs="Arial"/>
          <w:u w:val="single"/>
        </w:rPr>
        <w:t xml:space="preserve">Zambrano </w:t>
      </w:r>
      <w:r>
        <w:rPr>
          <w:rFonts w:ascii="Book Antiqua" w:hAnsi="Book Antiqua" w:cs="Arial"/>
        </w:rPr>
        <w:t xml:space="preserve">principle applied to confer a right of derived residence upon a primary carer of an EU national (even when that EU national is in his or her own country) if the effect of the primary carer not being allowed to remain in the </w:t>
      </w:r>
      <w:r w:rsidR="00A02891">
        <w:rPr>
          <w:rFonts w:ascii="Book Antiqua" w:hAnsi="Book Antiqua" w:cs="Arial"/>
        </w:rPr>
        <w:t>M</w:t>
      </w:r>
      <w:r>
        <w:rPr>
          <w:rFonts w:ascii="Book Antiqua" w:hAnsi="Book Antiqua" w:cs="Arial"/>
        </w:rPr>
        <w:t xml:space="preserve">ember </w:t>
      </w:r>
      <w:r w:rsidR="00A02891">
        <w:rPr>
          <w:rFonts w:ascii="Book Antiqua" w:hAnsi="Book Antiqua" w:cs="Arial"/>
        </w:rPr>
        <w:t>S</w:t>
      </w:r>
      <w:r>
        <w:rPr>
          <w:rFonts w:ascii="Book Antiqua" w:hAnsi="Book Antiqua" w:cs="Arial"/>
        </w:rPr>
        <w:t xml:space="preserve">tate with the EU national is that the EU national would be “compelled” to leave the EU with their primary carer.  Neither </w:t>
      </w:r>
      <w:r w:rsidR="00D22AAD">
        <w:rPr>
          <w:rFonts w:ascii="Book Antiqua" w:hAnsi="Book Antiqua" w:cs="Arial"/>
        </w:rPr>
        <w:t xml:space="preserve">the EU national’s right of residence derived from Article 20 TFEU nor the derived right of residence of the primary carer is contingent upon the EU national being “self-sufficient” either in the sense of having available resources so as to avoid reliance upon the social system or by requiring comprehensive sickness insurance.  Neither requirement was imposed by the CJEU in the principal decisions in </w:t>
      </w:r>
      <w:r w:rsidR="00D22AAD" w:rsidRPr="00D22AAD">
        <w:rPr>
          <w:rFonts w:ascii="Book Antiqua" w:hAnsi="Book Antiqua" w:cs="Arial"/>
          <w:u w:val="single"/>
        </w:rPr>
        <w:t>Zambrano</w:t>
      </w:r>
      <w:r w:rsidR="00D22AAD">
        <w:rPr>
          <w:rFonts w:ascii="Book Antiqua" w:hAnsi="Book Antiqua" w:cs="Arial"/>
        </w:rPr>
        <w:t xml:space="preserve"> and </w:t>
      </w:r>
      <w:proofErr w:type="spellStart"/>
      <w:r w:rsidR="00D22AAD" w:rsidRPr="00D22AAD">
        <w:rPr>
          <w:rFonts w:ascii="Book Antiqua" w:hAnsi="Book Antiqua" w:cs="Arial"/>
          <w:u w:val="single"/>
        </w:rPr>
        <w:t>Dereci</w:t>
      </w:r>
      <w:proofErr w:type="spellEnd"/>
      <w:r w:rsidR="00D22AAD">
        <w:rPr>
          <w:rFonts w:ascii="Book Antiqua" w:hAnsi="Book Antiqua" w:cs="Arial"/>
        </w:rPr>
        <w:t xml:space="preserve"> or in </w:t>
      </w:r>
      <w:proofErr w:type="spellStart"/>
      <w:r w:rsidR="00D22AAD">
        <w:rPr>
          <w:rFonts w:ascii="Book Antiqua" w:hAnsi="Book Antiqua" w:cs="Arial"/>
          <w:u w:val="single"/>
        </w:rPr>
        <w:t>Alokpa</w:t>
      </w:r>
      <w:proofErr w:type="spellEnd"/>
      <w:r w:rsidR="00D22AAD">
        <w:rPr>
          <w:rFonts w:ascii="Book Antiqua" w:hAnsi="Book Antiqua" w:cs="Arial"/>
        </w:rPr>
        <w:t xml:space="preserve"> [32] – [36].  </w:t>
      </w:r>
    </w:p>
    <w:p w14:paraId="50D8CC7B" w14:textId="77777777" w:rsidR="00D22AAD" w:rsidRDefault="00D22AAD" w:rsidP="002B1DA3">
      <w:pPr>
        <w:numPr>
          <w:ilvl w:val="0"/>
          <w:numId w:val="1"/>
        </w:numPr>
        <w:spacing w:before="240"/>
        <w:jc w:val="both"/>
        <w:rPr>
          <w:rFonts w:ascii="Book Antiqua" w:hAnsi="Book Antiqua" w:cs="Arial"/>
        </w:rPr>
      </w:pPr>
      <w:r>
        <w:rPr>
          <w:rFonts w:ascii="Book Antiqua" w:hAnsi="Book Antiqua" w:cs="Arial"/>
        </w:rPr>
        <w:t xml:space="preserve">Mr </w:t>
      </w:r>
      <w:proofErr w:type="spellStart"/>
      <w:r>
        <w:rPr>
          <w:rFonts w:ascii="Book Antiqua" w:hAnsi="Book Antiqua" w:cs="Arial"/>
        </w:rPr>
        <w:t>Atuegbe</w:t>
      </w:r>
      <w:proofErr w:type="spellEnd"/>
      <w:r>
        <w:rPr>
          <w:rFonts w:ascii="Book Antiqua" w:hAnsi="Book Antiqua" w:cs="Arial"/>
        </w:rPr>
        <w:t xml:space="preserve"> relied upon this line of authority.  Mr </w:t>
      </w:r>
      <w:proofErr w:type="spellStart"/>
      <w:r>
        <w:rPr>
          <w:rFonts w:ascii="Book Antiqua" w:hAnsi="Book Antiqua" w:cs="Arial"/>
        </w:rPr>
        <w:t>McVeety</w:t>
      </w:r>
      <w:proofErr w:type="spellEnd"/>
      <w:r>
        <w:rPr>
          <w:rFonts w:ascii="Book Antiqua" w:hAnsi="Book Antiqua" w:cs="Arial"/>
        </w:rPr>
        <w:t xml:space="preserve"> submitted that the derived right of residence only arose if, in its absence, the EU national (here D) would be required to leave the EU.  He submitted that D was a national of Sweden and there was no evidence in this case to show that he could not live in Sweden with the appellant as his primary carer.  </w:t>
      </w:r>
    </w:p>
    <w:p w14:paraId="28297289" w14:textId="77777777" w:rsidR="002D0C50" w:rsidRPr="002D0C50" w:rsidRDefault="00D22AAD" w:rsidP="002B1DA3">
      <w:pPr>
        <w:numPr>
          <w:ilvl w:val="0"/>
          <w:numId w:val="1"/>
        </w:numPr>
        <w:spacing w:before="240"/>
        <w:jc w:val="both"/>
        <w:rPr>
          <w:rFonts w:ascii="Book Antiqua" w:hAnsi="Book Antiqua" w:cs="Arial"/>
          <w:b/>
          <w:u w:val="single"/>
        </w:rPr>
      </w:pPr>
      <w:r>
        <w:rPr>
          <w:rFonts w:ascii="Book Antiqua" w:hAnsi="Book Antiqua" w:cs="Arial"/>
        </w:rPr>
        <w:t xml:space="preserve">The </w:t>
      </w:r>
      <w:r>
        <w:rPr>
          <w:rFonts w:ascii="Book Antiqua" w:hAnsi="Book Antiqua" w:cs="Arial"/>
          <w:u w:val="single"/>
        </w:rPr>
        <w:t>Zambrano</w:t>
      </w:r>
      <w:r>
        <w:rPr>
          <w:rFonts w:ascii="Book Antiqua" w:hAnsi="Book Antiqua" w:cs="Arial"/>
        </w:rPr>
        <w:t xml:space="preserve"> principle is, at least in part, reflected in </w:t>
      </w:r>
      <w:proofErr w:type="spellStart"/>
      <w:r w:rsidR="008A5BF3">
        <w:rPr>
          <w:rFonts w:ascii="Book Antiqua" w:hAnsi="Book Antiqua" w:cs="Arial"/>
        </w:rPr>
        <w:t>r</w:t>
      </w:r>
      <w:r>
        <w:rPr>
          <w:rFonts w:ascii="Book Antiqua" w:hAnsi="Book Antiqua" w:cs="Arial"/>
        </w:rPr>
        <w:t>eg</w:t>
      </w:r>
      <w:proofErr w:type="spellEnd"/>
      <w:r>
        <w:rPr>
          <w:rFonts w:ascii="Book Antiqua" w:hAnsi="Book Antiqua" w:cs="Arial"/>
        </w:rPr>
        <w:t xml:space="preserve"> 16(5) of the EEA Regulations 2016 which we set out above.  That, however, is restricted to the “primary carer of a British citizen”.  In other words, it limits the </w:t>
      </w:r>
      <w:r>
        <w:rPr>
          <w:rFonts w:ascii="Book Antiqua" w:hAnsi="Book Antiqua" w:cs="Arial"/>
          <w:u w:val="single"/>
        </w:rPr>
        <w:t>Zambrano</w:t>
      </w:r>
      <w:r>
        <w:rPr>
          <w:rFonts w:ascii="Book Antiqua" w:hAnsi="Book Antiqua" w:cs="Arial"/>
        </w:rPr>
        <w:t xml:space="preserve"> principle to the situation where the EU national is not relying upon a right of free movement and residence upon which the primary carer seeks to derive their own right of residence.  </w:t>
      </w:r>
    </w:p>
    <w:p w14:paraId="591BC22B" w14:textId="77777777" w:rsidR="00D22AAD" w:rsidRPr="00843E1F" w:rsidRDefault="00D22AAD" w:rsidP="002B1DA3">
      <w:pPr>
        <w:numPr>
          <w:ilvl w:val="0"/>
          <w:numId w:val="1"/>
        </w:numPr>
        <w:spacing w:before="240"/>
        <w:jc w:val="both"/>
        <w:rPr>
          <w:rFonts w:ascii="Book Antiqua" w:hAnsi="Book Antiqua" w:cs="Arial"/>
          <w:b/>
          <w:u w:val="single"/>
        </w:rPr>
      </w:pPr>
      <w:r>
        <w:rPr>
          <w:rFonts w:ascii="Book Antiqua" w:hAnsi="Book Antiqua" w:cs="Arial"/>
        </w:rPr>
        <w:t xml:space="preserve">We were not addressed directly on the scope of the </w:t>
      </w:r>
      <w:r>
        <w:rPr>
          <w:rFonts w:ascii="Book Antiqua" w:hAnsi="Book Antiqua" w:cs="Arial"/>
          <w:u w:val="single"/>
        </w:rPr>
        <w:t>Zambrano</w:t>
      </w:r>
      <w:r>
        <w:rPr>
          <w:rFonts w:ascii="Book Antiqua" w:hAnsi="Book Antiqua" w:cs="Arial"/>
        </w:rPr>
        <w:t xml:space="preserve"> principle.  Certainly, in </w:t>
      </w:r>
      <w:r>
        <w:rPr>
          <w:rFonts w:ascii="Book Antiqua" w:hAnsi="Book Antiqua" w:cs="Arial"/>
          <w:u w:val="single"/>
        </w:rPr>
        <w:t>Zambrano</w:t>
      </w:r>
      <w:r>
        <w:rPr>
          <w:rFonts w:ascii="Book Antiqua" w:hAnsi="Book Antiqua" w:cs="Arial"/>
        </w:rPr>
        <w:t xml:space="preserve"> itself and in </w:t>
      </w:r>
      <w:proofErr w:type="spellStart"/>
      <w:r>
        <w:rPr>
          <w:rFonts w:ascii="Book Antiqua" w:hAnsi="Book Antiqua" w:cs="Arial"/>
          <w:u w:val="single"/>
        </w:rPr>
        <w:t>Dereci</w:t>
      </w:r>
      <w:proofErr w:type="spellEnd"/>
      <w:r>
        <w:rPr>
          <w:rFonts w:ascii="Book Antiqua" w:hAnsi="Book Antiqua" w:cs="Arial"/>
        </w:rPr>
        <w:t xml:space="preserve">, the EU national was resident in his or her own country (Member State).  However, that was not the situation in </w:t>
      </w:r>
      <w:proofErr w:type="spellStart"/>
      <w:r w:rsidR="00843E1F">
        <w:rPr>
          <w:rFonts w:ascii="Book Antiqua" w:hAnsi="Book Antiqua" w:cs="Arial"/>
          <w:u w:val="single"/>
        </w:rPr>
        <w:t>Alokpa</w:t>
      </w:r>
      <w:proofErr w:type="spellEnd"/>
      <w:r>
        <w:rPr>
          <w:rFonts w:ascii="Book Antiqua" w:hAnsi="Book Antiqua" w:cs="Arial"/>
        </w:rPr>
        <w:t xml:space="preserve">.  There, the EU national was a French citizen who was living in Luxembourg and his mother sought to derive a right of residence, </w:t>
      </w:r>
      <w:r w:rsidRPr="002D0C50">
        <w:rPr>
          <w:rFonts w:ascii="Book Antiqua" w:hAnsi="Book Antiqua" w:cs="Arial"/>
        </w:rPr>
        <w:t>inter alia</w:t>
      </w:r>
      <w:r>
        <w:rPr>
          <w:rFonts w:ascii="Book Antiqua" w:hAnsi="Book Antiqua" w:cs="Arial"/>
        </w:rPr>
        <w:t xml:space="preserve">, from his right to reside in the EU under Article 20, TFEU.  The CJEU at [32] – [36] in concluding that that was in principle an available argument to his mother, clearly did not consider that the </w:t>
      </w:r>
      <w:r>
        <w:rPr>
          <w:rFonts w:ascii="Book Antiqua" w:hAnsi="Book Antiqua" w:cs="Arial"/>
          <w:u w:val="single"/>
        </w:rPr>
        <w:t>Zambrano</w:t>
      </w:r>
      <w:r>
        <w:rPr>
          <w:rFonts w:ascii="Book Antiqua" w:hAnsi="Book Antiqua" w:cs="Arial"/>
        </w:rPr>
        <w:t xml:space="preserve"> principle can only be relied upon by an EU national (and his or her primary carer) when the EU national is resident in his or her own country.  The CJEU recognised that the EU national’s mother in that case could derive a right of residence in Luxembourg from her son’s right of residence as an EU citizen under Article 20 (TFEU) if the effect of not granting her a right of residence would be that the EU national would be “obliged to leave the territory of the European Union altogether”.</w:t>
      </w:r>
      <w:r w:rsidR="00843E1F">
        <w:rPr>
          <w:rFonts w:ascii="Book Antiqua" w:hAnsi="Book Antiqua" w:cs="Arial"/>
        </w:rPr>
        <w:t xml:space="preserve">  That issue was to be determined, on the facts, by the national authorities and court.</w:t>
      </w:r>
    </w:p>
    <w:p w14:paraId="18F4C1A4" w14:textId="77777777" w:rsidR="00843E1F" w:rsidRPr="003D6A80" w:rsidRDefault="00843E1F" w:rsidP="002B1DA3">
      <w:pPr>
        <w:numPr>
          <w:ilvl w:val="0"/>
          <w:numId w:val="1"/>
        </w:numPr>
        <w:tabs>
          <w:tab w:val="clear" w:pos="567"/>
        </w:tabs>
        <w:spacing w:before="240"/>
        <w:jc w:val="both"/>
        <w:rPr>
          <w:rFonts w:ascii="Book Antiqua" w:hAnsi="Book Antiqua" w:cs="Arial"/>
          <w:b/>
          <w:u w:val="single"/>
        </w:rPr>
      </w:pPr>
      <w:r w:rsidRPr="003D6A80">
        <w:rPr>
          <w:rFonts w:ascii="Book Antiqua" w:hAnsi="Book Antiqua" w:cs="Arial"/>
        </w:rPr>
        <w:t xml:space="preserve">We see no basis in principle, therefore, why the appellant may not rely upon the </w:t>
      </w:r>
      <w:r w:rsidRPr="003D6A80">
        <w:rPr>
          <w:rFonts w:ascii="Book Antiqua" w:hAnsi="Book Antiqua" w:cs="Arial"/>
          <w:u w:val="single"/>
        </w:rPr>
        <w:t>Zambrano</w:t>
      </w:r>
      <w:r w:rsidRPr="003D6A80">
        <w:rPr>
          <w:rFonts w:ascii="Book Antiqua" w:hAnsi="Book Antiqua" w:cs="Arial"/>
        </w:rPr>
        <w:t xml:space="preserve"> line of authority even though he is a Swedish national living in the UK and, therefore, not in his own country.  No support for such a limitation can be seen in </w:t>
      </w:r>
      <w:proofErr w:type="spellStart"/>
      <w:r w:rsidRPr="003D6A80">
        <w:rPr>
          <w:rFonts w:ascii="Book Antiqua" w:hAnsi="Book Antiqua" w:cs="Arial"/>
          <w:u w:val="single"/>
        </w:rPr>
        <w:t>Alokpa</w:t>
      </w:r>
      <w:proofErr w:type="spellEnd"/>
      <w:r w:rsidRPr="003D6A80">
        <w:rPr>
          <w:rFonts w:ascii="Book Antiqua" w:hAnsi="Book Antiqua" w:cs="Arial"/>
        </w:rPr>
        <w:t xml:space="preserve"> and the EU citizen’s right of residence under Article 20, TFEU is a right of residence in the EU as a whole, and not simply in his or her own country.  That is reflected in the CJEU’s case law, as applied by the Court of Appeal in </w:t>
      </w:r>
      <w:r w:rsidRPr="003D6A80">
        <w:rPr>
          <w:rFonts w:ascii="Book Antiqua" w:hAnsi="Book Antiqua" w:cs="Arial"/>
          <w:u w:val="single"/>
        </w:rPr>
        <w:t>Patel</w:t>
      </w:r>
      <w:r w:rsidRPr="003D6A80">
        <w:rPr>
          <w:rFonts w:ascii="Book Antiqua" w:hAnsi="Book Antiqua" w:cs="Arial"/>
        </w:rPr>
        <w:t>, that the crucial issue is whether the denial of a right of residence to the primary carer would “compel” or “force” the EU national to leave the EU.</w:t>
      </w:r>
      <w:r w:rsidR="003D6A80">
        <w:rPr>
          <w:rFonts w:ascii="Book Antiqua" w:hAnsi="Book Antiqua" w:cs="Arial"/>
        </w:rPr>
        <w:t xml:space="preserve">  </w:t>
      </w:r>
      <w:r w:rsidRPr="003D6A80">
        <w:rPr>
          <w:rFonts w:ascii="Book Antiqua" w:hAnsi="Book Antiqua" w:cs="Arial"/>
        </w:rPr>
        <w:t xml:space="preserve">The </w:t>
      </w:r>
      <w:r w:rsidRPr="003D6A80">
        <w:rPr>
          <w:rFonts w:ascii="Book Antiqua" w:hAnsi="Book Antiqua" w:cs="Arial"/>
          <w:u w:val="single"/>
        </w:rPr>
        <w:t>Zambrano</w:t>
      </w:r>
      <w:r w:rsidRPr="003D6A80">
        <w:rPr>
          <w:rFonts w:ascii="Book Antiqua" w:hAnsi="Book Antiqua" w:cs="Arial"/>
        </w:rPr>
        <w:t xml:space="preserve"> right arises, as it </w:t>
      </w:r>
      <w:r w:rsidRPr="003D6A80">
        <w:rPr>
          <w:rFonts w:ascii="Book Antiqua" w:hAnsi="Book Antiqua" w:cs="Arial"/>
        </w:rPr>
        <w:lastRenderedPageBreak/>
        <w:t>did before the amendment to the earlier Immigration (EEA) Regulations 2006 (SI 2006/1003) on 16 July 2012 (by SI 2012/1547) under EU law which must be directly applied by domestic authorities and courts.</w:t>
      </w:r>
    </w:p>
    <w:p w14:paraId="00B57824" w14:textId="77777777" w:rsidR="00843E1F" w:rsidRPr="00843E1F" w:rsidRDefault="00843E1F" w:rsidP="002B1DA3">
      <w:pPr>
        <w:numPr>
          <w:ilvl w:val="0"/>
          <w:numId w:val="1"/>
        </w:numPr>
        <w:spacing w:before="240"/>
        <w:jc w:val="both"/>
        <w:rPr>
          <w:rFonts w:ascii="Book Antiqua" w:hAnsi="Book Antiqua" w:cs="Arial"/>
          <w:b/>
          <w:u w:val="single"/>
        </w:rPr>
      </w:pPr>
      <w:r>
        <w:rPr>
          <w:rFonts w:ascii="Book Antiqua" w:hAnsi="Book Antiqua" w:cs="Arial"/>
        </w:rPr>
        <w:t xml:space="preserve">We approach the application of </w:t>
      </w:r>
      <w:r>
        <w:rPr>
          <w:rFonts w:ascii="Book Antiqua" w:hAnsi="Book Antiqua" w:cs="Arial"/>
          <w:u w:val="single"/>
        </w:rPr>
        <w:t>Zambrano</w:t>
      </w:r>
      <w:r>
        <w:rPr>
          <w:rFonts w:ascii="Book Antiqua" w:hAnsi="Book Antiqua" w:cs="Arial"/>
        </w:rPr>
        <w:t xml:space="preserve"> in this appeal with some caution.  </w:t>
      </w:r>
      <w:r w:rsidR="003D6A80">
        <w:rPr>
          <w:rFonts w:ascii="Book Antiqua" w:hAnsi="Book Antiqua" w:cs="Arial"/>
        </w:rPr>
        <w:t>B</w:t>
      </w:r>
      <w:r w:rsidR="00082998">
        <w:rPr>
          <w:rFonts w:ascii="Book Antiqua" w:hAnsi="Book Antiqua" w:cs="Arial"/>
        </w:rPr>
        <w:t xml:space="preserve">efore </w:t>
      </w:r>
      <w:r w:rsidR="003D6A80">
        <w:rPr>
          <w:rFonts w:ascii="Book Antiqua" w:hAnsi="Book Antiqua" w:cs="Arial"/>
        </w:rPr>
        <w:t>the judge, i</w:t>
      </w:r>
      <w:r>
        <w:rPr>
          <w:rFonts w:ascii="Book Antiqua" w:hAnsi="Book Antiqua" w:cs="Arial"/>
        </w:rPr>
        <w:t xml:space="preserve">t does not appear to have been argued by the appellant as a basis for a derived right of residence.  We are unable to find any reliance upon it in the appellant’s grounds lodged with the </w:t>
      </w:r>
      <w:proofErr w:type="spellStart"/>
      <w:r>
        <w:rPr>
          <w:rFonts w:ascii="Book Antiqua" w:hAnsi="Book Antiqua" w:cs="Arial"/>
        </w:rPr>
        <w:t>FtT</w:t>
      </w:r>
      <w:proofErr w:type="spellEnd"/>
      <w:r>
        <w:rPr>
          <w:rFonts w:ascii="Book Antiqua" w:hAnsi="Book Antiqua" w:cs="Arial"/>
        </w:rPr>
        <w:t xml:space="preserve"> and the judge makes no reference to it.  Mr </w:t>
      </w:r>
      <w:proofErr w:type="spellStart"/>
      <w:r>
        <w:rPr>
          <w:rFonts w:ascii="Book Antiqua" w:hAnsi="Book Antiqua" w:cs="Arial"/>
        </w:rPr>
        <w:t>Atuegbe</w:t>
      </w:r>
      <w:proofErr w:type="spellEnd"/>
      <w:r>
        <w:rPr>
          <w:rFonts w:ascii="Book Antiqua" w:hAnsi="Book Antiqua" w:cs="Arial"/>
        </w:rPr>
        <w:t xml:space="preserve"> did not suggest that reliance had been placed upon it.  Indeed</w:t>
      </w:r>
      <w:r w:rsidR="00523179">
        <w:rPr>
          <w:rFonts w:ascii="Book Antiqua" w:hAnsi="Book Antiqua" w:cs="Arial"/>
        </w:rPr>
        <w:t>,</w:t>
      </w:r>
      <w:r>
        <w:rPr>
          <w:rFonts w:ascii="Book Antiqua" w:hAnsi="Book Antiqua" w:cs="Arial"/>
        </w:rPr>
        <w:t xml:space="preserve"> the grounds upon which permission was sought, and indeed granted, to the Upper Tribunal relates exclusively to the derived rights based upon D being “a self-sufficient person”.  However, Mr </w:t>
      </w:r>
      <w:proofErr w:type="spellStart"/>
      <w:r>
        <w:rPr>
          <w:rFonts w:ascii="Book Antiqua" w:hAnsi="Book Antiqua" w:cs="Arial"/>
        </w:rPr>
        <w:t>Atuegbe</w:t>
      </w:r>
      <w:proofErr w:type="spellEnd"/>
      <w:r>
        <w:rPr>
          <w:rFonts w:ascii="Book Antiqua" w:hAnsi="Book Antiqua" w:cs="Arial"/>
        </w:rPr>
        <w:t xml:space="preserve"> in his skeleton argument did place reliance upon the </w:t>
      </w:r>
      <w:r>
        <w:rPr>
          <w:rFonts w:ascii="Book Antiqua" w:hAnsi="Book Antiqua" w:cs="Arial"/>
          <w:u w:val="single"/>
        </w:rPr>
        <w:t>Zambrano</w:t>
      </w:r>
      <w:r>
        <w:rPr>
          <w:rFonts w:ascii="Book Antiqua" w:hAnsi="Book Antiqua" w:cs="Arial"/>
        </w:rPr>
        <w:t xml:space="preserve"> basis for a derived right of residence as expressed by the CJEU in </w:t>
      </w:r>
      <w:proofErr w:type="spellStart"/>
      <w:r>
        <w:rPr>
          <w:rFonts w:ascii="Book Antiqua" w:hAnsi="Book Antiqua" w:cs="Arial"/>
          <w:u w:val="single"/>
        </w:rPr>
        <w:t>Alokpa</w:t>
      </w:r>
      <w:proofErr w:type="spellEnd"/>
      <w:r>
        <w:rPr>
          <w:rFonts w:ascii="Book Antiqua" w:hAnsi="Book Antiqua" w:cs="Arial"/>
        </w:rPr>
        <w:t xml:space="preserve"> at [32] – [36].  </w:t>
      </w:r>
      <w:r w:rsidR="00B61DE6">
        <w:rPr>
          <w:rFonts w:ascii="Book Antiqua" w:hAnsi="Book Antiqua" w:cs="Arial"/>
        </w:rPr>
        <w:t>From t</w:t>
      </w:r>
      <w:r>
        <w:rPr>
          <w:rFonts w:ascii="Book Antiqua" w:hAnsi="Book Antiqua" w:cs="Arial"/>
        </w:rPr>
        <w:t xml:space="preserve">he evidence before the </w:t>
      </w:r>
      <w:proofErr w:type="spellStart"/>
      <w:r>
        <w:rPr>
          <w:rFonts w:ascii="Book Antiqua" w:hAnsi="Book Antiqua" w:cs="Arial"/>
        </w:rPr>
        <w:t>F</w:t>
      </w:r>
      <w:r w:rsidR="00082998">
        <w:rPr>
          <w:rFonts w:ascii="Book Antiqua" w:hAnsi="Book Antiqua" w:cs="Arial"/>
        </w:rPr>
        <w:t>tT</w:t>
      </w:r>
      <w:proofErr w:type="spellEnd"/>
      <w:r>
        <w:rPr>
          <w:rFonts w:ascii="Book Antiqua" w:hAnsi="Book Antiqua" w:cs="Arial"/>
        </w:rPr>
        <w:t>, and there was no application to admit any further evidence before us, there was</w:t>
      </w:r>
      <w:r w:rsidR="00523179">
        <w:rPr>
          <w:rFonts w:ascii="Book Antiqua" w:hAnsi="Book Antiqua" w:cs="Arial"/>
        </w:rPr>
        <w:t>,</w:t>
      </w:r>
      <w:r>
        <w:rPr>
          <w:rFonts w:ascii="Book Antiqua" w:hAnsi="Book Antiqua" w:cs="Arial"/>
        </w:rPr>
        <w:t xml:space="preserve"> in our judgement, only one possible outcome </w:t>
      </w:r>
      <w:r w:rsidR="00B61DE6">
        <w:rPr>
          <w:rFonts w:ascii="Book Antiqua" w:hAnsi="Book Antiqua" w:cs="Arial"/>
        </w:rPr>
        <w:t xml:space="preserve">to a claim </w:t>
      </w:r>
      <w:r>
        <w:rPr>
          <w:rFonts w:ascii="Book Antiqua" w:hAnsi="Book Antiqua" w:cs="Arial"/>
        </w:rPr>
        <w:t xml:space="preserve">to a derived right on this basis.  It is clear that it was for the appellant to establish the basis of her claimed right (see </w:t>
      </w:r>
      <w:r>
        <w:rPr>
          <w:rFonts w:ascii="Book Antiqua" w:hAnsi="Book Antiqua" w:cs="Arial"/>
          <w:u w:val="single"/>
        </w:rPr>
        <w:t>Patel</w:t>
      </w:r>
      <w:r>
        <w:rPr>
          <w:rFonts w:ascii="Book Antiqua" w:hAnsi="Book Antiqua" w:cs="Arial"/>
        </w:rPr>
        <w:t xml:space="preserve"> at [24]).  D is a citizen of Sweden and has a right to reside there, not least as an EU citizen under Article 20, TFEU but undoubtedly under Swedish law.  If, as is the case, the appellant is his primary carer, she would have a derived right of residence to reside in Sweden with him.  Whether or not she could establish that on a </w:t>
      </w:r>
      <w:r>
        <w:rPr>
          <w:rFonts w:ascii="Book Antiqua" w:hAnsi="Book Antiqua" w:cs="Arial"/>
          <w:u w:val="single"/>
        </w:rPr>
        <w:t>Chen</w:t>
      </w:r>
      <w:r>
        <w:rPr>
          <w:rFonts w:ascii="Book Antiqua" w:hAnsi="Book Antiqua" w:cs="Arial"/>
        </w:rPr>
        <w:t xml:space="preserve"> basis, namely because D is or would be a “self-sufficient” person in Sweden, she could derive her right directly from D’s right of residence in the EU providing it could be established that, without it, D would be forced to leave the EU.</w:t>
      </w:r>
    </w:p>
    <w:p w14:paraId="4CCE9C19" w14:textId="77777777" w:rsidR="00843E1F" w:rsidRPr="00D46372" w:rsidRDefault="00843E1F" w:rsidP="002B1DA3">
      <w:pPr>
        <w:numPr>
          <w:ilvl w:val="0"/>
          <w:numId w:val="1"/>
        </w:numPr>
        <w:spacing w:before="240"/>
        <w:jc w:val="both"/>
        <w:rPr>
          <w:rFonts w:ascii="Book Antiqua" w:hAnsi="Book Antiqua" w:cs="Arial"/>
          <w:b/>
          <w:u w:val="single"/>
        </w:rPr>
      </w:pPr>
      <w:r>
        <w:rPr>
          <w:rFonts w:ascii="Book Antiqua" w:hAnsi="Book Antiqua" w:cs="Arial"/>
        </w:rPr>
        <w:t xml:space="preserve">That issue, in the context of the circumstances in </w:t>
      </w:r>
      <w:proofErr w:type="spellStart"/>
      <w:r>
        <w:rPr>
          <w:rFonts w:ascii="Book Antiqua" w:hAnsi="Book Antiqua" w:cs="Arial"/>
        </w:rPr>
        <w:t>A</w:t>
      </w:r>
      <w:r>
        <w:rPr>
          <w:rFonts w:ascii="Book Antiqua" w:hAnsi="Book Antiqua" w:cs="Arial"/>
          <w:u w:val="single"/>
        </w:rPr>
        <w:t>lokpa</w:t>
      </w:r>
      <w:proofErr w:type="spellEnd"/>
      <w:r>
        <w:rPr>
          <w:rFonts w:ascii="Book Antiqua" w:hAnsi="Book Antiqua" w:cs="Arial"/>
        </w:rPr>
        <w:t>, was identified by the CJEU at [34] – [35], on the basis that the EU citizen’s mother might have a derived right of residence in France.  That was a factual matter for the domestic court in Luxembourg in d</w:t>
      </w:r>
      <w:r w:rsidR="00D46372">
        <w:rPr>
          <w:rFonts w:ascii="Book Antiqua" w:hAnsi="Book Antiqua" w:cs="Arial"/>
        </w:rPr>
        <w:t xml:space="preserve">etermining whether she could derive a </w:t>
      </w:r>
      <w:r w:rsidR="00D46372">
        <w:rPr>
          <w:rFonts w:ascii="Book Antiqua" w:hAnsi="Book Antiqua" w:cs="Arial"/>
          <w:u w:val="single"/>
        </w:rPr>
        <w:t>Zambrano</w:t>
      </w:r>
      <w:r w:rsidR="00217FF7">
        <w:rPr>
          <w:rFonts w:ascii="Book Antiqua" w:hAnsi="Book Antiqua" w:cs="Arial"/>
        </w:rPr>
        <w:t xml:space="preserve"> </w:t>
      </w:r>
      <w:r w:rsidR="00D46372">
        <w:rPr>
          <w:rFonts w:ascii="Book Antiqua" w:hAnsi="Book Antiqua" w:cs="Arial"/>
        </w:rPr>
        <w:t>right of residence because without such a right of residence in Luxembourg, her children would be “obliged to leave the territory of the European Union altogether”.</w:t>
      </w:r>
    </w:p>
    <w:p w14:paraId="2D474C91" w14:textId="77777777" w:rsidR="00D46372" w:rsidRPr="00D46372" w:rsidRDefault="00D46372" w:rsidP="002B1DA3">
      <w:pPr>
        <w:numPr>
          <w:ilvl w:val="0"/>
          <w:numId w:val="1"/>
        </w:numPr>
        <w:spacing w:before="240"/>
        <w:jc w:val="both"/>
        <w:rPr>
          <w:rFonts w:ascii="Book Antiqua" w:hAnsi="Book Antiqua" w:cs="Arial"/>
          <w:b/>
          <w:u w:val="single"/>
        </w:rPr>
      </w:pPr>
      <w:r>
        <w:rPr>
          <w:rFonts w:ascii="Book Antiqua" w:hAnsi="Book Antiqua" w:cs="Arial"/>
        </w:rPr>
        <w:t xml:space="preserve">Here, in our judgment, the appellant has failed to </w:t>
      </w:r>
      <w:r w:rsidR="007715FB">
        <w:rPr>
          <w:rFonts w:ascii="Book Antiqua" w:hAnsi="Book Antiqua" w:cs="Arial"/>
        </w:rPr>
        <w:t>discharge</w:t>
      </w:r>
      <w:r w:rsidR="00082998">
        <w:rPr>
          <w:rFonts w:ascii="Book Antiqua" w:hAnsi="Book Antiqua" w:cs="Arial"/>
        </w:rPr>
        <w:t xml:space="preserve"> the burden upon her to </w:t>
      </w:r>
      <w:r>
        <w:rPr>
          <w:rFonts w:ascii="Book Antiqua" w:hAnsi="Book Antiqua" w:cs="Arial"/>
        </w:rPr>
        <w:t xml:space="preserve">show that the effect of not granting her a right of residence in the UK would be that D would be “obliged” or “compelled” to leave the EU as a whole.  We appreciate that this was not a matter raised before the </w:t>
      </w:r>
      <w:proofErr w:type="spellStart"/>
      <w:r>
        <w:rPr>
          <w:rFonts w:ascii="Book Antiqua" w:hAnsi="Book Antiqua" w:cs="Arial"/>
        </w:rPr>
        <w:t>F</w:t>
      </w:r>
      <w:r w:rsidR="00082998">
        <w:rPr>
          <w:rFonts w:ascii="Book Antiqua" w:hAnsi="Book Antiqua" w:cs="Arial"/>
        </w:rPr>
        <w:t>tT</w:t>
      </w:r>
      <w:proofErr w:type="spellEnd"/>
      <w:r>
        <w:rPr>
          <w:rFonts w:ascii="Book Antiqua" w:hAnsi="Book Antiqua" w:cs="Arial"/>
        </w:rPr>
        <w:t xml:space="preserve"> as we have noted above.  However, Mr </w:t>
      </w:r>
      <w:proofErr w:type="spellStart"/>
      <w:r>
        <w:rPr>
          <w:rFonts w:ascii="Book Antiqua" w:hAnsi="Book Antiqua" w:cs="Arial"/>
        </w:rPr>
        <w:t>Atuegbe</w:t>
      </w:r>
      <w:proofErr w:type="spellEnd"/>
      <w:r>
        <w:rPr>
          <w:rFonts w:ascii="Book Antiqua" w:hAnsi="Book Antiqua" w:cs="Arial"/>
        </w:rPr>
        <w:t xml:space="preserve"> relied upon it before us and on the basis of the evidence available to us, we are not satisfied that the appellant has shown what the case law clearly requires be established, namely that D would be obliged to leave the EU if the appellant could not reside with him in the UK.  If there is any evidence to suggest that would be the case, and as we have said we were not asked to consider any further evidence, that would properly be a matter for a further application made by the appellant to the Secretary of State.</w:t>
      </w:r>
    </w:p>
    <w:p w14:paraId="235121AE" w14:textId="77777777" w:rsidR="00D46372" w:rsidRPr="00D46372" w:rsidRDefault="00D46372" w:rsidP="002B1DA3">
      <w:pPr>
        <w:numPr>
          <w:ilvl w:val="0"/>
          <w:numId w:val="1"/>
        </w:numPr>
        <w:spacing w:before="240"/>
        <w:jc w:val="both"/>
        <w:rPr>
          <w:rFonts w:ascii="Book Antiqua" w:hAnsi="Book Antiqua" w:cs="Arial"/>
          <w:b/>
          <w:u w:val="single"/>
        </w:rPr>
      </w:pPr>
      <w:r>
        <w:rPr>
          <w:rFonts w:ascii="Book Antiqua" w:hAnsi="Book Antiqua" w:cs="Arial"/>
        </w:rPr>
        <w:t xml:space="preserve">For all the above reasons, the judge did not materially err in law in dismissing the appellant’s appeal against a refusal </w:t>
      </w:r>
      <w:r w:rsidR="00373670">
        <w:rPr>
          <w:rFonts w:ascii="Book Antiqua" w:hAnsi="Book Antiqua" w:cs="Arial"/>
        </w:rPr>
        <w:t>to issue</w:t>
      </w:r>
      <w:r>
        <w:rPr>
          <w:rFonts w:ascii="Book Antiqua" w:hAnsi="Book Antiqua" w:cs="Arial"/>
        </w:rPr>
        <w:t xml:space="preserve"> a derivative residence card.</w:t>
      </w:r>
    </w:p>
    <w:p w14:paraId="7A85E33A" w14:textId="77777777" w:rsidR="00D949B7" w:rsidRPr="00D949B7" w:rsidRDefault="00D949B7" w:rsidP="00D22AAD">
      <w:pPr>
        <w:spacing w:before="240"/>
        <w:jc w:val="both"/>
        <w:rPr>
          <w:rFonts w:ascii="Book Antiqua" w:hAnsi="Book Antiqua" w:cs="Arial"/>
          <w:b/>
          <w:u w:val="single"/>
        </w:rPr>
      </w:pPr>
      <w:r w:rsidRPr="00D949B7">
        <w:rPr>
          <w:rFonts w:ascii="Book Antiqua" w:hAnsi="Book Antiqua" w:cs="Arial"/>
          <w:b/>
          <w:u w:val="single"/>
        </w:rPr>
        <w:lastRenderedPageBreak/>
        <w:t>Decision</w:t>
      </w:r>
    </w:p>
    <w:p w14:paraId="7D6B3229" w14:textId="77777777" w:rsidR="00D949B7" w:rsidRPr="00D949B7" w:rsidRDefault="00D949B7" w:rsidP="00D949B7">
      <w:pPr>
        <w:jc w:val="both"/>
        <w:rPr>
          <w:rFonts w:ascii="Book Antiqua" w:hAnsi="Book Antiqua" w:cs="Arial"/>
        </w:rPr>
      </w:pPr>
    </w:p>
    <w:p w14:paraId="1470461C" w14:textId="77777777" w:rsidR="00D949B7" w:rsidRPr="001864DF" w:rsidRDefault="00D46372" w:rsidP="002B1DA3">
      <w:pPr>
        <w:pStyle w:val="ListParagraph"/>
        <w:numPr>
          <w:ilvl w:val="0"/>
          <w:numId w:val="1"/>
        </w:numPr>
        <w:jc w:val="both"/>
        <w:rPr>
          <w:rFonts w:ascii="Book Antiqua" w:hAnsi="Book Antiqua" w:cs="Arial"/>
        </w:rPr>
      </w:pPr>
      <w:r w:rsidRPr="001864DF">
        <w:rPr>
          <w:rFonts w:ascii="Book Antiqua" w:hAnsi="Book Antiqua" w:cs="Arial"/>
        </w:rPr>
        <w:t>The decision of the First-tier Tribunal to dismiss the appellant’s appeal did not involve the making of a material error of law.  That decision stands.</w:t>
      </w:r>
    </w:p>
    <w:p w14:paraId="323E5359" w14:textId="77777777" w:rsidR="00D46372" w:rsidRDefault="00D46372" w:rsidP="00D949B7">
      <w:pPr>
        <w:jc w:val="both"/>
        <w:rPr>
          <w:rFonts w:ascii="Book Antiqua" w:hAnsi="Book Antiqua" w:cs="Arial"/>
        </w:rPr>
      </w:pPr>
    </w:p>
    <w:p w14:paraId="1C10597F" w14:textId="77777777" w:rsidR="00D46372" w:rsidRPr="001864DF" w:rsidRDefault="00D46372" w:rsidP="002B1DA3">
      <w:pPr>
        <w:pStyle w:val="ListParagraph"/>
        <w:numPr>
          <w:ilvl w:val="0"/>
          <w:numId w:val="1"/>
        </w:numPr>
        <w:jc w:val="both"/>
        <w:rPr>
          <w:rFonts w:ascii="Book Antiqua" w:hAnsi="Book Antiqua" w:cs="Arial"/>
        </w:rPr>
      </w:pPr>
      <w:r w:rsidRPr="001864DF">
        <w:rPr>
          <w:rFonts w:ascii="Book Antiqua" w:hAnsi="Book Antiqua" w:cs="Arial"/>
        </w:rPr>
        <w:t>Accordingly, the appellant’s appeal to the Upper Tribunal is dismissed.</w:t>
      </w:r>
    </w:p>
    <w:p w14:paraId="3A4620A6" w14:textId="77777777" w:rsidR="00D949B7" w:rsidRPr="00D949B7" w:rsidRDefault="00D949B7" w:rsidP="00D949B7">
      <w:pPr>
        <w:jc w:val="both"/>
        <w:rPr>
          <w:rFonts w:ascii="Book Antiqua" w:hAnsi="Book Antiqua" w:cs="Arial"/>
        </w:rPr>
      </w:pPr>
    </w:p>
    <w:p w14:paraId="2F5F4D08" w14:textId="77777777" w:rsidR="00A509FA" w:rsidRDefault="00A509FA" w:rsidP="000A0743">
      <w:pPr>
        <w:jc w:val="both"/>
        <w:rPr>
          <w:rFonts w:ascii="Book Antiqua" w:hAnsi="Book Antiqua" w:cs="Arial"/>
        </w:rPr>
      </w:pPr>
    </w:p>
    <w:p w14:paraId="761B05BE" w14:textId="77777777" w:rsidR="009669C6" w:rsidRDefault="009669C6" w:rsidP="000A0743">
      <w:pPr>
        <w:jc w:val="both"/>
        <w:rPr>
          <w:rFonts w:ascii="Book Antiqua" w:hAnsi="Book Antiqua" w:cs="Arial"/>
        </w:rPr>
      </w:pPr>
    </w:p>
    <w:p w14:paraId="05B84210" w14:textId="77777777" w:rsidR="009669C6" w:rsidRPr="002B02F3" w:rsidRDefault="009669C6" w:rsidP="009669C6">
      <w:pPr>
        <w:ind w:left="540" w:hanging="540"/>
        <w:jc w:val="right"/>
        <w:rPr>
          <w:rFonts w:ascii="Book Antiqua" w:hAnsi="Book Antiqua" w:cs="Arial"/>
        </w:rPr>
      </w:pPr>
      <w:r>
        <w:rPr>
          <w:rFonts w:ascii="Book Antiqua" w:hAnsi="Book Antiqua" w:cs="Arial"/>
        </w:rPr>
        <w:t>Signed</w:t>
      </w:r>
    </w:p>
    <w:p w14:paraId="08CB12FE" w14:textId="77777777" w:rsidR="009669C6" w:rsidRDefault="009669C6" w:rsidP="009669C6">
      <w:pPr>
        <w:tabs>
          <w:tab w:val="left" w:pos="2520"/>
        </w:tabs>
        <w:ind w:left="540" w:hanging="540"/>
        <w:jc w:val="right"/>
        <w:rPr>
          <w:rFonts w:ascii="Book Antiqua" w:hAnsi="Book Antiqua" w:cs="Arial"/>
        </w:rPr>
      </w:pPr>
    </w:p>
    <w:p w14:paraId="71A45012" w14:textId="489D2530" w:rsidR="00A27EAF" w:rsidRPr="002B02F3" w:rsidRDefault="00BF5B04" w:rsidP="009669C6">
      <w:pPr>
        <w:tabs>
          <w:tab w:val="left" w:pos="2520"/>
        </w:tabs>
        <w:ind w:left="540" w:hanging="540"/>
        <w:jc w:val="right"/>
        <w:rPr>
          <w:rFonts w:ascii="Book Antiqua" w:hAnsi="Book Antiqua" w:cs="Arial"/>
        </w:rPr>
      </w:pPr>
      <w:r>
        <w:rPr>
          <w:noProof/>
        </w:rPr>
        <w:drawing>
          <wp:inline distT="0" distB="0" distL="0" distR="0" wp14:anchorId="37CE819D" wp14:editId="7CBF0E86">
            <wp:extent cx="1943100" cy="459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3100" cy="459105"/>
                    </a:xfrm>
                    <a:prstGeom prst="rect">
                      <a:avLst/>
                    </a:prstGeom>
                    <a:noFill/>
                    <a:ln>
                      <a:noFill/>
                    </a:ln>
                  </pic:spPr>
                </pic:pic>
              </a:graphicData>
            </a:graphic>
          </wp:inline>
        </w:drawing>
      </w:r>
    </w:p>
    <w:p w14:paraId="47A0AC6A" w14:textId="77777777" w:rsidR="009669C6" w:rsidRPr="002B02F3" w:rsidRDefault="009669C6" w:rsidP="009669C6">
      <w:pPr>
        <w:tabs>
          <w:tab w:val="left" w:pos="2520"/>
        </w:tabs>
        <w:ind w:left="540" w:hanging="540"/>
        <w:jc w:val="right"/>
        <w:rPr>
          <w:rFonts w:ascii="Book Antiqua" w:hAnsi="Book Antiqua" w:cs="Arial"/>
        </w:rPr>
      </w:pPr>
    </w:p>
    <w:p w14:paraId="7A032B4E" w14:textId="77777777" w:rsidR="009669C6" w:rsidRDefault="009669C6" w:rsidP="009669C6">
      <w:pPr>
        <w:tabs>
          <w:tab w:val="left" w:pos="2520"/>
        </w:tabs>
        <w:ind w:left="540" w:hanging="540"/>
        <w:jc w:val="right"/>
        <w:rPr>
          <w:rFonts w:ascii="Book Antiqua" w:hAnsi="Book Antiqua" w:cs="Arial"/>
          <w:color w:val="000000"/>
        </w:rPr>
      </w:pPr>
      <w:r>
        <w:rPr>
          <w:rFonts w:ascii="Book Antiqua" w:hAnsi="Book Antiqua" w:cs="Arial"/>
          <w:color w:val="000000"/>
        </w:rPr>
        <w:t>A Grubb</w:t>
      </w:r>
    </w:p>
    <w:p w14:paraId="66A15681" w14:textId="4FA87BAD" w:rsidR="00D949B7" w:rsidRDefault="009669C6" w:rsidP="009669C6">
      <w:pPr>
        <w:jc w:val="right"/>
        <w:rPr>
          <w:rFonts w:ascii="Book Antiqua" w:hAnsi="Book Antiqua" w:cs="Arial"/>
          <w:color w:val="000000"/>
        </w:rPr>
      </w:pPr>
      <w:r>
        <w:rPr>
          <w:rFonts w:ascii="Book Antiqua" w:hAnsi="Book Antiqua" w:cs="Arial"/>
          <w:color w:val="000000"/>
        </w:rPr>
        <w:t>Judge of the Upper Tribunal</w:t>
      </w:r>
    </w:p>
    <w:p w14:paraId="0D9D8281" w14:textId="6EA43C7E" w:rsidR="00BF5B04" w:rsidRDefault="00BF5B04" w:rsidP="009669C6">
      <w:pPr>
        <w:jc w:val="right"/>
        <w:rPr>
          <w:rFonts w:ascii="Book Antiqua" w:hAnsi="Book Antiqua" w:cs="Arial"/>
        </w:rPr>
      </w:pPr>
    </w:p>
    <w:p w14:paraId="2DB19F5E" w14:textId="75238191" w:rsidR="00BF5B04" w:rsidRPr="009B7433" w:rsidRDefault="00BF5B04" w:rsidP="009669C6">
      <w:pPr>
        <w:jc w:val="right"/>
        <w:rPr>
          <w:rFonts w:ascii="Book Antiqua" w:hAnsi="Book Antiqua" w:cs="Arial"/>
        </w:rPr>
      </w:pPr>
      <w:r>
        <w:rPr>
          <w:rFonts w:ascii="Book Antiqua" w:hAnsi="Book Antiqua" w:cs="Arial"/>
        </w:rPr>
        <w:t>13, August 2018</w:t>
      </w:r>
    </w:p>
    <w:p w14:paraId="568086C7" w14:textId="77777777" w:rsidR="00C23DFC" w:rsidRDefault="00C23DFC" w:rsidP="00C23DFC">
      <w:pPr>
        <w:jc w:val="both"/>
        <w:rPr>
          <w:rFonts w:ascii="Book Antiqua" w:hAnsi="Book Antiqua" w:cs="Arial"/>
          <w:color w:val="000000"/>
        </w:rPr>
      </w:pPr>
    </w:p>
    <w:sectPr w:rsidR="00C23DFC" w:rsidSect="00776E97">
      <w:headerReference w:type="default" r:id="rId10"/>
      <w:footerReference w:type="default" r:id="rId11"/>
      <w:headerReference w:type="first" r:id="rId12"/>
      <w:footerReference w:type="first" r:id="rId13"/>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3517DC" w14:textId="77777777" w:rsidR="00517D7B" w:rsidRDefault="00517D7B">
      <w:r>
        <w:separator/>
      </w:r>
    </w:p>
  </w:endnote>
  <w:endnote w:type="continuationSeparator" w:id="0">
    <w:p w14:paraId="44385A51" w14:textId="77777777" w:rsidR="00517D7B" w:rsidRDefault="00517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5A595" w14:textId="33795EDD" w:rsidR="00424B4A" w:rsidRPr="009B7433" w:rsidRDefault="00424B4A"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ED2BD7">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7815E3" w14:textId="77777777" w:rsidR="00424B4A" w:rsidRPr="009B7433" w:rsidRDefault="00424B4A" w:rsidP="004B70D7">
    <w:pPr>
      <w:jc w:val="center"/>
      <w:rPr>
        <w:rFonts w:ascii="Book Antiqua" w:hAnsi="Book Antiqua" w:cs="Arial"/>
        <w:b/>
      </w:rPr>
    </w:pPr>
    <w:r w:rsidRPr="009B7433">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CF9EE" w14:textId="77777777" w:rsidR="00517D7B" w:rsidRDefault="00517D7B">
      <w:r>
        <w:separator/>
      </w:r>
    </w:p>
  </w:footnote>
  <w:footnote w:type="continuationSeparator" w:id="0">
    <w:p w14:paraId="60A29469" w14:textId="77777777" w:rsidR="00517D7B" w:rsidRDefault="00517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6D81E0" w14:textId="77777777" w:rsidR="00424B4A" w:rsidRPr="009B7433" w:rsidRDefault="00424B4A"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Pr>
        <w:rFonts w:ascii="Book Antiqua" w:hAnsi="Book Antiqua" w:cs="Arial"/>
        <w:sz w:val="16"/>
        <w:szCs w:val="16"/>
      </w:rPr>
      <w:t>EA/04989/2017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11B51B" w14:textId="77777777" w:rsidR="00424B4A" w:rsidRPr="009B7433" w:rsidRDefault="00424B4A">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937A9"/>
    <w:multiLevelType w:val="hybridMultilevel"/>
    <w:tmpl w:val="0AFCA8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4D60EB8"/>
    <w:multiLevelType w:val="multilevel"/>
    <w:tmpl w:val="C2F0164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31332821"/>
    <w:multiLevelType w:val="multilevel"/>
    <w:tmpl w:val="E1D4240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77F70D80"/>
    <w:multiLevelType w:val="hybridMultilevel"/>
    <w:tmpl w:val="2A9E5A26"/>
    <w:lvl w:ilvl="0" w:tplc="3A6A5A7E">
      <w:start w:val="1"/>
      <w:numFmt w:val="decimal"/>
      <w:lvlText w:val="(%1)"/>
      <w:lvlJc w:val="left"/>
      <w:pPr>
        <w:ind w:left="1800" w:hanging="360"/>
      </w:pPr>
      <w:rPr>
        <w:rFonts w:ascii="Book Antiqua" w:hAnsi="Book Antiqua"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5" w15:restartNumberingAfterBreak="0">
    <w:nsid w:val="7ACB1666"/>
    <w:multiLevelType w:val="multilevel"/>
    <w:tmpl w:val="E1D42406"/>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BC3"/>
    <w:rsid w:val="00000621"/>
    <w:rsid w:val="000036C2"/>
    <w:rsid w:val="00006854"/>
    <w:rsid w:val="00013A0C"/>
    <w:rsid w:val="00016C1A"/>
    <w:rsid w:val="00033588"/>
    <w:rsid w:val="00033D3D"/>
    <w:rsid w:val="00040419"/>
    <w:rsid w:val="0004776F"/>
    <w:rsid w:val="00052895"/>
    <w:rsid w:val="00062F02"/>
    <w:rsid w:val="00065A5E"/>
    <w:rsid w:val="00071A7E"/>
    <w:rsid w:val="000746C0"/>
    <w:rsid w:val="00074D1D"/>
    <w:rsid w:val="00082998"/>
    <w:rsid w:val="00092580"/>
    <w:rsid w:val="00093D4D"/>
    <w:rsid w:val="000A0743"/>
    <w:rsid w:val="000A0B1F"/>
    <w:rsid w:val="000C7C92"/>
    <w:rsid w:val="000D5D94"/>
    <w:rsid w:val="000D7B21"/>
    <w:rsid w:val="000F1A0E"/>
    <w:rsid w:val="000F21F1"/>
    <w:rsid w:val="000F7D0C"/>
    <w:rsid w:val="00104613"/>
    <w:rsid w:val="0011405A"/>
    <w:rsid w:val="001165A7"/>
    <w:rsid w:val="00117FC6"/>
    <w:rsid w:val="00136829"/>
    <w:rsid w:val="0016508E"/>
    <w:rsid w:val="00167D3A"/>
    <w:rsid w:val="00173F50"/>
    <w:rsid w:val="00185986"/>
    <w:rsid w:val="001864DF"/>
    <w:rsid w:val="001A05EC"/>
    <w:rsid w:val="001A1CE0"/>
    <w:rsid w:val="001A3082"/>
    <w:rsid w:val="001A53AD"/>
    <w:rsid w:val="001A73A4"/>
    <w:rsid w:val="001B186A"/>
    <w:rsid w:val="001B2F75"/>
    <w:rsid w:val="001C6F5F"/>
    <w:rsid w:val="001D6167"/>
    <w:rsid w:val="001F2716"/>
    <w:rsid w:val="001F3AC0"/>
    <w:rsid w:val="00206077"/>
    <w:rsid w:val="00207617"/>
    <w:rsid w:val="0021180D"/>
    <w:rsid w:val="00213E7C"/>
    <w:rsid w:val="00216B65"/>
    <w:rsid w:val="00217FF7"/>
    <w:rsid w:val="0023134B"/>
    <w:rsid w:val="00235D92"/>
    <w:rsid w:val="00271CCE"/>
    <w:rsid w:val="00283257"/>
    <w:rsid w:val="00283659"/>
    <w:rsid w:val="0029725D"/>
    <w:rsid w:val="002B1DA3"/>
    <w:rsid w:val="002B3DE1"/>
    <w:rsid w:val="002B574F"/>
    <w:rsid w:val="002C6BD4"/>
    <w:rsid w:val="002C6BE3"/>
    <w:rsid w:val="002C6E9D"/>
    <w:rsid w:val="002D0C50"/>
    <w:rsid w:val="002D2702"/>
    <w:rsid w:val="002D68BF"/>
    <w:rsid w:val="002E4290"/>
    <w:rsid w:val="002E4541"/>
    <w:rsid w:val="002F3F3F"/>
    <w:rsid w:val="002F6B98"/>
    <w:rsid w:val="0031410B"/>
    <w:rsid w:val="00324B5E"/>
    <w:rsid w:val="00336CBF"/>
    <w:rsid w:val="0034188C"/>
    <w:rsid w:val="00343FE3"/>
    <w:rsid w:val="003546C8"/>
    <w:rsid w:val="0035496A"/>
    <w:rsid w:val="003704A6"/>
    <w:rsid w:val="00373670"/>
    <w:rsid w:val="0037433A"/>
    <w:rsid w:val="003825D4"/>
    <w:rsid w:val="00393C92"/>
    <w:rsid w:val="003A7CF2"/>
    <w:rsid w:val="003B7D6D"/>
    <w:rsid w:val="003C16D0"/>
    <w:rsid w:val="003C5CE5"/>
    <w:rsid w:val="003D3111"/>
    <w:rsid w:val="003D6A80"/>
    <w:rsid w:val="003D6FAD"/>
    <w:rsid w:val="003E267B"/>
    <w:rsid w:val="003E7CD1"/>
    <w:rsid w:val="00402B9E"/>
    <w:rsid w:val="0041345B"/>
    <w:rsid w:val="004249CB"/>
    <w:rsid w:val="00424B4A"/>
    <w:rsid w:val="0044127D"/>
    <w:rsid w:val="004448DB"/>
    <w:rsid w:val="00446C9A"/>
    <w:rsid w:val="004503DB"/>
    <w:rsid w:val="00450CAF"/>
    <w:rsid w:val="00452F2B"/>
    <w:rsid w:val="00462BBF"/>
    <w:rsid w:val="004649F5"/>
    <w:rsid w:val="0047507E"/>
    <w:rsid w:val="00477193"/>
    <w:rsid w:val="00480C4E"/>
    <w:rsid w:val="00484103"/>
    <w:rsid w:val="00492E0F"/>
    <w:rsid w:val="00493751"/>
    <w:rsid w:val="004A1848"/>
    <w:rsid w:val="004A278D"/>
    <w:rsid w:val="004A2D15"/>
    <w:rsid w:val="004A534C"/>
    <w:rsid w:val="004A6F4A"/>
    <w:rsid w:val="004B70D7"/>
    <w:rsid w:val="004C795F"/>
    <w:rsid w:val="004D6B45"/>
    <w:rsid w:val="004E4717"/>
    <w:rsid w:val="004F2A45"/>
    <w:rsid w:val="004F7AD7"/>
    <w:rsid w:val="00507FEC"/>
    <w:rsid w:val="00510F0E"/>
    <w:rsid w:val="00517D7B"/>
    <w:rsid w:val="00523179"/>
    <w:rsid w:val="005312E6"/>
    <w:rsid w:val="00533B6D"/>
    <w:rsid w:val="005479E1"/>
    <w:rsid w:val="00553028"/>
    <w:rsid w:val="00553E0A"/>
    <w:rsid w:val="005570FD"/>
    <w:rsid w:val="005575EA"/>
    <w:rsid w:val="00564DA7"/>
    <w:rsid w:val="00566471"/>
    <w:rsid w:val="005723BB"/>
    <w:rsid w:val="0057790C"/>
    <w:rsid w:val="00584A3F"/>
    <w:rsid w:val="00585666"/>
    <w:rsid w:val="00591E8A"/>
    <w:rsid w:val="00593795"/>
    <w:rsid w:val="005A75FF"/>
    <w:rsid w:val="005D10AB"/>
    <w:rsid w:val="005D2831"/>
    <w:rsid w:val="005D5BC6"/>
    <w:rsid w:val="005E51EE"/>
    <w:rsid w:val="00601D8F"/>
    <w:rsid w:val="00605582"/>
    <w:rsid w:val="00606A60"/>
    <w:rsid w:val="00611F34"/>
    <w:rsid w:val="006203B4"/>
    <w:rsid w:val="00621FE8"/>
    <w:rsid w:val="006434B6"/>
    <w:rsid w:val="00647547"/>
    <w:rsid w:val="00653E97"/>
    <w:rsid w:val="006667DB"/>
    <w:rsid w:val="00667210"/>
    <w:rsid w:val="006703CC"/>
    <w:rsid w:val="00684A74"/>
    <w:rsid w:val="00684FE7"/>
    <w:rsid w:val="0068620A"/>
    <w:rsid w:val="0069040D"/>
    <w:rsid w:val="00690B8A"/>
    <w:rsid w:val="006A69A3"/>
    <w:rsid w:val="006B53B8"/>
    <w:rsid w:val="006C6618"/>
    <w:rsid w:val="006C76E0"/>
    <w:rsid w:val="006D517F"/>
    <w:rsid w:val="006F2CF1"/>
    <w:rsid w:val="007038ED"/>
    <w:rsid w:val="00703BC3"/>
    <w:rsid w:val="00704B61"/>
    <w:rsid w:val="00706104"/>
    <w:rsid w:val="00714B7B"/>
    <w:rsid w:val="00715A64"/>
    <w:rsid w:val="00715CF2"/>
    <w:rsid w:val="00717DC0"/>
    <w:rsid w:val="0072026B"/>
    <w:rsid w:val="00737CCB"/>
    <w:rsid w:val="00740C1F"/>
    <w:rsid w:val="0075228D"/>
    <w:rsid w:val="007552A9"/>
    <w:rsid w:val="0075658A"/>
    <w:rsid w:val="00761858"/>
    <w:rsid w:val="00767D59"/>
    <w:rsid w:val="007715FB"/>
    <w:rsid w:val="00776E97"/>
    <w:rsid w:val="00780F86"/>
    <w:rsid w:val="007912AD"/>
    <w:rsid w:val="007B0824"/>
    <w:rsid w:val="007B5D3C"/>
    <w:rsid w:val="007D2A2D"/>
    <w:rsid w:val="007F4C8F"/>
    <w:rsid w:val="00815011"/>
    <w:rsid w:val="00821B72"/>
    <w:rsid w:val="00823EF2"/>
    <w:rsid w:val="008303B8"/>
    <w:rsid w:val="00833373"/>
    <w:rsid w:val="00833DCE"/>
    <w:rsid w:val="00833E86"/>
    <w:rsid w:val="00834E20"/>
    <w:rsid w:val="008366A6"/>
    <w:rsid w:val="00842842"/>
    <w:rsid w:val="00843E1F"/>
    <w:rsid w:val="00846926"/>
    <w:rsid w:val="0085289D"/>
    <w:rsid w:val="00855865"/>
    <w:rsid w:val="00866109"/>
    <w:rsid w:val="00871D34"/>
    <w:rsid w:val="00876DE5"/>
    <w:rsid w:val="00877033"/>
    <w:rsid w:val="008879A0"/>
    <w:rsid w:val="00897BD7"/>
    <w:rsid w:val="008A25EC"/>
    <w:rsid w:val="008A5BF3"/>
    <w:rsid w:val="008A6059"/>
    <w:rsid w:val="008A70EC"/>
    <w:rsid w:val="008B270C"/>
    <w:rsid w:val="008B5078"/>
    <w:rsid w:val="008C3D3D"/>
    <w:rsid w:val="008D4131"/>
    <w:rsid w:val="008F1932"/>
    <w:rsid w:val="0090151B"/>
    <w:rsid w:val="009042A9"/>
    <w:rsid w:val="00921062"/>
    <w:rsid w:val="00941C7A"/>
    <w:rsid w:val="00964821"/>
    <w:rsid w:val="009669C6"/>
    <w:rsid w:val="009722BC"/>
    <w:rsid w:val="009724F9"/>
    <w:rsid w:val="009727A3"/>
    <w:rsid w:val="0098169C"/>
    <w:rsid w:val="00981899"/>
    <w:rsid w:val="00984C13"/>
    <w:rsid w:val="00987774"/>
    <w:rsid w:val="009A11E8"/>
    <w:rsid w:val="009A4ADC"/>
    <w:rsid w:val="009B582F"/>
    <w:rsid w:val="009B7433"/>
    <w:rsid w:val="009C57C8"/>
    <w:rsid w:val="009D4A04"/>
    <w:rsid w:val="009D4FCB"/>
    <w:rsid w:val="009E71D9"/>
    <w:rsid w:val="009F028B"/>
    <w:rsid w:val="009F0431"/>
    <w:rsid w:val="009F2772"/>
    <w:rsid w:val="009F51BF"/>
    <w:rsid w:val="009F5220"/>
    <w:rsid w:val="00A02891"/>
    <w:rsid w:val="00A07919"/>
    <w:rsid w:val="00A15234"/>
    <w:rsid w:val="00A172F5"/>
    <w:rsid w:val="00A201AB"/>
    <w:rsid w:val="00A26A17"/>
    <w:rsid w:val="00A272CE"/>
    <w:rsid w:val="00A27EAF"/>
    <w:rsid w:val="00A3013F"/>
    <w:rsid w:val="00A31C8B"/>
    <w:rsid w:val="00A44490"/>
    <w:rsid w:val="00A509FA"/>
    <w:rsid w:val="00A619AE"/>
    <w:rsid w:val="00A669FF"/>
    <w:rsid w:val="00A77636"/>
    <w:rsid w:val="00A77FBE"/>
    <w:rsid w:val="00A845DC"/>
    <w:rsid w:val="00A92FD0"/>
    <w:rsid w:val="00AE028B"/>
    <w:rsid w:val="00AE5E65"/>
    <w:rsid w:val="00AE6FC5"/>
    <w:rsid w:val="00AF3060"/>
    <w:rsid w:val="00AF3404"/>
    <w:rsid w:val="00AF4AFD"/>
    <w:rsid w:val="00B13C74"/>
    <w:rsid w:val="00B26AA2"/>
    <w:rsid w:val="00B34BD2"/>
    <w:rsid w:val="00B3524D"/>
    <w:rsid w:val="00B40F69"/>
    <w:rsid w:val="00B46616"/>
    <w:rsid w:val="00B47B0C"/>
    <w:rsid w:val="00B528BB"/>
    <w:rsid w:val="00B61DE6"/>
    <w:rsid w:val="00B7040A"/>
    <w:rsid w:val="00B70FBC"/>
    <w:rsid w:val="00B83391"/>
    <w:rsid w:val="00B95326"/>
    <w:rsid w:val="00B95EA5"/>
    <w:rsid w:val="00BA17D8"/>
    <w:rsid w:val="00BA1DA2"/>
    <w:rsid w:val="00BA2EA9"/>
    <w:rsid w:val="00BB2043"/>
    <w:rsid w:val="00BC5A1A"/>
    <w:rsid w:val="00BD4196"/>
    <w:rsid w:val="00BF22CA"/>
    <w:rsid w:val="00BF23BB"/>
    <w:rsid w:val="00BF5B04"/>
    <w:rsid w:val="00BF6087"/>
    <w:rsid w:val="00BF65A6"/>
    <w:rsid w:val="00C218DC"/>
    <w:rsid w:val="00C23DFC"/>
    <w:rsid w:val="00C26032"/>
    <w:rsid w:val="00C345E1"/>
    <w:rsid w:val="00C43BFD"/>
    <w:rsid w:val="00C6048A"/>
    <w:rsid w:val="00C649D0"/>
    <w:rsid w:val="00C97CEE"/>
    <w:rsid w:val="00CA12ED"/>
    <w:rsid w:val="00CB31DE"/>
    <w:rsid w:val="00CB6E35"/>
    <w:rsid w:val="00CC4E6B"/>
    <w:rsid w:val="00CD1691"/>
    <w:rsid w:val="00CD21D8"/>
    <w:rsid w:val="00CD4AFE"/>
    <w:rsid w:val="00CE09B1"/>
    <w:rsid w:val="00CE1A46"/>
    <w:rsid w:val="00CF2E7B"/>
    <w:rsid w:val="00CF6EBD"/>
    <w:rsid w:val="00D05EA6"/>
    <w:rsid w:val="00D15920"/>
    <w:rsid w:val="00D20757"/>
    <w:rsid w:val="00D22636"/>
    <w:rsid w:val="00D22AAD"/>
    <w:rsid w:val="00D27CF5"/>
    <w:rsid w:val="00D40FD9"/>
    <w:rsid w:val="00D46372"/>
    <w:rsid w:val="00D53769"/>
    <w:rsid w:val="00D57009"/>
    <w:rsid w:val="00D606FA"/>
    <w:rsid w:val="00D6602D"/>
    <w:rsid w:val="00D73A36"/>
    <w:rsid w:val="00D85C13"/>
    <w:rsid w:val="00D9111A"/>
    <w:rsid w:val="00D91BE3"/>
    <w:rsid w:val="00D949B7"/>
    <w:rsid w:val="00D94AFC"/>
    <w:rsid w:val="00DB70AE"/>
    <w:rsid w:val="00DD5071"/>
    <w:rsid w:val="00DD5C39"/>
    <w:rsid w:val="00DE5CD4"/>
    <w:rsid w:val="00DE7DB7"/>
    <w:rsid w:val="00DF6A8F"/>
    <w:rsid w:val="00E00A0A"/>
    <w:rsid w:val="00E0604D"/>
    <w:rsid w:val="00E066DE"/>
    <w:rsid w:val="00E07F57"/>
    <w:rsid w:val="00E119E6"/>
    <w:rsid w:val="00E30683"/>
    <w:rsid w:val="00E33BC3"/>
    <w:rsid w:val="00E403E4"/>
    <w:rsid w:val="00E42107"/>
    <w:rsid w:val="00E453D8"/>
    <w:rsid w:val="00E50BCE"/>
    <w:rsid w:val="00E55D78"/>
    <w:rsid w:val="00E574BF"/>
    <w:rsid w:val="00E61292"/>
    <w:rsid w:val="00E6478E"/>
    <w:rsid w:val="00E76177"/>
    <w:rsid w:val="00E77C4D"/>
    <w:rsid w:val="00E80947"/>
    <w:rsid w:val="00E81D01"/>
    <w:rsid w:val="00E844A3"/>
    <w:rsid w:val="00E94009"/>
    <w:rsid w:val="00EA20DA"/>
    <w:rsid w:val="00EA57C7"/>
    <w:rsid w:val="00EA79AF"/>
    <w:rsid w:val="00EB485A"/>
    <w:rsid w:val="00EC1475"/>
    <w:rsid w:val="00EC2828"/>
    <w:rsid w:val="00EC5AC8"/>
    <w:rsid w:val="00ED2BD7"/>
    <w:rsid w:val="00EE45D8"/>
    <w:rsid w:val="00EF49A2"/>
    <w:rsid w:val="00F13CCF"/>
    <w:rsid w:val="00F17538"/>
    <w:rsid w:val="00F22EDA"/>
    <w:rsid w:val="00F241E2"/>
    <w:rsid w:val="00F33FF2"/>
    <w:rsid w:val="00F470D6"/>
    <w:rsid w:val="00F5589A"/>
    <w:rsid w:val="00F65550"/>
    <w:rsid w:val="00F87916"/>
    <w:rsid w:val="00FC40FA"/>
    <w:rsid w:val="00FD5AB5"/>
    <w:rsid w:val="00FF17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541F46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customStyle="1" w:styleId="Normal1">
    <w:name w:val="Normal1"/>
    <w:basedOn w:val="Normal"/>
    <w:rsid w:val="004F2A45"/>
    <w:pPr>
      <w:spacing w:before="100" w:beforeAutospacing="1" w:after="100" w:afterAutospacing="1"/>
    </w:pPr>
  </w:style>
  <w:style w:type="character" w:customStyle="1" w:styleId="italic">
    <w:name w:val="italic"/>
    <w:basedOn w:val="DefaultParagraphFont"/>
    <w:rsid w:val="004F2A45"/>
  </w:style>
  <w:style w:type="paragraph" w:customStyle="1" w:styleId="count">
    <w:name w:val="count"/>
    <w:basedOn w:val="Normal"/>
    <w:rsid w:val="004F2A45"/>
    <w:pPr>
      <w:spacing w:before="100" w:beforeAutospacing="1" w:after="100" w:afterAutospacing="1"/>
    </w:pPr>
  </w:style>
  <w:style w:type="paragraph" w:styleId="ListParagraph">
    <w:name w:val="List Paragraph"/>
    <w:basedOn w:val="Normal"/>
    <w:uiPriority w:val="34"/>
    <w:qFormat/>
    <w:rsid w:val="001864DF"/>
    <w:pPr>
      <w:ind w:left="720"/>
      <w:contextualSpacing/>
    </w:pPr>
  </w:style>
  <w:style w:type="paragraph" w:customStyle="1" w:styleId="Default">
    <w:name w:val="Default"/>
    <w:rsid w:val="006A69A3"/>
    <w:pPr>
      <w:autoSpaceDE w:val="0"/>
      <w:autoSpaceDN w:val="0"/>
      <w:adjustRightInd w:val="0"/>
    </w:pPr>
    <w:rPr>
      <w:rFonts w:ascii="Arial" w:hAnsi="Arial" w:cs="Arial"/>
      <w:color w:val="000000"/>
      <w:sz w:val="24"/>
      <w:szCs w:val="24"/>
    </w:rPr>
  </w:style>
  <w:style w:type="paragraph" w:styleId="NormalWeb">
    <w:name w:val="Normal (Web)"/>
    <w:basedOn w:val="Normal"/>
    <w:uiPriority w:val="99"/>
    <w:rsid w:val="006A69A3"/>
    <w:pPr>
      <w:spacing w:beforeLines="1" w:afterLines="1"/>
    </w:pPr>
    <w:rPr>
      <w:rFonts w:ascii="Times" w:eastAsia="Cambria" w:hAnsi="Time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081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59C33C-564A-4CC4-B623-8629336B5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6151</Words>
  <Characters>29836</Characters>
  <Application>Microsoft Office Word</Application>
  <DocSecurity>0</DocSecurity>
  <Lines>248</Lines>
  <Paragraphs>71</Paragraphs>
  <ScaleCrop>false</ScaleCrop>
  <Company/>
  <LinksUpToDate>false</LinksUpToDate>
  <CharactersWithSpaces>35916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2018-09-04T13:45:00Z</dcterms:created>
  <dcterms:modified xsi:type="dcterms:W3CDTF">2018-09-04T13:45:00Z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