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B75873"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753669" w:rsidRDefault="00F97703" w:rsidP="00753669">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753669">
        <w:rPr>
          <w:rFonts w:ascii="Book Antiqua" w:hAnsi="Book Antiqua" w:cs="Arial"/>
          <w:b/>
          <w:color w:val="000000"/>
        </w:rPr>
        <w:t xml:space="preserve">   </w:t>
      </w:r>
      <w:proofErr w:type="gramEnd"/>
      <w:r w:rsidR="00753669">
        <w:rPr>
          <w:rFonts w:ascii="Book Antiqua" w:hAnsi="Book Antiqua" w:cs="Arial"/>
          <w:b/>
          <w:color w:val="000000"/>
        </w:rPr>
        <w:t xml:space="preserve">                        </w:t>
      </w:r>
      <w:r w:rsidR="00B3524D" w:rsidRPr="00753669">
        <w:rPr>
          <w:rFonts w:ascii="Book Antiqua" w:hAnsi="Book Antiqua" w:cs="Arial"/>
          <w:b/>
          <w:color w:val="000000"/>
        </w:rPr>
        <w:t>Appeal Number</w:t>
      </w:r>
      <w:r w:rsidR="00D53769" w:rsidRPr="00753669">
        <w:rPr>
          <w:rFonts w:ascii="Book Antiqua" w:hAnsi="Book Antiqua" w:cs="Arial"/>
          <w:b/>
          <w:color w:val="000000"/>
        </w:rPr>
        <w:t>:</w:t>
      </w:r>
      <w:r w:rsidR="00B3524D" w:rsidRPr="00753669">
        <w:rPr>
          <w:rFonts w:ascii="Book Antiqua" w:hAnsi="Book Antiqua" w:cs="Arial"/>
          <w:b/>
          <w:color w:val="000000"/>
        </w:rPr>
        <w:t xml:space="preserve"> </w:t>
      </w:r>
      <w:r w:rsidR="00C378FB" w:rsidRPr="00753669">
        <w:rPr>
          <w:rFonts w:ascii="Book Antiqua" w:hAnsi="Book Antiqua" w:cs="Arial"/>
          <w:b/>
        </w:rPr>
        <w:t>EA/05007/</w:t>
      </w:r>
      <w:r w:rsidR="00CC197F" w:rsidRPr="00753669">
        <w:rPr>
          <w:rFonts w:ascii="Book Antiqua" w:hAnsi="Book Antiqua" w:cs="Arial"/>
          <w:b/>
        </w:rPr>
        <w:t>2016</w:t>
      </w:r>
    </w:p>
    <w:p w:rsidR="00E533BA" w:rsidRPr="00D32B8A" w:rsidRDefault="00E533BA" w:rsidP="003446EF">
      <w:pPr>
        <w:tabs>
          <w:tab w:val="right" w:pos="9720"/>
        </w:tabs>
        <w:ind w:right="-82"/>
        <w:jc w:val="right"/>
        <w:rPr>
          <w:rFonts w:ascii="Book Antiqua" w:hAnsi="Book Antiqua" w:cs="Arial"/>
          <w:color w:val="000000"/>
        </w:rPr>
      </w:pPr>
    </w:p>
    <w:p w:rsidR="005D03BF" w:rsidRPr="00D32B8A" w:rsidRDefault="005D03BF" w:rsidP="005D03BF">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C345E1" w:rsidRDefault="00C345E1" w:rsidP="00C345E1">
      <w:pPr>
        <w:jc w:val="center"/>
        <w:rPr>
          <w:rFonts w:ascii="Book Antiqua" w:hAnsi="Book Antiqua" w:cs="Arial"/>
          <w:color w:val="000000"/>
        </w:rPr>
      </w:pPr>
    </w:p>
    <w:tbl>
      <w:tblPr>
        <w:tblW w:w="9974" w:type="dxa"/>
        <w:tblLook w:val="01E0" w:firstRow="1" w:lastRow="1" w:firstColumn="1" w:lastColumn="1" w:noHBand="0" w:noVBand="0"/>
      </w:tblPr>
      <w:tblGrid>
        <w:gridCol w:w="5495"/>
        <w:gridCol w:w="4479"/>
      </w:tblGrid>
      <w:tr w:rsidR="00E533BA" w:rsidRPr="003C5723" w:rsidTr="00B75873">
        <w:tc>
          <w:tcPr>
            <w:tcW w:w="5495" w:type="dxa"/>
            <w:shd w:val="clear" w:color="auto" w:fill="auto"/>
          </w:tcPr>
          <w:p w:rsidR="00E533BA" w:rsidRPr="003C5723" w:rsidRDefault="00E533BA" w:rsidP="00B75873">
            <w:pPr>
              <w:tabs>
                <w:tab w:val="right" w:pos="5832"/>
              </w:tabs>
              <w:jc w:val="both"/>
              <w:rPr>
                <w:rFonts w:ascii="Book Antiqua" w:hAnsi="Book Antiqua" w:cs="Arial"/>
                <w:b/>
              </w:rPr>
            </w:pPr>
            <w:r w:rsidRPr="003C5723">
              <w:rPr>
                <w:rFonts w:ascii="Book Antiqua" w:hAnsi="Book Antiqua" w:cs="Arial"/>
                <w:b/>
              </w:rPr>
              <w:t>Heard at</w:t>
            </w:r>
            <w:r w:rsidR="00CC197F">
              <w:rPr>
                <w:rFonts w:ascii="Book Antiqua" w:hAnsi="Book Antiqua" w:cs="Arial"/>
                <w:b/>
              </w:rPr>
              <w:t xml:space="preserve"> Birmingham Employment Tribunal</w:t>
            </w:r>
            <w:r w:rsidRPr="003C5723">
              <w:rPr>
                <w:rFonts w:ascii="Book Antiqua" w:hAnsi="Book Antiqua" w:cs="Arial"/>
                <w:b/>
              </w:rPr>
              <w:t xml:space="preserve"> </w:t>
            </w:r>
            <w:r w:rsidR="00B75873">
              <w:rPr>
                <w:rFonts w:ascii="Book Antiqua" w:hAnsi="Book Antiqua" w:cs="Arial"/>
                <w:b/>
              </w:rPr>
              <w:tab/>
            </w:r>
          </w:p>
        </w:tc>
        <w:tc>
          <w:tcPr>
            <w:tcW w:w="4479" w:type="dxa"/>
            <w:shd w:val="clear" w:color="auto" w:fill="auto"/>
          </w:tcPr>
          <w:p w:rsidR="00E533BA" w:rsidRPr="003C5723" w:rsidRDefault="00B75873" w:rsidP="003C5723">
            <w:pPr>
              <w:jc w:val="both"/>
              <w:rPr>
                <w:rFonts w:ascii="Book Antiqua" w:hAnsi="Book Antiqua" w:cs="Arial"/>
                <w:b/>
                <w:color w:val="000000"/>
              </w:rPr>
            </w:pPr>
            <w:r>
              <w:rPr>
                <w:rFonts w:ascii="Book Antiqua" w:hAnsi="Book Antiqua" w:cs="Arial"/>
                <w:b/>
                <w:color w:val="000000"/>
              </w:rPr>
              <w:t>Decision &amp; Reasons Promulgated</w:t>
            </w:r>
          </w:p>
        </w:tc>
      </w:tr>
      <w:tr w:rsidR="00E533BA" w:rsidRPr="003C5723" w:rsidTr="00B75873">
        <w:tc>
          <w:tcPr>
            <w:tcW w:w="5495" w:type="dxa"/>
            <w:shd w:val="clear" w:color="auto" w:fill="auto"/>
          </w:tcPr>
          <w:p w:rsidR="00E533BA" w:rsidRPr="003C5723" w:rsidRDefault="00B75873"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CC197F">
              <w:rPr>
                <w:rFonts w:ascii="Book Antiqua" w:hAnsi="Book Antiqua" w:cs="Arial"/>
                <w:b/>
              </w:rPr>
              <w:t>26 June 2018</w:t>
            </w:r>
          </w:p>
        </w:tc>
        <w:tc>
          <w:tcPr>
            <w:tcW w:w="4479" w:type="dxa"/>
            <w:shd w:val="clear" w:color="auto" w:fill="auto"/>
          </w:tcPr>
          <w:p w:rsidR="00E533BA" w:rsidRPr="003C5723" w:rsidRDefault="00B75873" w:rsidP="003C5723">
            <w:pPr>
              <w:jc w:val="both"/>
              <w:rPr>
                <w:rFonts w:ascii="Book Antiqua" w:hAnsi="Book Antiqua" w:cs="Arial"/>
                <w:b/>
              </w:rPr>
            </w:pPr>
            <w:r>
              <w:rPr>
                <w:rFonts w:ascii="Book Antiqua" w:hAnsi="Book Antiqua" w:cs="Arial"/>
                <w:b/>
              </w:rPr>
              <w:t>On 27 June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CC197F" w:rsidRPr="00D32B8A" w:rsidRDefault="00CC197F" w:rsidP="00B467EA">
      <w:pPr>
        <w:jc w:val="center"/>
        <w:outlineLvl w:val="0"/>
        <w:rPr>
          <w:rFonts w:ascii="Book Antiqua" w:hAnsi="Book Antiqua" w:cs="Arial"/>
          <w:b/>
        </w:rPr>
      </w:pPr>
    </w:p>
    <w:p w:rsidR="00A845DC" w:rsidRPr="00CC197F" w:rsidRDefault="00CC197F" w:rsidP="00A15234">
      <w:pPr>
        <w:jc w:val="center"/>
        <w:rPr>
          <w:rFonts w:ascii="Book Antiqua" w:hAnsi="Book Antiqua" w:cs="Arial"/>
          <w:b/>
        </w:rPr>
      </w:pPr>
      <w:r w:rsidRPr="00CC197F">
        <w:rPr>
          <w:rFonts w:ascii="Book Antiqua" w:hAnsi="Book Antiqua" w:cs="Arial"/>
          <w:b/>
        </w:rPr>
        <w:t>AARON MENSAH</w:t>
      </w:r>
    </w:p>
    <w:p w:rsidR="00CC197F" w:rsidRPr="00D32B8A" w:rsidRDefault="00753669" w:rsidP="00A15234">
      <w:pPr>
        <w:jc w:val="center"/>
        <w:rPr>
          <w:rFonts w:ascii="Book Antiqua" w:hAnsi="Book Antiqua" w:cs="Arial"/>
          <w:b/>
        </w:rPr>
      </w:pPr>
      <w:r>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53669" w:rsidRDefault="00753669"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753669" w:rsidRPr="00D32B8A" w:rsidRDefault="00753669"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3D7835">
        <w:rPr>
          <w:rFonts w:ascii="Book Antiqua" w:hAnsi="Book Antiqua" w:cs="Arial"/>
        </w:rPr>
        <w:t>Mr S Awal</w:t>
      </w:r>
      <w:r w:rsidR="005E11D7">
        <w:rPr>
          <w:rFonts w:ascii="Book Antiqua" w:hAnsi="Book Antiqua" w:cs="Arial"/>
        </w:rPr>
        <w:t>, solicitor, with St Paul’s Law Chambers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5E11D7">
        <w:rPr>
          <w:rFonts w:ascii="Book Antiqua" w:hAnsi="Book Antiqua" w:cs="Arial"/>
        </w:rPr>
        <w:t>Mr C Howells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5E11D7">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5E11D7" w:rsidP="007E1D0F">
      <w:pPr>
        <w:numPr>
          <w:ilvl w:val="0"/>
          <w:numId w:val="3"/>
        </w:numPr>
        <w:tabs>
          <w:tab w:val="left" w:pos="2520"/>
        </w:tabs>
        <w:jc w:val="both"/>
        <w:rPr>
          <w:rFonts w:ascii="Book Antiqua" w:hAnsi="Book Antiqua" w:cs="Arial"/>
        </w:rPr>
      </w:pPr>
      <w:r>
        <w:rPr>
          <w:rFonts w:ascii="Book Antiqua" w:hAnsi="Book Antiqua" w:cs="Arial"/>
        </w:rPr>
        <w:t>The appellant appeals with permission against a decision of First-tier Tribunal Judge Pooler promulgated on 9 May 2017 in which the Judge dismissed the appellant’s appeal on EEA grounds against the refusal to issue a residence card as the family member (spouse) of an EEA national.</w:t>
      </w:r>
    </w:p>
    <w:p w:rsidR="005E11D7" w:rsidRDefault="005E11D7" w:rsidP="007E1D0F">
      <w:pPr>
        <w:numPr>
          <w:ilvl w:val="0"/>
          <w:numId w:val="3"/>
        </w:numPr>
        <w:tabs>
          <w:tab w:val="left" w:pos="2520"/>
        </w:tabs>
        <w:jc w:val="both"/>
        <w:rPr>
          <w:rFonts w:ascii="Book Antiqua" w:hAnsi="Book Antiqua" w:cs="Arial"/>
        </w:rPr>
      </w:pPr>
      <w:r>
        <w:rPr>
          <w:rFonts w:ascii="Book Antiqua" w:hAnsi="Book Antiqua" w:cs="Arial"/>
        </w:rPr>
        <w:t xml:space="preserve">The applicant is a national of Ghana born on 11 November 1967 </w:t>
      </w:r>
      <w:r w:rsidR="007E1D0F">
        <w:rPr>
          <w:rFonts w:ascii="Book Antiqua" w:hAnsi="Book Antiqua" w:cs="Arial"/>
        </w:rPr>
        <w:t xml:space="preserve">who </w:t>
      </w:r>
      <w:r>
        <w:rPr>
          <w:rFonts w:ascii="Book Antiqua" w:hAnsi="Book Antiqua" w:cs="Arial"/>
        </w:rPr>
        <w:t>claim</w:t>
      </w:r>
      <w:r w:rsidR="007E1D0F">
        <w:rPr>
          <w:rFonts w:ascii="Book Antiqua" w:hAnsi="Book Antiqua" w:cs="Arial"/>
        </w:rPr>
        <w:t>ed</w:t>
      </w:r>
      <w:r>
        <w:rPr>
          <w:rFonts w:ascii="Book Antiqua" w:hAnsi="Book Antiqua" w:cs="Arial"/>
        </w:rPr>
        <w:t xml:space="preserve"> to have married his wife, also a </w:t>
      </w:r>
      <w:r w:rsidR="007E1D0F">
        <w:rPr>
          <w:rFonts w:ascii="Book Antiqua" w:hAnsi="Book Antiqua" w:cs="Arial"/>
        </w:rPr>
        <w:t xml:space="preserve">Ghanaian </w:t>
      </w:r>
      <w:r>
        <w:rPr>
          <w:rFonts w:ascii="Book Antiqua" w:hAnsi="Book Antiqua" w:cs="Arial"/>
        </w:rPr>
        <w:t xml:space="preserve">national, in a proxy marriage. The respondent did not accept the proxy marriage was valid and accordingly refused to issue a residence card on this basis. The respondent considered, in the alternative, </w:t>
      </w:r>
      <w:r w:rsidR="007E1D0F">
        <w:rPr>
          <w:rFonts w:ascii="Book Antiqua" w:hAnsi="Book Antiqua" w:cs="Arial"/>
        </w:rPr>
        <w:t xml:space="preserve">that </w:t>
      </w:r>
      <w:r>
        <w:rPr>
          <w:rFonts w:ascii="Book Antiqua" w:hAnsi="Book Antiqua" w:cs="Arial"/>
        </w:rPr>
        <w:t xml:space="preserve">if the applicant was not married the application should be considered as one made by a </w:t>
      </w:r>
      <w:bookmarkStart w:id="0" w:name="_GoBack"/>
      <w:bookmarkEnd w:id="0"/>
      <w:r>
        <w:rPr>
          <w:rFonts w:ascii="Book Antiqua" w:hAnsi="Book Antiqua" w:cs="Arial"/>
        </w:rPr>
        <w:t xml:space="preserve">partner but concluded the appellant had not proved </w:t>
      </w:r>
      <w:r>
        <w:rPr>
          <w:rFonts w:ascii="Book Antiqua" w:hAnsi="Book Antiqua" w:cs="Arial"/>
        </w:rPr>
        <w:lastRenderedPageBreak/>
        <w:t>he was in a durable relationship with his partner</w:t>
      </w:r>
      <w:r w:rsidR="007E1D0F">
        <w:rPr>
          <w:rFonts w:ascii="Book Antiqua" w:hAnsi="Book Antiqua" w:cs="Arial"/>
        </w:rPr>
        <w:t>;</w:t>
      </w:r>
      <w:r>
        <w:rPr>
          <w:rFonts w:ascii="Book Antiqua" w:hAnsi="Book Antiqua" w:cs="Arial"/>
        </w:rPr>
        <w:t xml:space="preserve"> leading to a refusal to issue a residence card as an extended family member on this basis.</w:t>
      </w:r>
    </w:p>
    <w:p w:rsidR="005E11D7" w:rsidRDefault="005E11D7" w:rsidP="007E1D0F">
      <w:pPr>
        <w:numPr>
          <w:ilvl w:val="0"/>
          <w:numId w:val="3"/>
        </w:numPr>
        <w:tabs>
          <w:tab w:val="left" w:pos="2520"/>
        </w:tabs>
        <w:jc w:val="both"/>
        <w:rPr>
          <w:rFonts w:ascii="Book Antiqua" w:hAnsi="Book Antiqua" w:cs="Arial"/>
        </w:rPr>
      </w:pPr>
      <w:r>
        <w:rPr>
          <w:rFonts w:ascii="Book Antiqua" w:hAnsi="Book Antiqua" w:cs="Arial"/>
        </w:rPr>
        <w:t>The Judge’s core findings are set out at [16 – 19] of the decision under challenge in the following terms:</w:t>
      </w:r>
    </w:p>
    <w:p w:rsidR="005E11D7" w:rsidRDefault="005E11D7" w:rsidP="007E1D0F">
      <w:pPr>
        <w:tabs>
          <w:tab w:val="left" w:pos="2520"/>
        </w:tabs>
        <w:ind w:left="1080"/>
        <w:jc w:val="both"/>
        <w:rPr>
          <w:rFonts w:ascii="Book Antiqua" w:hAnsi="Book Antiqua" w:cs="Arial"/>
        </w:rPr>
      </w:pPr>
    </w:p>
    <w:p w:rsidR="005E11D7" w:rsidRDefault="005E11D7"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16. </w:t>
      </w:r>
      <w:r w:rsidR="007E1D0F">
        <w:rPr>
          <w:rFonts w:ascii="Book Antiqua" w:hAnsi="Book Antiqua" w:cs="Arial"/>
          <w:sz w:val="20"/>
          <w:szCs w:val="20"/>
        </w:rPr>
        <w:tab/>
      </w:r>
      <w:r>
        <w:rPr>
          <w:rFonts w:ascii="Book Antiqua" w:hAnsi="Book Antiqua" w:cs="Arial"/>
          <w:sz w:val="20"/>
          <w:szCs w:val="20"/>
        </w:rPr>
        <w:t>The appellant relies on certain documentary evidence. There is a copy of his wife’s Ghana</w:t>
      </w:r>
      <w:r w:rsidR="007E1D0F">
        <w:rPr>
          <w:rFonts w:ascii="Book Antiqua" w:hAnsi="Book Antiqua" w:cs="Arial"/>
          <w:sz w:val="20"/>
          <w:szCs w:val="20"/>
        </w:rPr>
        <w:t>ian</w:t>
      </w:r>
      <w:r>
        <w:rPr>
          <w:rFonts w:ascii="Book Antiqua" w:hAnsi="Book Antiqua" w:cs="Arial"/>
          <w:sz w:val="20"/>
          <w:szCs w:val="20"/>
        </w:rPr>
        <w:t xml:space="preserve"> passport which expired on 3 November 2009; a copy of the marriage certificate; a copy of a statutory declaration by the representatives at the marriage; and a certificate signed on behalf of the Ghanaian High Commissioner in London confirming signatures on the statutory declaration, the marriage certificate and other documents were genuine, that the marriage had been contracted in compliance with Ghanaian customary law and that the certificate had been issued by the Registrar who was the Competent Authority with legal powers to issue the marriage certificate.</w:t>
      </w:r>
    </w:p>
    <w:p w:rsidR="005E11D7" w:rsidRDefault="005E11D7" w:rsidP="007E1D0F">
      <w:pPr>
        <w:tabs>
          <w:tab w:val="left" w:pos="2520"/>
        </w:tabs>
        <w:ind w:left="1080"/>
        <w:jc w:val="both"/>
        <w:rPr>
          <w:rFonts w:ascii="Book Antiqua" w:hAnsi="Book Antiqua" w:cs="Arial"/>
          <w:sz w:val="20"/>
          <w:szCs w:val="20"/>
        </w:rPr>
      </w:pPr>
    </w:p>
    <w:p w:rsidR="005E11D7" w:rsidRDefault="005E11D7"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17. </w:t>
      </w:r>
      <w:r w:rsidR="007E1D0F">
        <w:rPr>
          <w:rFonts w:ascii="Book Antiqua" w:hAnsi="Book Antiqua" w:cs="Arial"/>
          <w:sz w:val="20"/>
          <w:szCs w:val="20"/>
        </w:rPr>
        <w:tab/>
      </w:r>
      <w:r>
        <w:rPr>
          <w:rFonts w:ascii="Book Antiqua" w:hAnsi="Book Antiqua" w:cs="Arial"/>
          <w:sz w:val="20"/>
          <w:szCs w:val="20"/>
        </w:rPr>
        <w:t xml:space="preserve">I returned to the summary provided in </w:t>
      </w:r>
      <w:r>
        <w:rPr>
          <w:rFonts w:ascii="Book Antiqua" w:hAnsi="Book Antiqua" w:cs="Arial"/>
          <w:i/>
          <w:sz w:val="20"/>
          <w:szCs w:val="20"/>
          <w:u w:val="single"/>
        </w:rPr>
        <w:t>Kareem</w:t>
      </w:r>
      <w:r>
        <w:rPr>
          <w:rFonts w:ascii="Book Antiqua" w:hAnsi="Book Antiqua" w:cs="Arial"/>
          <w:sz w:val="20"/>
          <w:szCs w:val="20"/>
        </w:rPr>
        <w:t xml:space="preserve"> and repeated in </w:t>
      </w:r>
      <w:r>
        <w:rPr>
          <w:rFonts w:ascii="Book Antiqua" w:hAnsi="Book Antiqua" w:cs="Arial"/>
          <w:i/>
          <w:sz w:val="20"/>
          <w:szCs w:val="20"/>
          <w:u w:val="single"/>
        </w:rPr>
        <w:t xml:space="preserve">Cudjoe. </w:t>
      </w:r>
      <w:r>
        <w:rPr>
          <w:rFonts w:ascii="Book Antiqua" w:hAnsi="Book Antiqua" w:cs="Arial"/>
          <w:sz w:val="20"/>
          <w:szCs w:val="20"/>
        </w:rPr>
        <w:t xml:space="preserve">The Tribunal must </w:t>
      </w:r>
      <w:r w:rsidR="007E1D0F">
        <w:rPr>
          <w:rFonts w:ascii="Book Antiqua" w:hAnsi="Book Antiqua" w:cs="Arial"/>
          <w:sz w:val="20"/>
          <w:szCs w:val="20"/>
        </w:rPr>
        <w:t>decide a</w:t>
      </w:r>
      <w:r>
        <w:rPr>
          <w:rFonts w:ascii="Book Antiqua" w:hAnsi="Book Antiqua" w:cs="Arial"/>
          <w:sz w:val="20"/>
          <w:szCs w:val="20"/>
        </w:rPr>
        <w:t>s a question of fact whether the parties were validly married under</w:t>
      </w:r>
      <w:r w:rsidR="007E1D0F">
        <w:rPr>
          <w:rFonts w:ascii="Book Antiqua" w:hAnsi="Book Antiqua" w:cs="Arial"/>
          <w:sz w:val="20"/>
          <w:szCs w:val="20"/>
        </w:rPr>
        <w:t xml:space="preserve"> Ghanaian </w:t>
      </w:r>
      <w:r>
        <w:rPr>
          <w:rFonts w:ascii="Book Antiqua" w:hAnsi="Book Antiqua" w:cs="Arial"/>
          <w:sz w:val="20"/>
          <w:szCs w:val="20"/>
        </w:rPr>
        <w:t>law. The Upper Tribunal indicated clearly that without independent and reliable evidence about the recognition of a marriage under the laws of the country where it took place, this Tribunal was likely to be unable to find sufficient evidence had been provided to discharge the burden of proof. To repeat what was said;</w:t>
      </w:r>
    </w:p>
    <w:p w:rsidR="005E11D7" w:rsidRDefault="005E11D7" w:rsidP="007E1D0F">
      <w:pPr>
        <w:tabs>
          <w:tab w:val="left" w:pos="2520"/>
        </w:tabs>
        <w:ind w:left="1080"/>
        <w:jc w:val="both"/>
        <w:rPr>
          <w:rFonts w:ascii="Book Antiqua" w:hAnsi="Book Antiqua" w:cs="Arial"/>
          <w:sz w:val="20"/>
          <w:szCs w:val="20"/>
        </w:rPr>
      </w:pPr>
    </w:p>
    <w:p w:rsidR="005E11D7" w:rsidRDefault="005E11D7" w:rsidP="007E1D0F">
      <w:pPr>
        <w:tabs>
          <w:tab w:val="left" w:pos="2520"/>
        </w:tabs>
        <w:ind w:left="2268"/>
        <w:jc w:val="both"/>
        <w:rPr>
          <w:rFonts w:ascii="Book Antiqua" w:hAnsi="Book Antiqua" w:cs="Arial"/>
          <w:sz w:val="16"/>
          <w:szCs w:val="16"/>
        </w:rPr>
      </w:pPr>
      <w:r>
        <w:rPr>
          <w:rFonts w:ascii="Book Antiqua" w:hAnsi="Book Antiqua" w:cs="Arial"/>
          <w:sz w:val="16"/>
          <w:szCs w:val="16"/>
        </w:rPr>
        <w:t>“M</w:t>
      </w:r>
      <w:r w:rsidR="007E1D0F">
        <w:rPr>
          <w:rFonts w:ascii="Book Antiqua" w:hAnsi="Book Antiqua" w:cs="Arial"/>
          <w:sz w:val="16"/>
          <w:szCs w:val="16"/>
        </w:rPr>
        <w:t xml:space="preserve">ere </w:t>
      </w:r>
      <w:r>
        <w:rPr>
          <w:rFonts w:ascii="Book Antiqua" w:hAnsi="Book Antiqua" w:cs="Arial"/>
          <w:sz w:val="16"/>
          <w:szCs w:val="16"/>
        </w:rPr>
        <w:t xml:space="preserve">production of legal materials from the EEA country or country where the marriage took place will be insufficient evidence because they will rarely show how such law is understood or applied in those countries. </w:t>
      </w:r>
      <w:r w:rsidR="007E1D0F">
        <w:rPr>
          <w:rFonts w:ascii="Book Antiqua" w:hAnsi="Book Antiqua" w:cs="Arial"/>
          <w:sz w:val="16"/>
          <w:szCs w:val="16"/>
        </w:rPr>
        <w:t xml:space="preserve"> Mere </w:t>
      </w:r>
      <w:r>
        <w:rPr>
          <w:rFonts w:ascii="Book Antiqua" w:hAnsi="Book Antiqua" w:cs="Arial"/>
          <w:sz w:val="16"/>
          <w:szCs w:val="16"/>
        </w:rPr>
        <w:t xml:space="preserve">assertions as to the effect of such laws will, </w:t>
      </w:r>
      <w:r w:rsidR="007E1D0F">
        <w:rPr>
          <w:rFonts w:ascii="Book Antiqua" w:hAnsi="Book Antiqua" w:cs="Arial"/>
          <w:sz w:val="16"/>
          <w:szCs w:val="16"/>
        </w:rPr>
        <w:t xml:space="preserve">for </w:t>
      </w:r>
      <w:r>
        <w:rPr>
          <w:rFonts w:ascii="Book Antiqua" w:hAnsi="Book Antiqua" w:cs="Arial"/>
          <w:sz w:val="16"/>
          <w:szCs w:val="16"/>
        </w:rPr>
        <w:t>similar reasons, carry no weight.”</w:t>
      </w:r>
    </w:p>
    <w:p w:rsidR="005E11D7" w:rsidRDefault="005E11D7" w:rsidP="007E1D0F">
      <w:pPr>
        <w:tabs>
          <w:tab w:val="left" w:pos="2520"/>
        </w:tabs>
        <w:ind w:left="1080"/>
        <w:jc w:val="both"/>
        <w:rPr>
          <w:rFonts w:ascii="Book Antiqua" w:hAnsi="Book Antiqua" w:cs="Arial"/>
          <w:sz w:val="16"/>
          <w:szCs w:val="16"/>
        </w:rPr>
      </w:pPr>
    </w:p>
    <w:p w:rsidR="005E11D7" w:rsidRDefault="005E11D7"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18. </w:t>
      </w:r>
      <w:r w:rsidR="007E1D0F">
        <w:rPr>
          <w:rFonts w:ascii="Book Antiqua" w:hAnsi="Book Antiqua" w:cs="Arial"/>
          <w:sz w:val="20"/>
          <w:szCs w:val="20"/>
        </w:rPr>
        <w:tab/>
      </w:r>
      <w:r>
        <w:rPr>
          <w:rFonts w:ascii="Book Antiqua" w:hAnsi="Book Antiqua" w:cs="Arial"/>
          <w:sz w:val="20"/>
          <w:szCs w:val="20"/>
        </w:rPr>
        <w:t>The appellant asserts, on the basis of the documents provided, that his marriage was contracted and registered in compliance with Ghanaian law. There is however no independent and reliable evidence to support this assertion. In my judgment the burden of proof has not been discharged and I am unable to find the parties were married as claimed.</w:t>
      </w:r>
    </w:p>
    <w:p w:rsidR="005E11D7" w:rsidRDefault="005E11D7" w:rsidP="007E1D0F">
      <w:pPr>
        <w:tabs>
          <w:tab w:val="left" w:pos="2520"/>
        </w:tabs>
        <w:ind w:left="1080"/>
        <w:jc w:val="both"/>
        <w:rPr>
          <w:rFonts w:ascii="Book Antiqua" w:hAnsi="Book Antiqua" w:cs="Arial"/>
          <w:sz w:val="20"/>
          <w:szCs w:val="20"/>
        </w:rPr>
      </w:pPr>
    </w:p>
    <w:p w:rsidR="005E11D7" w:rsidRDefault="005E11D7"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19. </w:t>
      </w:r>
      <w:r w:rsidR="007E1D0F">
        <w:rPr>
          <w:rFonts w:ascii="Book Antiqua" w:hAnsi="Book Antiqua" w:cs="Arial"/>
          <w:sz w:val="20"/>
          <w:szCs w:val="20"/>
        </w:rPr>
        <w:tab/>
      </w:r>
      <w:r>
        <w:rPr>
          <w:rFonts w:ascii="Book Antiqua" w:hAnsi="Book Antiqua" w:cs="Arial"/>
          <w:sz w:val="20"/>
          <w:szCs w:val="20"/>
        </w:rPr>
        <w:t xml:space="preserve">The appellant has accordingly failed to prove that his marriage is recognised as valid in Ghana and that he was the spouse and </w:t>
      </w:r>
      <w:r w:rsidR="007E1D0F">
        <w:rPr>
          <w:rFonts w:ascii="Book Antiqua" w:hAnsi="Book Antiqua" w:cs="Arial"/>
          <w:sz w:val="20"/>
          <w:szCs w:val="20"/>
        </w:rPr>
        <w:t xml:space="preserve">thus </w:t>
      </w:r>
      <w:r>
        <w:rPr>
          <w:rFonts w:ascii="Book Antiqua" w:hAnsi="Book Antiqua" w:cs="Arial"/>
          <w:sz w:val="20"/>
          <w:szCs w:val="20"/>
        </w:rPr>
        <w:t>the family member of an EEA national. His appeal must therefore fail.</w:t>
      </w:r>
    </w:p>
    <w:p w:rsidR="005E11D7" w:rsidRPr="005E11D7" w:rsidRDefault="005E11D7" w:rsidP="007E1D0F">
      <w:pPr>
        <w:tabs>
          <w:tab w:val="left" w:pos="2520"/>
        </w:tabs>
        <w:ind w:left="1080"/>
        <w:jc w:val="both"/>
        <w:rPr>
          <w:rFonts w:ascii="Book Antiqua" w:hAnsi="Book Antiqua" w:cs="Arial"/>
          <w:sz w:val="20"/>
          <w:szCs w:val="20"/>
        </w:rPr>
      </w:pPr>
    </w:p>
    <w:p w:rsidR="005E11D7" w:rsidRDefault="005E11D7" w:rsidP="007E1D0F">
      <w:pPr>
        <w:numPr>
          <w:ilvl w:val="0"/>
          <w:numId w:val="3"/>
        </w:numPr>
        <w:tabs>
          <w:tab w:val="left" w:pos="2520"/>
        </w:tabs>
        <w:jc w:val="both"/>
        <w:rPr>
          <w:rFonts w:ascii="Book Antiqua" w:hAnsi="Book Antiqua" w:cs="Arial"/>
        </w:rPr>
      </w:pPr>
      <w:r>
        <w:rPr>
          <w:rFonts w:ascii="Book Antiqua" w:hAnsi="Book Antiqua" w:cs="Arial"/>
        </w:rPr>
        <w:t>The appellant applied for permission to appeal which was granted by another judge of the First-tier Tribunal. The operative part of the grant being in the following terms:</w:t>
      </w:r>
    </w:p>
    <w:p w:rsidR="005E11D7" w:rsidRDefault="005E11D7" w:rsidP="007E1D0F">
      <w:pPr>
        <w:tabs>
          <w:tab w:val="left" w:pos="2520"/>
        </w:tabs>
        <w:ind w:left="1080"/>
        <w:jc w:val="both"/>
        <w:rPr>
          <w:rFonts w:ascii="Book Antiqua" w:hAnsi="Book Antiqua" w:cs="Arial"/>
        </w:rPr>
      </w:pPr>
    </w:p>
    <w:p w:rsidR="005E11D7" w:rsidRDefault="005E11D7"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2.  </w:t>
      </w:r>
      <w:r w:rsidR="007E1D0F">
        <w:rPr>
          <w:rFonts w:ascii="Book Antiqua" w:hAnsi="Book Antiqua" w:cs="Arial"/>
          <w:sz w:val="20"/>
          <w:szCs w:val="20"/>
        </w:rPr>
        <w:tab/>
      </w:r>
      <w:r>
        <w:rPr>
          <w:rFonts w:ascii="Book Antiqua" w:hAnsi="Book Antiqua" w:cs="Arial"/>
          <w:sz w:val="20"/>
          <w:szCs w:val="20"/>
        </w:rPr>
        <w:t xml:space="preserve">There is some arguable merit in relation to the grounds at para 8 because the marriage certificate was provided, as with the documents set out at [16] and it is not clear from the decision, what findings of fact were made in relation to this documentation with reference to paragraphs (b) and (c) of the extract from </w:t>
      </w:r>
      <w:r>
        <w:rPr>
          <w:rFonts w:ascii="Book Antiqua" w:hAnsi="Book Antiqua" w:cs="Arial"/>
          <w:b/>
          <w:sz w:val="20"/>
          <w:szCs w:val="20"/>
          <w:u w:val="single"/>
        </w:rPr>
        <w:t>Kareem (Proxy Marriages – EU law)</w:t>
      </w:r>
      <w:r>
        <w:rPr>
          <w:rFonts w:ascii="Book Antiqua" w:hAnsi="Book Antiqua" w:cs="Arial"/>
          <w:sz w:val="20"/>
          <w:szCs w:val="20"/>
        </w:rPr>
        <w:t xml:space="preserve"> </w:t>
      </w:r>
      <w:r w:rsidR="00921476" w:rsidRPr="00921476">
        <w:rPr>
          <w:rFonts w:ascii="Book Antiqua" w:hAnsi="Book Antiqua" w:cs="Arial"/>
          <w:b/>
          <w:sz w:val="20"/>
          <w:szCs w:val="20"/>
        </w:rPr>
        <w:t>[2014] UKUT 00024 (IAC)</w:t>
      </w:r>
      <w:r w:rsidRPr="00921476">
        <w:rPr>
          <w:rFonts w:ascii="Book Antiqua" w:hAnsi="Book Antiqua" w:cs="Arial"/>
          <w:b/>
          <w:sz w:val="20"/>
          <w:szCs w:val="20"/>
        </w:rPr>
        <w:t xml:space="preserve"> </w:t>
      </w:r>
      <w:r w:rsidR="00921476">
        <w:rPr>
          <w:rFonts w:ascii="Book Antiqua" w:hAnsi="Book Antiqua" w:cs="Arial"/>
          <w:sz w:val="20"/>
          <w:szCs w:val="20"/>
        </w:rPr>
        <w:t>set out by the Judge in his decision at [11].</w:t>
      </w:r>
    </w:p>
    <w:p w:rsidR="00921476" w:rsidRDefault="00921476" w:rsidP="007E1D0F">
      <w:pPr>
        <w:tabs>
          <w:tab w:val="left" w:pos="2520"/>
        </w:tabs>
        <w:ind w:left="1080"/>
        <w:jc w:val="both"/>
        <w:rPr>
          <w:rFonts w:ascii="Book Antiqua" w:hAnsi="Book Antiqua" w:cs="Arial"/>
          <w:sz w:val="20"/>
          <w:szCs w:val="20"/>
        </w:rPr>
      </w:pPr>
    </w:p>
    <w:p w:rsidR="00921476" w:rsidRDefault="00921476" w:rsidP="007E1D0F">
      <w:pPr>
        <w:tabs>
          <w:tab w:val="left" w:pos="2520"/>
        </w:tabs>
        <w:ind w:left="1701" w:hanging="621"/>
        <w:jc w:val="both"/>
        <w:rPr>
          <w:rFonts w:ascii="Book Antiqua" w:hAnsi="Book Antiqua" w:cs="Arial"/>
          <w:sz w:val="20"/>
          <w:szCs w:val="20"/>
        </w:rPr>
      </w:pPr>
      <w:r>
        <w:rPr>
          <w:rFonts w:ascii="Book Antiqua" w:hAnsi="Book Antiqua" w:cs="Arial"/>
          <w:sz w:val="20"/>
          <w:szCs w:val="20"/>
        </w:rPr>
        <w:t xml:space="preserve">3. </w:t>
      </w:r>
      <w:r w:rsidR="007E1D0F">
        <w:rPr>
          <w:rFonts w:ascii="Book Antiqua" w:hAnsi="Book Antiqua" w:cs="Arial"/>
          <w:sz w:val="20"/>
          <w:szCs w:val="20"/>
        </w:rPr>
        <w:tab/>
      </w:r>
      <w:r>
        <w:rPr>
          <w:rFonts w:ascii="Book Antiqua" w:hAnsi="Book Antiqua" w:cs="Arial"/>
          <w:sz w:val="20"/>
          <w:szCs w:val="20"/>
        </w:rPr>
        <w:t xml:space="preserve">There is less arguable merit in the grounds at paragraphs 1 – 7 because the Judge was aware that </w:t>
      </w:r>
      <w:r w:rsidRPr="00921476">
        <w:rPr>
          <w:rFonts w:ascii="Book Antiqua" w:hAnsi="Book Antiqua" w:cs="Arial"/>
          <w:b/>
          <w:sz w:val="20"/>
          <w:szCs w:val="20"/>
          <w:u w:val="single"/>
        </w:rPr>
        <w:t>Kareem</w:t>
      </w:r>
      <w:r>
        <w:rPr>
          <w:rFonts w:ascii="Book Antiqua" w:hAnsi="Book Antiqua" w:cs="Arial"/>
          <w:b/>
          <w:sz w:val="20"/>
          <w:szCs w:val="20"/>
        </w:rPr>
        <w:t xml:space="preserve"> </w:t>
      </w:r>
      <w:r w:rsidRPr="00921476">
        <w:rPr>
          <w:rFonts w:ascii="Book Antiqua" w:hAnsi="Book Antiqua" w:cs="Arial"/>
          <w:sz w:val="20"/>
          <w:szCs w:val="20"/>
        </w:rPr>
        <w:t>had been overturned by the Court of Appeal in</w:t>
      </w:r>
      <w:r>
        <w:rPr>
          <w:rFonts w:ascii="Book Antiqua" w:hAnsi="Book Antiqua" w:cs="Arial"/>
          <w:sz w:val="20"/>
          <w:szCs w:val="20"/>
        </w:rPr>
        <w:t xml:space="preserve"> </w:t>
      </w:r>
      <w:r>
        <w:rPr>
          <w:rFonts w:ascii="Book Antiqua" w:hAnsi="Book Antiqua" w:cs="Arial"/>
          <w:b/>
          <w:sz w:val="20"/>
          <w:szCs w:val="20"/>
          <w:u w:val="single"/>
        </w:rPr>
        <w:t>Awuku</w:t>
      </w:r>
      <w:r>
        <w:rPr>
          <w:rFonts w:ascii="Book Antiqua" w:hAnsi="Book Antiqua" w:cs="Arial"/>
          <w:sz w:val="20"/>
          <w:szCs w:val="20"/>
        </w:rPr>
        <w:t xml:space="preserve"> </w:t>
      </w:r>
      <w:r w:rsidRPr="00921476">
        <w:rPr>
          <w:rFonts w:ascii="Book Antiqua" w:hAnsi="Book Antiqua" w:cs="Arial"/>
          <w:b/>
          <w:sz w:val="20"/>
          <w:szCs w:val="20"/>
        </w:rPr>
        <w:t>[2017</w:t>
      </w:r>
      <w:r>
        <w:rPr>
          <w:rFonts w:ascii="Book Antiqua" w:hAnsi="Book Antiqua" w:cs="Arial"/>
          <w:b/>
          <w:sz w:val="20"/>
          <w:szCs w:val="20"/>
        </w:rPr>
        <w:t>] EWCA Civ 178.</w:t>
      </w:r>
      <w:r>
        <w:rPr>
          <w:rFonts w:ascii="Book Antiqua" w:hAnsi="Book Antiqua" w:cs="Arial"/>
          <w:sz w:val="20"/>
          <w:szCs w:val="20"/>
        </w:rPr>
        <w:t xml:space="preserve"> The only part of </w:t>
      </w:r>
      <w:r>
        <w:rPr>
          <w:rFonts w:ascii="Book Antiqua" w:hAnsi="Book Antiqua" w:cs="Arial"/>
          <w:b/>
          <w:sz w:val="20"/>
          <w:szCs w:val="20"/>
          <w:u w:val="single"/>
        </w:rPr>
        <w:t>Kareem</w:t>
      </w:r>
      <w:r>
        <w:rPr>
          <w:rFonts w:ascii="Book Antiqua" w:hAnsi="Book Antiqua" w:cs="Arial"/>
          <w:sz w:val="20"/>
          <w:szCs w:val="20"/>
        </w:rPr>
        <w:t xml:space="preserve"> overturned by the Court of Appeal was that there was no need to provide reliable independent evidence about the recognition of the marriage under the laws of the EEA country in which the Appellants spouse is a national. However, as permission to appeal is granted in relation to para 7 of the grounds, the Appellant is not precluded from relying on paras 1-7.</w:t>
      </w:r>
    </w:p>
    <w:p w:rsidR="00921476" w:rsidRPr="00921476" w:rsidRDefault="00921476" w:rsidP="007E1D0F">
      <w:pPr>
        <w:tabs>
          <w:tab w:val="left" w:pos="2520"/>
        </w:tabs>
        <w:ind w:left="1080"/>
        <w:jc w:val="both"/>
        <w:rPr>
          <w:rFonts w:ascii="Book Antiqua" w:hAnsi="Book Antiqua" w:cs="Arial"/>
          <w:sz w:val="20"/>
          <w:szCs w:val="20"/>
        </w:rPr>
      </w:pPr>
    </w:p>
    <w:p w:rsidR="005E11D7" w:rsidRDefault="00921476" w:rsidP="007E1D0F">
      <w:pPr>
        <w:numPr>
          <w:ilvl w:val="0"/>
          <w:numId w:val="3"/>
        </w:numPr>
        <w:tabs>
          <w:tab w:val="left" w:pos="2520"/>
        </w:tabs>
        <w:jc w:val="both"/>
        <w:rPr>
          <w:rFonts w:ascii="Book Antiqua" w:hAnsi="Book Antiqua" w:cs="Arial"/>
        </w:rPr>
      </w:pPr>
      <w:r>
        <w:rPr>
          <w:rFonts w:ascii="Book Antiqua" w:hAnsi="Book Antiqua" w:cs="Arial"/>
        </w:rPr>
        <w:t>There is no challenge to the documen</w:t>
      </w:r>
      <w:r w:rsidR="007E1D0F">
        <w:rPr>
          <w:rFonts w:ascii="Book Antiqua" w:hAnsi="Book Antiqua" w:cs="Arial"/>
        </w:rPr>
        <w:t>tation provided from the Ghana High C</w:t>
      </w:r>
      <w:r>
        <w:rPr>
          <w:rFonts w:ascii="Book Antiqua" w:hAnsi="Book Antiqua" w:cs="Arial"/>
        </w:rPr>
        <w:t xml:space="preserve">ommission based in London or any suggestion that any of the documents are </w:t>
      </w:r>
      <w:r>
        <w:rPr>
          <w:rFonts w:ascii="Book Antiqua" w:hAnsi="Book Antiqua" w:cs="Arial"/>
        </w:rPr>
        <w:lastRenderedPageBreak/>
        <w:t xml:space="preserve">forged </w:t>
      </w:r>
      <w:r w:rsidR="007E1D0F">
        <w:rPr>
          <w:rFonts w:ascii="Book Antiqua" w:hAnsi="Book Antiqua" w:cs="Arial"/>
        </w:rPr>
        <w:t xml:space="preserve">and </w:t>
      </w:r>
      <w:r>
        <w:rPr>
          <w:rFonts w:ascii="Book Antiqua" w:hAnsi="Book Antiqua" w:cs="Arial"/>
        </w:rPr>
        <w:t>cannot be relied upon. The Judge was not satisfied that the material before him discharge</w:t>
      </w:r>
      <w:r w:rsidR="007E1D0F">
        <w:rPr>
          <w:rFonts w:ascii="Book Antiqua" w:hAnsi="Book Antiqua" w:cs="Arial"/>
        </w:rPr>
        <w:t>d</w:t>
      </w:r>
      <w:r>
        <w:rPr>
          <w:rFonts w:ascii="Book Antiqua" w:hAnsi="Book Antiqua" w:cs="Arial"/>
        </w:rPr>
        <w:t xml:space="preserve"> the necessary burden of proof. </w:t>
      </w:r>
    </w:p>
    <w:p w:rsidR="00921476" w:rsidRDefault="00921476" w:rsidP="007E1D0F">
      <w:pPr>
        <w:numPr>
          <w:ilvl w:val="0"/>
          <w:numId w:val="3"/>
        </w:numPr>
        <w:tabs>
          <w:tab w:val="left" w:pos="2520"/>
        </w:tabs>
        <w:jc w:val="both"/>
        <w:rPr>
          <w:rFonts w:ascii="Book Antiqua" w:hAnsi="Book Antiqua" w:cs="Arial"/>
        </w:rPr>
      </w:pPr>
      <w:r>
        <w:rPr>
          <w:rFonts w:ascii="Book Antiqua" w:hAnsi="Book Antiqua" w:cs="Arial"/>
        </w:rPr>
        <w:t>Although this is a challenge to the findings at [18] and the weight the Judge gave to the evidence, when most such challenges rarely succeed, it was accepted on the respondent’s behalf that the findings of the Judge are arguably irrational and contrary to the weight of evidence provided. It is not disputed that a proxy marriage is acceptable in Ghana the question being whether the particular proxy marriage concerned is recognised as being valid. The evidence before the Judge supported the finding that the marriage certificate had been issued by</w:t>
      </w:r>
      <w:r w:rsidR="007E1D0F">
        <w:rPr>
          <w:rFonts w:ascii="Book Antiqua" w:hAnsi="Book Antiqua" w:cs="Arial"/>
        </w:rPr>
        <w:t xml:space="preserve"> a</w:t>
      </w:r>
      <w:r>
        <w:rPr>
          <w:rFonts w:ascii="Book Antiqua" w:hAnsi="Book Antiqua" w:cs="Arial"/>
        </w:rPr>
        <w:t xml:space="preserve"> Competent Authority, that the customary marriage had been registered supported by the necessary evidence, that both parties were Ghanaian citizens, and that the marriage had been contracted in compliance with Ghanaian customary law and that the marriage is legally valid in Ghana. On this basis Mr Howells accepted that the Judge had erred in law in making the findings that the necessary burden had not been discharged.</w:t>
      </w:r>
    </w:p>
    <w:p w:rsidR="00921476" w:rsidRDefault="00921476" w:rsidP="007E1D0F">
      <w:pPr>
        <w:numPr>
          <w:ilvl w:val="0"/>
          <w:numId w:val="3"/>
        </w:numPr>
        <w:tabs>
          <w:tab w:val="left" w:pos="2520"/>
        </w:tabs>
        <w:jc w:val="both"/>
        <w:rPr>
          <w:rFonts w:ascii="Book Antiqua" w:hAnsi="Book Antiqua" w:cs="Arial"/>
        </w:rPr>
      </w:pPr>
      <w:r>
        <w:rPr>
          <w:rFonts w:ascii="Book Antiqua" w:hAnsi="Book Antiqua" w:cs="Arial"/>
        </w:rPr>
        <w:t xml:space="preserve">I set aside the decision of the Judge </w:t>
      </w:r>
      <w:r w:rsidR="007E1D0F">
        <w:rPr>
          <w:rFonts w:ascii="Book Antiqua" w:hAnsi="Book Antiqua" w:cs="Arial"/>
        </w:rPr>
        <w:t xml:space="preserve">made </w:t>
      </w:r>
      <w:r>
        <w:rPr>
          <w:rFonts w:ascii="Book Antiqua" w:hAnsi="Book Antiqua" w:cs="Arial"/>
        </w:rPr>
        <w:t>on the basis the findings set out above, particularly those in [18 – 19]</w:t>
      </w:r>
      <w:r w:rsidR="007E1D0F">
        <w:rPr>
          <w:rFonts w:ascii="Book Antiqua" w:hAnsi="Book Antiqua" w:cs="Arial"/>
        </w:rPr>
        <w:t xml:space="preserve">, which are </w:t>
      </w:r>
      <w:r>
        <w:rPr>
          <w:rFonts w:ascii="Book Antiqua" w:hAnsi="Book Antiqua" w:cs="Arial"/>
        </w:rPr>
        <w:t>contrary to the evidence.</w:t>
      </w:r>
    </w:p>
    <w:p w:rsidR="00921476" w:rsidRDefault="00921476" w:rsidP="007E1D0F">
      <w:pPr>
        <w:numPr>
          <w:ilvl w:val="0"/>
          <w:numId w:val="3"/>
        </w:numPr>
        <w:tabs>
          <w:tab w:val="left" w:pos="2520"/>
        </w:tabs>
        <w:jc w:val="both"/>
        <w:rPr>
          <w:rFonts w:ascii="Book Antiqua" w:hAnsi="Book Antiqua" w:cs="Arial"/>
        </w:rPr>
      </w:pPr>
      <w:r>
        <w:rPr>
          <w:rFonts w:ascii="Book Antiqua" w:hAnsi="Book Antiqua" w:cs="Arial"/>
        </w:rPr>
        <w:t xml:space="preserve">I substitute a decision to allow the appeal against the respondent’s refusal to issue a residence card to the appellant as </w:t>
      </w:r>
      <w:r w:rsidR="007E1D0F">
        <w:rPr>
          <w:rFonts w:ascii="Book Antiqua" w:hAnsi="Book Antiqua" w:cs="Arial"/>
        </w:rPr>
        <w:t xml:space="preserve">the </w:t>
      </w:r>
      <w:r>
        <w:rPr>
          <w:rFonts w:ascii="Book Antiqua" w:hAnsi="Book Antiqua" w:cs="Arial"/>
        </w:rPr>
        <w:t>family member of an EEA national exercising treaty rights in the United Kingdom.</w:t>
      </w:r>
    </w:p>
    <w:p w:rsidR="007E1D0F" w:rsidRDefault="007E1D0F" w:rsidP="007E1D0F">
      <w:pPr>
        <w:tabs>
          <w:tab w:val="left" w:pos="2520"/>
        </w:tabs>
        <w:ind w:left="1080"/>
        <w:jc w:val="both"/>
        <w:rPr>
          <w:rFonts w:ascii="Book Antiqua" w:hAnsi="Book Antiqua" w:cs="Arial"/>
        </w:rPr>
      </w:pPr>
    </w:p>
    <w:p w:rsidR="00D32B8A" w:rsidRPr="00D32B8A" w:rsidRDefault="00D32B8A" w:rsidP="007E1D0F">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7E1D0F">
      <w:pPr>
        <w:pStyle w:val="BodyTextIndent"/>
        <w:ind w:left="0"/>
        <w:jc w:val="both"/>
        <w:rPr>
          <w:rFonts w:ascii="Book Antiqua" w:hAnsi="Book Antiqua" w:cs="Arial"/>
          <w:b/>
          <w:bCs/>
          <w:sz w:val="24"/>
          <w:u w:val="single"/>
        </w:rPr>
      </w:pPr>
    </w:p>
    <w:p w:rsidR="00D32B8A" w:rsidRPr="00813355" w:rsidRDefault="00D32B8A" w:rsidP="007E1D0F">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 </w:t>
      </w:r>
      <w:r w:rsidR="00921476">
        <w:rPr>
          <w:rFonts w:ascii="Book Antiqua" w:hAnsi="Book Antiqua" w:cs="Arial"/>
          <w:b/>
          <w:sz w:val="24"/>
        </w:rPr>
        <w:t xml:space="preserve">First-tier Tribunal </w:t>
      </w:r>
      <w:r w:rsidRPr="00D32B8A">
        <w:rPr>
          <w:rFonts w:ascii="Book Antiqua" w:hAnsi="Book Antiqua" w:cs="Arial"/>
          <w:b/>
          <w:sz w:val="24"/>
        </w:rPr>
        <w:t xml:space="preserve">Judge materially erred in law. I </w:t>
      </w:r>
      <w:r w:rsidR="008E55FE">
        <w:rPr>
          <w:rFonts w:ascii="Book Antiqua" w:hAnsi="Book Antiqua" w:cs="Arial"/>
          <w:b/>
          <w:sz w:val="24"/>
        </w:rPr>
        <w:t>set aside the decision of the original Judge. I remake the decision as follows.</w:t>
      </w:r>
      <w:r w:rsidRPr="00D32B8A">
        <w:rPr>
          <w:rFonts w:ascii="Book Antiqua" w:hAnsi="Book Antiqua" w:cs="Arial"/>
          <w:b/>
          <w:sz w:val="24"/>
        </w:rPr>
        <w:t xml:space="preserve"> This appeal is allowed</w:t>
      </w:r>
      <w:r w:rsidR="00921476">
        <w:rPr>
          <w:rFonts w:ascii="Book Antiqua" w:hAnsi="Book Antiqua" w:cs="Arial"/>
          <w:b/>
          <w:sz w:val="24"/>
        </w:rPr>
        <w:t>.</w:t>
      </w:r>
    </w:p>
    <w:p w:rsidR="00813355" w:rsidRDefault="00813355" w:rsidP="007E1D0F">
      <w:pPr>
        <w:pStyle w:val="BodyTextIndent"/>
        <w:jc w:val="both"/>
        <w:rPr>
          <w:rFonts w:ascii="Book Antiqua" w:hAnsi="Book Antiqua" w:cs="Arial"/>
          <w:b/>
          <w:sz w:val="24"/>
        </w:rPr>
      </w:pPr>
    </w:p>
    <w:p w:rsidR="00813355" w:rsidRPr="00DB5024" w:rsidRDefault="00813355" w:rsidP="007E1D0F">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7E1D0F">
      <w:pPr>
        <w:pStyle w:val="BodyTextIndent"/>
        <w:ind w:left="360"/>
        <w:jc w:val="both"/>
        <w:rPr>
          <w:rFonts w:ascii="Book Antiqua" w:hAnsi="Book Antiqua" w:cs="Arial"/>
          <w:sz w:val="24"/>
        </w:rPr>
      </w:pPr>
    </w:p>
    <w:p w:rsidR="00813355" w:rsidRPr="00DB5024" w:rsidRDefault="00813355" w:rsidP="007E1D0F">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7E1D0F">
      <w:pPr>
        <w:pStyle w:val="BodyTextIndent"/>
        <w:ind w:left="360"/>
        <w:jc w:val="both"/>
        <w:rPr>
          <w:rFonts w:ascii="Book Antiqua" w:hAnsi="Book Antiqua" w:cs="Arial"/>
          <w:sz w:val="24"/>
        </w:rPr>
      </w:pPr>
    </w:p>
    <w:p w:rsidR="00813355" w:rsidRDefault="00813355" w:rsidP="007E1D0F">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7E1D0F">
        <w:rPr>
          <w:rFonts w:ascii="Book Antiqua" w:eastAsia="Book Antiqua,Arial" w:hAnsi="Book Antiqua" w:cs="Book Antiqua,Arial"/>
          <w:sz w:val="24"/>
        </w:rPr>
        <w:t>.</w:t>
      </w:r>
    </w:p>
    <w:p w:rsidR="007E1D0F" w:rsidRPr="008E55FE" w:rsidRDefault="007E1D0F" w:rsidP="00813355">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21476">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B95326" w:rsidRPr="00F97703" w:rsidRDefault="00D32B8A" w:rsidP="00B75873">
      <w:pPr>
        <w:pStyle w:val="BodyTextIndent"/>
        <w:ind w:left="0"/>
        <w:rPr>
          <w:rFonts w:ascii="Book Antiqua" w:hAnsi="Book Antiqua" w:cs="Arial"/>
          <w:color w:val="000000"/>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921476">
        <w:rPr>
          <w:rFonts w:ascii="Book Antiqua" w:eastAsia="Arial Unicode MS" w:hAnsi="Arial Unicode MS" w:cs="Arial Unicode MS"/>
          <w:noProof/>
          <w:sz w:val="24"/>
        </w:rPr>
        <w:t>26 June 2018</w:t>
      </w:r>
      <w:r w:rsidRPr="00D32B8A">
        <w:rPr>
          <w:rFonts w:ascii="Book Antiqua" w:hAnsi="Book Antiqua" w:cs="Arial"/>
          <w:sz w:val="24"/>
        </w:rPr>
        <w:fldChar w:fldCharType="end"/>
      </w:r>
      <w:bookmarkEnd w:id="1"/>
    </w:p>
    <w:sectPr w:rsidR="00B95326" w:rsidRPr="00F97703" w:rsidSect="00753669">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1B4" w:rsidRDefault="00C251B4">
      <w:r>
        <w:separator/>
      </w:r>
    </w:p>
  </w:endnote>
  <w:endnote w:type="continuationSeparator" w:id="0">
    <w:p w:rsidR="00C251B4" w:rsidRDefault="00C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476" w:rsidRPr="00753669" w:rsidRDefault="00921476" w:rsidP="00593795">
    <w:pPr>
      <w:pStyle w:val="Footer"/>
      <w:jc w:val="center"/>
      <w:rPr>
        <w:rFonts w:ascii="Book Antiqua" w:hAnsi="Book Antiqua" w:cs="Arial"/>
      </w:rPr>
    </w:pPr>
    <w:r w:rsidRPr="00753669">
      <w:rPr>
        <w:rStyle w:val="PageNumber"/>
        <w:rFonts w:ascii="Book Antiqua" w:hAnsi="Book Antiqua" w:cs="Arial"/>
      </w:rPr>
      <w:fldChar w:fldCharType="begin"/>
    </w:r>
    <w:r w:rsidRPr="00753669">
      <w:rPr>
        <w:rStyle w:val="PageNumber"/>
        <w:rFonts w:ascii="Book Antiqua" w:hAnsi="Book Antiqua" w:cs="Arial"/>
      </w:rPr>
      <w:instrText xml:space="preserve"> PAGE </w:instrText>
    </w:r>
    <w:r w:rsidRPr="00753669">
      <w:rPr>
        <w:rStyle w:val="PageNumber"/>
        <w:rFonts w:ascii="Book Antiqua" w:hAnsi="Book Antiqua" w:cs="Arial"/>
      </w:rPr>
      <w:fldChar w:fldCharType="separate"/>
    </w:r>
    <w:r w:rsidR="00C264B9">
      <w:rPr>
        <w:rStyle w:val="PageNumber"/>
        <w:rFonts w:ascii="Book Antiqua" w:hAnsi="Book Antiqua" w:cs="Arial"/>
        <w:noProof/>
      </w:rPr>
      <w:t>3</w:t>
    </w:r>
    <w:r w:rsidRPr="007536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476" w:rsidRPr="00753669" w:rsidRDefault="00921476" w:rsidP="00090CF9">
    <w:pPr>
      <w:jc w:val="center"/>
      <w:rPr>
        <w:rFonts w:ascii="Book Antiqua" w:hAnsi="Book Antiqua" w:cs="Arial"/>
        <w:b/>
      </w:rPr>
    </w:pPr>
    <w:r w:rsidRPr="00753669">
      <w:rPr>
        <w:rFonts w:ascii="Book Antiqua" w:hAnsi="Book Antiqua" w:cs="Arial"/>
        <w:b/>
        <w:spacing w:val="-6"/>
      </w:rPr>
      <w:t>©</w:t>
    </w:r>
    <w:r w:rsidRPr="0075366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1B4" w:rsidRDefault="00C251B4">
      <w:r>
        <w:separator/>
      </w:r>
    </w:p>
  </w:footnote>
  <w:footnote w:type="continuationSeparator" w:id="0">
    <w:p w:rsidR="00C251B4" w:rsidRDefault="00C25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476" w:rsidRDefault="00921476" w:rsidP="00593795">
    <w:pPr>
      <w:pStyle w:val="Header"/>
      <w:jc w:val="right"/>
      <w:rPr>
        <w:rFonts w:ascii="Book Antiqua" w:hAnsi="Book Antiqua" w:cs="Arial"/>
        <w:sz w:val="16"/>
        <w:szCs w:val="16"/>
      </w:rPr>
    </w:pPr>
    <w:r w:rsidRPr="00753669">
      <w:rPr>
        <w:rFonts w:ascii="Book Antiqua" w:hAnsi="Book Antiqua" w:cs="Arial"/>
        <w:sz w:val="16"/>
        <w:szCs w:val="16"/>
      </w:rPr>
      <w:t xml:space="preserve">Appeal Number: </w:t>
    </w:r>
    <w:r w:rsidR="007E1D0F" w:rsidRPr="00753669">
      <w:rPr>
        <w:rFonts w:ascii="Book Antiqua" w:hAnsi="Book Antiqua" w:cs="Arial"/>
        <w:sz w:val="16"/>
        <w:szCs w:val="16"/>
      </w:rPr>
      <w:t>EA/05007/2016</w:t>
    </w:r>
  </w:p>
  <w:p w:rsidR="00753669" w:rsidRPr="00753669" w:rsidRDefault="00753669"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8BA3D78-F9A8-4FAC-BC90-A00FD97F7445}"/>
    <w:docVar w:name="dgnword-eventsink" w:val="423291536"/>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F2716"/>
    <w:rsid w:val="00207617"/>
    <w:rsid w:val="0023134B"/>
    <w:rsid w:val="00237CDE"/>
    <w:rsid w:val="00243EB4"/>
    <w:rsid w:val="0026015E"/>
    <w:rsid w:val="002667BE"/>
    <w:rsid w:val="00270E13"/>
    <w:rsid w:val="00283659"/>
    <w:rsid w:val="002A225C"/>
    <w:rsid w:val="002B5149"/>
    <w:rsid w:val="002C6BD4"/>
    <w:rsid w:val="002D68BF"/>
    <w:rsid w:val="002F6B98"/>
    <w:rsid w:val="00324B30"/>
    <w:rsid w:val="00336CBF"/>
    <w:rsid w:val="00343FE3"/>
    <w:rsid w:val="003446EF"/>
    <w:rsid w:val="003546C8"/>
    <w:rsid w:val="003A7CF2"/>
    <w:rsid w:val="003C5723"/>
    <w:rsid w:val="003C5CE5"/>
    <w:rsid w:val="003D7835"/>
    <w:rsid w:val="003E267B"/>
    <w:rsid w:val="003E5773"/>
    <w:rsid w:val="003E7CD1"/>
    <w:rsid w:val="00402B9E"/>
    <w:rsid w:val="00402F68"/>
    <w:rsid w:val="00412714"/>
    <w:rsid w:val="00420643"/>
    <w:rsid w:val="00422BF2"/>
    <w:rsid w:val="004249CB"/>
    <w:rsid w:val="0044127D"/>
    <w:rsid w:val="004448DB"/>
    <w:rsid w:val="00446C9A"/>
    <w:rsid w:val="00452F2B"/>
    <w:rsid w:val="00477193"/>
    <w:rsid w:val="004A1848"/>
    <w:rsid w:val="004A6F4A"/>
    <w:rsid w:val="004B0778"/>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03BF"/>
    <w:rsid w:val="005D10AB"/>
    <w:rsid w:val="005E11D7"/>
    <w:rsid w:val="005F1F19"/>
    <w:rsid w:val="00601D8F"/>
    <w:rsid w:val="00611011"/>
    <w:rsid w:val="00611B31"/>
    <w:rsid w:val="00653E97"/>
    <w:rsid w:val="00676204"/>
    <w:rsid w:val="00684A74"/>
    <w:rsid w:val="00690B8A"/>
    <w:rsid w:val="006F2CF1"/>
    <w:rsid w:val="007038ED"/>
    <w:rsid w:val="00703BC3"/>
    <w:rsid w:val="00704B61"/>
    <w:rsid w:val="007334B3"/>
    <w:rsid w:val="00753669"/>
    <w:rsid w:val="007552A9"/>
    <w:rsid w:val="00761858"/>
    <w:rsid w:val="00766D11"/>
    <w:rsid w:val="00767D59"/>
    <w:rsid w:val="00776E97"/>
    <w:rsid w:val="00780F86"/>
    <w:rsid w:val="007912AD"/>
    <w:rsid w:val="007A37E8"/>
    <w:rsid w:val="007B0824"/>
    <w:rsid w:val="007B5D0B"/>
    <w:rsid w:val="007B5D3C"/>
    <w:rsid w:val="007E1D0F"/>
    <w:rsid w:val="0080410F"/>
    <w:rsid w:val="00813355"/>
    <w:rsid w:val="00821B72"/>
    <w:rsid w:val="00823EF2"/>
    <w:rsid w:val="00825708"/>
    <w:rsid w:val="00827E1E"/>
    <w:rsid w:val="008303B8"/>
    <w:rsid w:val="00833DCE"/>
    <w:rsid w:val="00870C49"/>
    <w:rsid w:val="00871D34"/>
    <w:rsid w:val="008B270C"/>
    <w:rsid w:val="008B382D"/>
    <w:rsid w:val="008B5078"/>
    <w:rsid w:val="008C3D3D"/>
    <w:rsid w:val="008D4131"/>
    <w:rsid w:val="008D4567"/>
    <w:rsid w:val="008E55FE"/>
    <w:rsid w:val="008F1932"/>
    <w:rsid w:val="008F2F5B"/>
    <w:rsid w:val="00907F6B"/>
    <w:rsid w:val="00921062"/>
    <w:rsid w:val="00921476"/>
    <w:rsid w:val="00925AB2"/>
    <w:rsid w:val="009722BC"/>
    <w:rsid w:val="009727A3"/>
    <w:rsid w:val="00987774"/>
    <w:rsid w:val="009A11E8"/>
    <w:rsid w:val="009D595D"/>
    <w:rsid w:val="009F5220"/>
    <w:rsid w:val="00A12EDD"/>
    <w:rsid w:val="00A15234"/>
    <w:rsid w:val="00A201AB"/>
    <w:rsid w:val="00A240AA"/>
    <w:rsid w:val="00A253BF"/>
    <w:rsid w:val="00A31C8B"/>
    <w:rsid w:val="00A509FA"/>
    <w:rsid w:val="00A845DC"/>
    <w:rsid w:val="00AA33D4"/>
    <w:rsid w:val="00AE582E"/>
    <w:rsid w:val="00B26AA2"/>
    <w:rsid w:val="00B3524D"/>
    <w:rsid w:val="00B40F69"/>
    <w:rsid w:val="00B414F3"/>
    <w:rsid w:val="00B46616"/>
    <w:rsid w:val="00B467EA"/>
    <w:rsid w:val="00B7040A"/>
    <w:rsid w:val="00B75873"/>
    <w:rsid w:val="00B83391"/>
    <w:rsid w:val="00B95326"/>
    <w:rsid w:val="00BD4196"/>
    <w:rsid w:val="00BE485D"/>
    <w:rsid w:val="00BF22CA"/>
    <w:rsid w:val="00BF23BB"/>
    <w:rsid w:val="00C12F97"/>
    <w:rsid w:val="00C251B4"/>
    <w:rsid w:val="00C26032"/>
    <w:rsid w:val="00C264B9"/>
    <w:rsid w:val="00C345E1"/>
    <w:rsid w:val="00C378FB"/>
    <w:rsid w:val="00C43BFD"/>
    <w:rsid w:val="00C51218"/>
    <w:rsid w:val="00CB6E35"/>
    <w:rsid w:val="00CC197F"/>
    <w:rsid w:val="00CC4DA0"/>
    <w:rsid w:val="00CE1A46"/>
    <w:rsid w:val="00D20757"/>
    <w:rsid w:val="00D22636"/>
    <w:rsid w:val="00D32B8A"/>
    <w:rsid w:val="00D40FD9"/>
    <w:rsid w:val="00D53769"/>
    <w:rsid w:val="00D63887"/>
    <w:rsid w:val="00D77BE4"/>
    <w:rsid w:val="00D85C13"/>
    <w:rsid w:val="00D90E18"/>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22EDA"/>
    <w:rsid w:val="00F77AED"/>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8B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5772</Characters>
  <Application>Microsoft Office Word</Application>
  <DocSecurity>0</DocSecurity>
  <Lines>48</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2018-07-16T16:21:00Z</dcterms:created>
  <dcterms:modified xsi:type="dcterms:W3CDTF">2018-07-16T16:21:00Z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