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22EB0" w14:textId="428FD8A8" w:rsidR="00545B34" w:rsidRDefault="00003E2E" w:rsidP="00B74B3C">
      <w:pPr>
        <w:jc w:val="center"/>
        <w:rPr>
          <w:rFonts w:ascii="Book Antiqua" w:hAnsi="Book Antiqua" w:cs="Arial"/>
          <w:color w:val="000000"/>
        </w:rPr>
      </w:pPr>
      <w:r w:rsidRPr="00E44430">
        <w:rPr>
          <w:noProof/>
        </w:rPr>
        <w:drawing>
          <wp:inline distT="0" distB="0" distL="0" distR="0" wp14:anchorId="358D0B69" wp14:editId="2F93577B">
            <wp:extent cx="1460500" cy="11176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60500" cy="1117600"/>
                    </a:xfrm>
                    <a:prstGeom prst="rect">
                      <a:avLst/>
                    </a:prstGeom>
                    <a:noFill/>
                    <a:ln>
                      <a:noFill/>
                    </a:ln>
                  </pic:spPr>
                </pic:pic>
              </a:graphicData>
            </a:graphic>
          </wp:inline>
        </w:drawing>
      </w:r>
    </w:p>
    <w:p w14:paraId="0936183E" w14:textId="77777777"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14:paraId="7B4CB133" w14:textId="77777777"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007D1336" w:rsidRPr="00106B9E">
        <w:rPr>
          <w:rFonts w:ascii="Book Antiqua" w:hAnsi="Book Antiqua" w:cs="Arial"/>
          <w:b/>
          <w:color w:val="000000"/>
        </w:rPr>
        <w:t xml:space="preserve">Chamber)  </w:t>
      </w:r>
      <w:r w:rsidRPr="00106B9E">
        <w:rPr>
          <w:rFonts w:ascii="Book Antiqua" w:hAnsi="Book Antiqua" w:cs="Arial"/>
          <w:b/>
          <w:color w:val="000000"/>
        </w:rPr>
        <w:t xml:space="preserve"> </w:t>
      </w:r>
      <w:proofErr w:type="gramEnd"/>
      <w:r w:rsidRPr="00106B9E">
        <w:rPr>
          <w:rFonts w:ascii="Book Antiqua" w:hAnsi="Book Antiqua" w:cs="Arial"/>
          <w:b/>
          <w:color w:val="000000"/>
        </w:rPr>
        <w:t xml:space="preserve">                 </w:t>
      </w:r>
      <w:r w:rsidR="0035461C">
        <w:rPr>
          <w:rFonts w:ascii="Book Antiqua" w:hAnsi="Book Antiqua" w:cs="Arial"/>
          <w:b/>
          <w:color w:val="000000"/>
        </w:rPr>
        <w:t xml:space="preserve">   </w:t>
      </w:r>
      <w:r w:rsidRPr="00106B9E">
        <w:rPr>
          <w:rFonts w:ascii="Book Antiqua" w:hAnsi="Book Antiqua" w:cs="Arial"/>
          <w:b/>
          <w:color w:val="000000"/>
        </w:rPr>
        <w:t xml:space="preserve">Appeal Number: </w:t>
      </w:r>
      <w:r w:rsidR="00790C02">
        <w:rPr>
          <w:rFonts w:ascii="Book Antiqua" w:hAnsi="Book Antiqua" w:cs="Arial"/>
          <w:b/>
          <w:color w:val="000000"/>
        </w:rPr>
        <w:t>EA/05274/2017</w:t>
      </w:r>
    </w:p>
    <w:p w14:paraId="4836F7F3" w14:textId="77777777" w:rsidR="00545B34" w:rsidRPr="00106B9E" w:rsidRDefault="00545B34" w:rsidP="005E51FD">
      <w:pPr>
        <w:jc w:val="center"/>
        <w:rPr>
          <w:rFonts w:ascii="Book Antiqua" w:hAnsi="Book Antiqua" w:cs="Arial"/>
          <w:color w:val="000000"/>
        </w:rPr>
      </w:pPr>
    </w:p>
    <w:p w14:paraId="7FD2FA05" w14:textId="77777777"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14:paraId="1B85E104" w14:textId="77777777" w:rsidR="00545B34" w:rsidRPr="00106B9E" w:rsidRDefault="00545B34" w:rsidP="005E51FD">
      <w:pPr>
        <w:jc w:val="center"/>
        <w:rPr>
          <w:rFonts w:ascii="Book Antiqua" w:hAnsi="Book Antiqua" w:cs="Arial"/>
          <w:b/>
          <w:u w:val="single"/>
        </w:rPr>
      </w:pPr>
    </w:p>
    <w:tbl>
      <w:tblPr>
        <w:tblW w:w="10524" w:type="dxa"/>
        <w:tblLook w:val="01E0" w:firstRow="1" w:lastRow="1" w:firstColumn="1" w:lastColumn="1" w:noHBand="0" w:noVBand="0"/>
      </w:tblPr>
      <w:tblGrid>
        <w:gridCol w:w="6273"/>
        <w:gridCol w:w="4251"/>
      </w:tblGrid>
      <w:tr w:rsidR="00545B34" w:rsidRPr="00106B9E" w14:paraId="76DF069E" w14:textId="77777777" w:rsidTr="0035461C">
        <w:trPr>
          <w:trHeight w:val="306"/>
        </w:trPr>
        <w:tc>
          <w:tcPr>
            <w:tcW w:w="6273" w:type="dxa"/>
          </w:tcPr>
          <w:p w14:paraId="7A161923" w14:textId="77777777" w:rsidR="00545B34" w:rsidRPr="00106B9E" w:rsidRDefault="00545B34" w:rsidP="005E51FD">
            <w:pPr>
              <w:jc w:val="both"/>
              <w:rPr>
                <w:rFonts w:ascii="Book Antiqua" w:hAnsi="Book Antiqua" w:cs="Arial"/>
                <w:b/>
              </w:rPr>
            </w:pPr>
            <w:r w:rsidRPr="00106B9E">
              <w:rPr>
                <w:rFonts w:ascii="Book Antiqua" w:hAnsi="Book Antiqua" w:cs="Arial"/>
                <w:b/>
              </w:rPr>
              <w:t xml:space="preserve">Heard at </w:t>
            </w:r>
            <w:r w:rsidR="001372C2" w:rsidRPr="00ED5968">
              <w:rPr>
                <w:rFonts w:ascii="Book Antiqua" w:hAnsi="Book Antiqua" w:cs="Arial"/>
                <w:b/>
              </w:rPr>
              <w:t>Field House</w:t>
            </w:r>
            <w:r w:rsidRPr="00106B9E">
              <w:rPr>
                <w:rFonts w:ascii="Book Antiqua" w:hAnsi="Book Antiqua" w:cs="Arial"/>
                <w:b/>
              </w:rPr>
              <w:t xml:space="preserve">  </w:t>
            </w:r>
          </w:p>
        </w:tc>
        <w:tc>
          <w:tcPr>
            <w:tcW w:w="4251" w:type="dxa"/>
          </w:tcPr>
          <w:p w14:paraId="3CCF46E1" w14:textId="77777777" w:rsidR="00545B34" w:rsidRPr="00106B9E" w:rsidRDefault="00AD1956" w:rsidP="005E51FD">
            <w:pPr>
              <w:jc w:val="both"/>
              <w:rPr>
                <w:rFonts w:ascii="Book Antiqua" w:hAnsi="Book Antiqua" w:cs="Arial"/>
                <w:b/>
                <w:color w:val="000000"/>
              </w:rPr>
            </w:pPr>
            <w:r w:rsidRPr="00106B9E">
              <w:rPr>
                <w:rFonts w:ascii="Book Antiqua" w:hAnsi="Book Antiqua" w:cs="Arial"/>
                <w:b/>
                <w:color w:val="000000"/>
              </w:rPr>
              <w:t>Decision</w:t>
            </w:r>
            <w:r w:rsidR="00545B34" w:rsidRPr="00106B9E">
              <w:rPr>
                <w:rFonts w:ascii="Book Antiqua" w:hAnsi="Book Antiqua" w:cs="Arial"/>
                <w:b/>
                <w:color w:val="000000"/>
              </w:rPr>
              <w:t xml:space="preserve"> Promulgated</w:t>
            </w:r>
          </w:p>
        </w:tc>
      </w:tr>
      <w:tr w:rsidR="00545B34" w:rsidRPr="00106B9E" w14:paraId="2D354C8D" w14:textId="77777777" w:rsidTr="0035461C">
        <w:trPr>
          <w:trHeight w:val="286"/>
        </w:trPr>
        <w:tc>
          <w:tcPr>
            <w:tcW w:w="6273" w:type="dxa"/>
          </w:tcPr>
          <w:p w14:paraId="650DD647" w14:textId="77777777" w:rsidR="00545B34" w:rsidRPr="00106B9E" w:rsidRDefault="00545B34" w:rsidP="005E51FD">
            <w:pPr>
              <w:jc w:val="both"/>
              <w:rPr>
                <w:rFonts w:ascii="Book Antiqua" w:hAnsi="Book Antiqua" w:cs="Arial"/>
                <w:b/>
              </w:rPr>
            </w:pPr>
            <w:r w:rsidRPr="00106B9E">
              <w:rPr>
                <w:rFonts w:ascii="Book Antiqua" w:hAnsi="Book Antiqua" w:cs="Arial"/>
                <w:b/>
              </w:rPr>
              <w:t xml:space="preserve">On </w:t>
            </w:r>
            <w:r w:rsidR="001372C2" w:rsidRPr="0035461C">
              <w:rPr>
                <w:rFonts w:ascii="Book Antiqua" w:hAnsi="Book Antiqua" w:cs="Arial"/>
                <w:b/>
              </w:rPr>
              <w:t>2 July 2018</w:t>
            </w:r>
          </w:p>
        </w:tc>
        <w:tc>
          <w:tcPr>
            <w:tcW w:w="4251" w:type="dxa"/>
          </w:tcPr>
          <w:p w14:paraId="5EE25DCC" w14:textId="77777777" w:rsidR="00545B34" w:rsidRPr="00106B9E" w:rsidRDefault="0035461C" w:rsidP="005E51FD">
            <w:pPr>
              <w:jc w:val="both"/>
              <w:rPr>
                <w:rFonts w:ascii="Book Antiqua" w:hAnsi="Book Antiqua" w:cs="Arial"/>
                <w:b/>
              </w:rPr>
            </w:pPr>
            <w:r w:rsidRPr="0035461C">
              <w:rPr>
                <w:rFonts w:ascii="Book Antiqua" w:hAnsi="Book Antiqua" w:cs="Arial"/>
                <w:b/>
              </w:rPr>
              <w:t>On 10 July 2018</w:t>
            </w:r>
          </w:p>
        </w:tc>
      </w:tr>
      <w:tr w:rsidR="00545B34" w:rsidRPr="00106B9E" w14:paraId="60C4CC37" w14:textId="77777777" w:rsidTr="0035461C">
        <w:trPr>
          <w:trHeight w:val="306"/>
        </w:trPr>
        <w:tc>
          <w:tcPr>
            <w:tcW w:w="6273" w:type="dxa"/>
          </w:tcPr>
          <w:p w14:paraId="70C69735" w14:textId="77777777" w:rsidR="00545B34" w:rsidRPr="00106B9E" w:rsidRDefault="00545B34" w:rsidP="005E51FD">
            <w:pPr>
              <w:jc w:val="both"/>
              <w:rPr>
                <w:rFonts w:ascii="Book Antiqua" w:hAnsi="Book Antiqua" w:cs="Arial"/>
                <w:b/>
              </w:rPr>
            </w:pPr>
          </w:p>
        </w:tc>
        <w:tc>
          <w:tcPr>
            <w:tcW w:w="4251" w:type="dxa"/>
          </w:tcPr>
          <w:p w14:paraId="0DA3D23B" w14:textId="77777777" w:rsidR="00545B34" w:rsidRPr="00106B9E" w:rsidRDefault="00545B34" w:rsidP="005E51FD">
            <w:pPr>
              <w:jc w:val="both"/>
              <w:rPr>
                <w:rFonts w:ascii="Book Antiqua" w:hAnsi="Book Antiqua" w:cs="Arial"/>
                <w:b/>
              </w:rPr>
            </w:pPr>
          </w:p>
        </w:tc>
      </w:tr>
    </w:tbl>
    <w:p w14:paraId="78DB4F51" w14:textId="77777777" w:rsidR="00545B34" w:rsidRPr="00106B9E" w:rsidRDefault="00545B34" w:rsidP="005E51FD">
      <w:pPr>
        <w:jc w:val="center"/>
        <w:rPr>
          <w:rFonts w:ascii="Book Antiqua" w:hAnsi="Book Antiqua" w:cs="Arial"/>
        </w:rPr>
      </w:pPr>
    </w:p>
    <w:p w14:paraId="69D214B4"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14:paraId="3B7128FD" w14:textId="77777777" w:rsidR="00545B34" w:rsidRPr="00CB1B50" w:rsidRDefault="00545B34" w:rsidP="005E51FD">
      <w:pPr>
        <w:jc w:val="center"/>
        <w:rPr>
          <w:rFonts w:ascii="Book Antiqua" w:hAnsi="Book Antiqua" w:cs="Arial"/>
          <w:b/>
        </w:rPr>
      </w:pPr>
    </w:p>
    <w:p w14:paraId="7F3E4574" w14:textId="77777777" w:rsidR="00545B34" w:rsidRPr="00CB1B50" w:rsidRDefault="00545B34" w:rsidP="001372C2">
      <w:pPr>
        <w:outlineLvl w:val="0"/>
        <w:rPr>
          <w:rFonts w:ascii="Book Antiqua" w:hAnsi="Book Antiqua" w:cs="Arial"/>
          <w:b/>
          <w:color w:val="000000"/>
        </w:rPr>
      </w:pPr>
    </w:p>
    <w:p w14:paraId="12FB614A" w14:textId="77777777"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14:paraId="50D007F5" w14:textId="77777777" w:rsidR="00545B34" w:rsidRPr="00CB1B50" w:rsidRDefault="00545B34" w:rsidP="005E51FD">
      <w:pPr>
        <w:jc w:val="center"/>
        <w:rPr>
          <w:rFonts w:ascii="Book Antiqua" w:hAnsi="Book Antiqua" w:cs="Arial"/>
          <w:b/>
          <w:color w:val="000000"/>
        </w:rPr>
      </w:pPr>
    </w:p>
    <w:p w14:paraId="57CE250F"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14:paraId="1A708F3C" w14:textId="77777777" w:rsidR="00545B34" w:rsidRPr="00CB1B50" w:rsidRDefault="00545B34" w:rsidP="005E51FD">
      <w:pPr>
        <w:jc w:val="center"/>
        <w:rPr>
          <w:rFonts w:ascii="Book Antiqua" w:hAnsi="Book Antiqua" w:cs="Arial"/>
          <w:b/>
        </w:rPr>
      </w:pPr>
    </w:p>
    <w:p w14:paraId="6B33C204" w14:textId="77777777" w:rsidR="00545B34" w:rsidRPr="00172259" w:rsidRDefault="00790C02" w:rsidP="005E51FD">
      <w:pPr>
        <w:jc w:val="center"/>
        <w:rPr>
          <w:rFonts w:ascii="Book Antiqua" w:hAnsi="Book Antiqua" w:cs="Arial"/>
          <w:b/>
          <w:color w:val="000000"/>
        </w:rPr>
      </w:pPr>
      <w:r w:rsidRPr="00172259">
        <w:rPr>
          <w:rFonts w:ascii="Book Antiqua" w:hAnsi="Book Antiqua" w:cs="Arial"/>
          <w:b/>
        </w:rPr>
        <w:t>DORAN ANTHONY WARREN</w:t>
      </w:r>
      <w:r w:rsidR="00545B34" w:rsidRPr="00172259">
        <w:rPr>
          <w:rFonts w:ascii="Book Antiqua" w:hAnsi="Book Antiqua" w:cs="Arial"/>
          <w:b/>
          <w:color w:val="000000"/>
        </w:rPr>
        <w:t xml:space="preserve"> </w:t>
      </w:r>
    </w:p>
    <w:p w14:paraId="3BA70FC2" w14:textId="77777777" w:rsidR="00545B34" w:rsidRPr="00ED5968" w:rsidRDefault="00545B34" w:rsidP="005E51FD">
      <w:pPr>
        <w:jc w:val="center"/>
        <w:rPr>
          <w:rFonts w:ascii="Book Antiqua" w:hAnsi="Book Antiqua" w:cs="Arial"/>
          <w:color w:val="000000"/>
        </w:rPr>
      </w:pPr>
      <w:r w:rsidRPr="00ED5968">
        <w:rPr>
          <w:rFonts w:ascii="Book Antiqua" w:hAnsi="Book Antiqua" w:cs="Arial"/>
          <w:color w:val="000000"/>
        </w:rPr>
        <w:t xml:space="preserve">(ANONYMITY </w:t>
      </w:r>
      <w:r w:rsidR="00790C02" w:rsidRPr="00ED5968">
        <w:rPr>
          <w:rFonts w:ascii="Book Antiqua" w:hAnsi="Book Antiqua" w:cs="Arial"/>
          <w:color w:val="000000"/>
        </w:rPr>
        <w:t>DIRECTION NOT MADE</w:t>
      </w:r>
      <w:r w:rsidRPr="00ED5968">
        <w:rPr>
          <w:rFonts w:ascii="Book Antiqua" w:hAnsi="Book Antiqua" w:cs="Arial"/>
          <w:color w:val="000000"/>
        </w:rPr>
        <w:t>)</w:t>
      </w:r>
    </w:p>
    <w:p w14:paraId="13146C82" w14:textId="77777777"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14:paraId="11936157" w14:textId="77777777" w:rsidR="00545B34" w:rsidRPr="00CB1B50" w:rsidRDefault="00545B34" w:rsidP="005E51FD">
      <w:pPr>
        <w:jc w:val="center"/>
        <w:rPr>
          <w:rFonts w:ascii="Book Antiqua" w:hAnsi="Book Antiqua" w:cs="Arial"/>
          <w:b/>
        </w:rPr>
      </w:pPr>
      <w:r w:rsidRPr="00CB1B50">
        <w:rPr>
          <w:rFonts w:ascii="Book Antiqua" w:hAnsi="Book Antiqua" w:cs="Arial"/>
          <w:b/>
        </w:rPr>
        <w:t>and</w:t>
      </w:r>
    </w:p>
    <w:p w14:paraId="5E09FD3A" w14:textId="77777777" w:rsidR="00545B34" w:rsidRPr="00CB1B50" w:rsidRDefault="00545B34" w:rsidP="005E51FD">
      <w:pPr>
        <w:jc w:val="center"/>
        <w:rPr>
          <w:rFonts w:ascii="Book Antiqua" w:hAnsi="Book Antiqua" w:cs="Arial"/>
          <w:b/>
        </w:rPr>
      </w:pPr>
    </w:p>
    <w:p w14:paraId="404483DF"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14:paraId="1D93AE87" w14:textId="77777777"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14:paraId="27534652" w14:textId="77777777" w:rsidR="00ED5968" w:rsidRDefault="00ED5968" w:rsidP="005E51FD">
      <w:pPr>
        <w:outlineLvl w:val="0"/>
        <w:rPr>
          <w:rFonts w:ascii="Book Antiqua" w:hAnsi="Book Antiqua" w:cs="Arial"/>
          <w:b/>
          <w:u w:val="single"/>
        </w:rPr>
      </w:pPr>
    </w:p>
    <w:p w14:paraId="459B4257" w14:textId="215A7BFC"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14:paraId="704CE084" w14:textId="77777777" w:rsidR="00545B34" w:rsidRPr="00520DD6" w:rsidRDefault="00545B34" w:rsidP="005E51FD">
      <w:pPr>
        <w:rPr>
          <w:rFonts w:ascii="Book Antiqua" w:hAnsi="Book Antiqua" w:cs="Arial"/>
        </w:rPr>
      </w:pPr>
    </w:p>
    <w:p w14:paraId="504E0AC8" w14:textId="2595E2ED" w:rsidR="00545B34" w:rsidRPr="00520DD6" w:rsidRDefault="00545B34" w:rsidP="005E51FD">
      <w:pPr>
        <w:tabs>
          <w:tab w:val="left" w:pos="2520"/>
        </w:tabs>
        <w:outlineLvl w:val="0"/>
        <w:rPr>
          <w:rFonts w:ascii="Book Antiqua" w:hAnsi="Book Antiqua" w:cs="Arial"/>
        </w:rPr>
      </w:pPr>
      <w:r w:rsidRPr="00520DD6">
        <w:rPr>
          <w:rFonts w:ascii="Book Antiqua" w:hAnsi="Book Antiqua" w:cs="Arial"/>
        </w:rPr>
        <w:t xml:space="preserve">For the Appellant: </w:t>
      </w:r>
      <w:r w:rsidR="00ED5968">
        <w:rPr>
          <w:rFonts w:ascii="Book Antiqua" w:hAnsi="Book Antiqua" w:cs="Arial"/>
        </w:rPr>
        <w:t xml:space="preserve">      </w:t>
      </w:r>
      <w:r w:rsidR="00B776A3" w:rsidRPr="00520DD6">
        <w:rPr>
          <w:rFonts w:ascii="Book Antiqua" w:hAnsi="Book Antiqua" w:cs="Arial"/>
        </w:rPr>
        <w:t xml:space="preserve">Mr J Karim (counsel) </w:t>
      </w:r>
      <w:r w:rsidR="00790C02" w:rsidRPr="00520DD6">
        <w:rPr>
          <w:rFonts w:ascii="Book Antiqua" w:hAnsi="Book Antiqua" w:cs="Arial"/>
        </w:rPr>
        <w:t>instructed by SLA solicitors</w:t>
      </w:r>
      <w:r w:rsidRPr="00520DD6">
        <w:rPr>
          <w:rFonts w:ascii="Book Antiqua" w:hAnsi="Book Antiqua" w:cs="Arial"/>
        </w:rPr>
        <w:tab/>
      </w:r>
    </w:p>
    <w:p w14:paraId="5D008AF9" w14:textId="0F6A1844" w:rsidR="00545B34" w:rsidRDefault="00545B34" w:rsidP="005E51FD">
      <w:pPr>
        <w:tabs>
          <w:tab w:val="left" w:pos="2520"/>
        </w:tabs>
        <w:rPr>
          <w:rFonts w:ascii="Book Antiqua" w:hAnsi="Book Antiqua" w:cs="Arial"/>
        </w:rPr>
      </w:pPr>
      <w:r w:rsidRPr="00520DD6">
        <w:rPr>
          <w:rFonts w:ascii="Book Antiqua" w:hAnsi="Book Antiqua" w:cs="Arial"/>
        </w:rPr>
        <w:t xml:space="preserve">For the Respondent: </w:t>
      </w:r>
      <w:r w:rsidR="00ED5968">
        <w:rPr>
          <w:rFonts w:ascii="Book Antiqua" w:hAnsi="Book Antiqua" w:cs="Arial"/>
        </w:rPr>
        <w:t xml:space="preserve">   </w:t>
      </w:r>
      <w:r w:rsidR="00B776A3" w:rsidRPr="00520DD6">
        <w:rPr>
          <w:rFonts w:ascii="Book Antiqua" w:hAnsi="Book Antiqua" w:cs="Arial"/>
        </w:rPr>
        <w:t xml:space="preserve">Ms N Willocks-Briscoe, </w:t>
      </w:r>
      <w:r w:rsidR="00790C02" w:rsidRPr="00520DD6">
        <w:rPr>
          <w:rFonts w:ascii="Book Antiqua" w:hAnsi="Book Antiqua" w:cs="Arial"/>
        </w:rPr>
        <w:t>Senior Home Office Presenting Officer</w:t>
      </w:r>
    </w:p>
    <w:p w14:paraId="74319D7D" w14:textId="77777777" w:rsidR="00ED5968" w:rsidRPr="00520DD6" w:rsidRDefault="00ED5968" w:rsidP="005E51FD">
      <w:pPr>
        <w:tabs>
          <w:tab w:val="left" w:pos="2520"/>
        </w:tabs>
        <w:rPr>
          <w:rFonts w:ascii="Book Antiqua" w:hAnsi="Book Antiqua" w:cs="Arial"/>
        </w:rPr>
      </w:pPr>
    </w:p>
    <w:p w14:paraId="5176DEC9" w14:textId="77777777" w:rsidR="00545B34" w:rsidRPr="00520DD6" w:rsidRDefault="00545B34" w:rsidP="00ED5968">
      <w:pPr>
        <w:spacing w:before="240"/>
        <w:jc w:val="center"/>
        <w:rPr>
          <w:rFonts w:ascii="Book Antiqua" w:hAnsi="Book Antiqua" w:cs="Arial"/>
          <w:b/>
          <w:u w:val="single"/>
        </w:rPr>
      </w:pPr>
      <w:r w:rsidRPr="00520DD6">
        <w:rPr>
          <w:rFonts w:ascii="Book Antiqua" w:hAnsi="Book Antiqua" w:cs="Arial"/>
          <w:b/>
          <w:u w:val="single"/>
        </w:rPr>
        <w:t>DE</w:t>
      </w:r>
      <w:r w:rsidR="00755830" w:rsidRPr="00520DD6">
        <w:rPr>
          <w:rFonts w:ascii="Book Antiqua" w:hAnsi="Book Antiqua" w:cs="Arial"/>
          <w:b/>
          <w:u w:val="single"/>
        </w:rPr>
        <w:t>CISION</w:t>
      </w:r>
      <w:r w:rsidRPr="00520DD6">
        <w:rPr>
          <w:rFonts w:ascii="Book Antiqua" w:hAnsi="Book Antiqua" w:cs="Arial"/>
          <w:b/>
          <w:u w:val="single"/>
        </w:rPr>
        <w:t xml:space="preserve"> AND REASONS</w:t>
      </w:r>
    </w:p>
    <w:p w14:paraId="584DB6FC" w14:textId="77777777" w:rsidR="00545B34" w:rsidRPr="00520DD6" w:rsidRDefault="00545B34" w:rsidP="00ED5968">
      <w:pPr>
        <w:spacing w:before="240"/>
        <w:jc w:val="center"/>
        <w:rPr>
          <w:rFonts w:ascii="Book Antiqua" w:hAnsi="Book Antiqua" w:cs="Arial"/>
          <w:u w:val="single"/>
        </w:rPr>
      </w:pPr>
    </w:p>
    <w:p w14:paraId="3871C5F4" w14:textId="77777777" w:rsidR="00545B34" w:rsidRPr="00520DD6" w:rsidRDefault="00790C02" w:rsidP="00790C02">
      <w:pPr>
        <w:jc w:val="both"/>
        <w:rPr>
          <w:rFonts w:ascii="Book Antiqua" w:hAnsi="Book Antiqua" w:cs="Arial"/>
        </w:rPr>
      </w:pPr>
      <w:r w:rsidRPr="00520DD6">
        <w:rPr>
          <w:rFonts w:ascii="Book Antiqua" w:hAnsi="Book Antiqua" w:cs="Arial"/>
        </w:rPr>
        <w:t xml:space="preserve">1. </w:t>
      </w:r>
      <w:r w:rsidR="00545B34" w:rsidRPr="00520DD6">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520DD6">
        <w:rPr>
          <w:rFonts w:ascii="Book Antiqua" w:hAnsi="Book Antiqua" w:cs="Arial"/>
        </w:rPr>
        <w:t xml:space="preserve">consider </w:t>
      </w:r>
      <w:r w:rsidR="00D16669" w:rsidRPr="00520DD6">
        <w:rPr>
          <w:rFonts w:ascii="Book Antiqua" w:hAnsi="Book Antiqua" w:cs="Arial"/>
        </w:rPr>
        <w:t>it</w:t>
      </w:r>
      <w:r w:rsidR="00545B34" w:rsidRPr="00520DD6">
        <w:rPr>
          <w:rFonts w:ascii="Book Antiqua" w:hAnsi="Book Antiqua" w:cs="Arial"/>
        </w:rPr>
        <w:t xml:space="preserve"> necessary to make an anonymity direction.</w:t>
      </w:r>
    </w:p>
    <w:p w14:paraId="7FC3E466" w14:textId="77777777" w:rsidR="00790C02" w:rsidRPr="00520DD6" w:rsidRDefault="00790C02" w:rsidP="00790C02">
      <w:pPr>
        <w:jc w:val="both"/>
        <w:rPr>
          <w:rFonts w:ascii="Book Antiqua" w:hAnsi="Book Antiqua" w:cs="Arial"/>
        </w:rPr>
      </w:pPr>
    </w:p>
    <w:p w14:paraId="191E1731" w14:textId="77777777" w:rsidR="00545B34" w:rsidRPr="00520DD6" w:rsidRDefault="00790C02" w:rsidP="00790C02">
      <w:pPr>
        <w:jc w:val="both"/>
        <w:rPr>
          <w:rFonts w:ascii="Book Antiqua" w:hAnsi="Book Antiqua" w:cs="Arial"/>
        </w:rPr>
      </w:pPr>
      <w:r w:rsidRPr="00520DD6">
        <w:rPr>
          <w:rFonts w:ascii="Book Antiqua" w:hAnsi="Book Antiqua" w:cs="Arial"/>
        </w:rPr>
        <w:t xml:space="preserve">2. </w:t>
      </w:r>
      <w:r w:rsidR="00545B34" w:rsidRPr="00520DD6">
        <w:rPr>
          <w:rFonts w:ascii="Book Antiqua" w:hAnsi="Book Antiqua" w:cs="Arial"/>
        </w:rPr>
        <w:t>This is an appeal by the Appellant against the decision of First-tier Tribunal Judge</w:t>
      </w:r>
      <w:r w:rsidR="00207C3C" w:rsidRPr="00520DD6">
        <w:rPr>
          <w:rFonts w:ascii="Book Antiqua" w:hAnsi="Book Antiqua" w:cs="Arial"/>
        </w:rPr>
        <w:t xml:space="preserve"> </w:t>
      </w:r>
      <w:r w:rsidRPr="00520DD6">
        <w:rPr>
          <w:rFonts w:ascii="Book Antiqua" w:hAnsi="Book Antiqua" w:cs="Arial"/>
        </w:rPr>
        <w:t>Pooler</w:t>
      </w:r>
      <w:r w:rsidR="00545B34" w:rsidRPr="00520DD6">
        <w:rPr>
          <w:rFonts w:ascii="Book Antiqua" w:hAnsi="Book Antiqua" w:cs="Arial"/>
        </w:rPr>
        <w:t xml:space="preserve"> promulgated on</w:t>
      </w:r>
      <w:r w:rsidRPr="00520DD6">
        <w:rPr>
          <w:rFonts w:ascii="Book Antiqua" w:hAnsi="Book Antiqua" w:cs="Arial"/>
        </w:rPr>
        <w:t xml:space="preserve"> 23 February 2018</w:t>
      </w:r>
      <w:r w:rsidR="00545B34" w:rsidRPr="00520DD6">
        <w:rPr>
          <w:rFonts w:ascii="Book Antiqua" w:hAnsi="Book Antiqua" w:cs="Arial"/>
        </w:rPr>
        <w:t>, which dismissed the Appellant’s appeal</w:t>
      </w:r>
      <w:r w:rsidRPr="00520DD6">
        <w:rPr>
          <w:rFonts w:ascii="Book Antiqua" w:hAnsi="Book Antiqua" w:cs="Arial"/>
        </w:rPr>
        <w:t xml:space="preserve"> against the </w:t>
      </w:r>
      <w:r w:rsidR="00172259" w:rsidRPr="00520DD6">
        <w:rPr>
          <w:rFonts w:ascii="Book Antiqua" w:hAnsi="Book Antiqua" w:cs="Arial"/>
        </w:rPr>
        <w:t>respondent’s</w:t>
      </w:r>
      <w:r w:rsidRPr="00520DD6">
        <w:rPr>
          <w:rFonts w:ascii="Book Antiqua" w:hAnsi="Book Antiqua" w:cs="Arial"/>
        </w:rPr>
        <w:t xml:space="preserve"> decision to revoke a permanent residence card. </w:t>
      </w:r>
      <w:r w:rsidR="00545B34" w:rsidRPr="00520DD6">
        <w:rPr>
          <w:rFonts w:ascii="Book Antiqua" w:hAnsi="Book Antiqua" w:cs="Arial"/>
        </w:rPr>
        <w:t xml:space="preserve"> </w:t>
      </w:r>
    </w:p>
    <w:p w14:paraId="326C6946" w14:textId="77777777" w:rsidR="00545B34" w:rsidRPr="00520DD6" w:rsidRDefault="00545B34" w:rsidP="005E51FD">
      <w:pPr>
        <w:jc w:val="both"/>
        <w:rPr>
          <w:rFonts w:ascii="Book Antiqua" w:hAnsi="Book Antiqua" w:cs="Arial"/>
        </w:rPr>
      </w:pPr>
    </w:p>
    <w:p w14:paraId="73BD0C35" w14:textId="77777777" w:rsidR="00ED5968" w:rsidRDefault="00ED5968" w:rsidP="005E51FD">
      <w:pPr>
        <w:jc w:val="both"/>
        <w:rPr>
          <w:rFonts w:ascii="Book Antiqua" w:hAnsi="Book Antiqua" w:cs="Arial"/>
          <w:u w:val="single"/>
        </w:rPr>
      </w:pPr>
    </w:p>
    <w:p w14:paraId="6E840249" w14:textId="77777777" w:rsidR="00ED5968" w:rsidRDefault="00ED5968" w:rsidP="005E51FD">
      <w:pPr>
        <w:jc w:val="both"/>
        <w:rPr>
          <w:rFonts w:ascii="Book Antiqua" w:hAnsi="Book Antiqua" w:cs="Arial"/>
          <w:u w:val="single"/>
        </w:rPr>
      </w:pPr>
    </w:p>
    <w:p w14:paraId="040F7E4C" w14:textId="50552BF4" w:rsidR="00545B34" w:rsidRPr="00520DD6" w:rsidRDefault="00545B34" w:rsidP="005E51FD">
      <w:pPr>
        <w:jc w:val="both"/>
        <w:rPr>
          <w:rFonts w:ascii="Book Antiqua" w:hAnsi="Book Antiqua" w:cs="Arial"/>
          <w:u w:val="single"/>
        </w:rPr>
      </w:pPr>
      <w:r w:rsidRPr="00520DD6">
        <w:rPr>
          <w:rFonts w:ascii="Book Antiqua" w:hAnsi="Book Antiqua" w:cs="Arial"/>
          <w:u w:val="single"/>
        </w:rPr>
        <w:lastRenderedPageBreak/>
        <w:t>Background</w:t>
      </w:r>
    </w:p>
    <w:p w14:paraId="616CD13F" w14:textId="77777777" w:rsidR="00545B34" w:rsidRPr="00520DD6" w:rsidRDefault="00545B34" w:rsidP="005E51FD">
      <w:pPr>
        <w:ind w:left="360"/>
        <w:jc w:val="both"/>
        <w:rPr>
          <w:rFonts w:ascii="Book Antiqua" w:hAnsi="Book Antiqua" w:cs="Arial"/>
        </w:rPr>
      </w:pPr>
    </w:p>
    <w:p w14:paraId="26A43B19" w14:textId="77777777" w:rsidR="00545B34" w:rsidRPr="00520DD6" w:rsidRDefault="00790C02" w:rsidP="00790C02">
      <w:pPr>
        <w:jc w:val="both"/>
        <w:rPr>
          <w:rFonts w:ascii="Book Antiqua" w:hAnsi="Book Antiqua" w:cs="Arial"/>
        </w:rPr>
      </w:pPr>
      <w:r w:rsidRPr="00520DD6">
        <w:rPr>
          <w:rFonts w:ascii="Book Antiqua" w:hAnsi="Book Antiqua" w:cs="Arial"/>
        </w:rPr>
        <w:t xml:space="preserve">3. </w:t>
      </w:r>
      <w:r w:rsidR="00087FA9" w:rsidRPr="00520DD6">
        <w:rPr>
          <w:rFonts w:ascii="Book Antiqua" w:hAnsi="Book Antiqua" w:cs="Arial"/>
        </w:rPr>
        <w:t>The Appellant</w:t>
      </w:r>
      <w:r w:rsidR="00545B34" w:rsidRPr="00520DD6">
        <w:rPr>
          <w:rFonts w:ascii="Book Antiqua" w:hAnsi="Book Antiqua" w:cs="Arial"/>
        </w:rPr>
        <w:t xml:space="preserve"> was born on </w:t>
      </w:r>
      <w:r w:rsidRPr="00520DD6">
        <w:rPr>
          <w:rFonts w:ascii="Book Antiqua" w:hAnsi="Book Antiqua" w:cs="Arial"/>
        </w:rPr>
        <w:t>20 October 1977</w:t>
      </w:r>
      <w:r w:rsidR="00545B34" w:rsidRPr="00520DD6">
        <w:rPr>
          <w:rFonts w:ascii="Book Antiqua" w:hAnsi="Book Antiqua" w:cs="Arial"/>
        </w:rPr>
        <w:t xml:space="preserve"> </w:t>
      </w:r>
      <w:r w:rsidR="00087FA9" w:rsidRPr="00520DD6">
        <w:rPr>
          <w:rFonts w:ascii="Book Antiqua" w:hAnsi="Book Antiqua" w:cs="Arial"/>
        </w:rPr>
        <w:t xml:space="preserve">and is a </w:t>
      </w:r>
      <w:r w:rsidR="00622E11" w:rsidRPr="00520DD6">
        <w:rPr>
          <w:rFonts w:ascii="Book Antiqua" w:hAnsi="Book Antiqua" w:cs="Arial"/>
        </w:rPr>
        <w:t>national</w:t>
      </w:r>
      <w:r w:rsidR="00087FA9" w:rsidRPr="00520DD6">
        <w:rPr>
          <w:rFonts w:ascii="Book Antiqua" w:hAnsi="Book Antiqua" w:cs="Arial"/>
        </w:rPr>
        <w:t xml:space="preserve"> of</w:t>
      </w:r>
      <w:r w:rsidR="00545B34" w:rsidRPr="00520DD6">
        <w:rPr>
          <w:rFonts w:ascii="Book Antiqua" w:hAnsi="Book Antiqua" w:cs="Arial"/>
        </w:rPr>
        <w:t xml:space="preserve"> </w:t>
      </w:r>
      <w:r w:rsidRPr="00520DD6">
        <w:rPr>
          <w:rFonts w:ascii="Book Antiqua" w:hAnsi="Book Antiqua" w:cs="Arial"/>
        </w:rPr>
        <w:t>Jamaica</w:t>
      </w:r>
      <w:r w:rsidR="00545B34" w:rsidRPr="00520DD6">
        <w:rPr>
          <w:rFonts w:ascii="Book Antiqua" w:hAnsi="Book Antiqua" w:cs="Arial"/>
        </w:rPr>
        <w:t>.</w:t>
      </w:r>
      <w:r w:rsidRPr="00520DD6">
        <w:rPr>
          <w:rFonts w:ascii="Book Antiqua" w:hAnsi="Book Antiqua" w:cs="Arial"/>
        </w:rPr>
        <w:t xml:space="preserve"> On 21 May 2017 the respondent revoked a permanent residence card issued to the appellant on 27 April 2016. </w:t>
      </w:r>
    </w:p>
    <w:p w14:paraId="057C066D" w14:textId="77777777" w:rsidR="00545B34" w:rsidRPr="00520DD6" w:rsidRDefault="00545B34" w:rsidP="005E51FD">
      <w:pPr>
        <w:pStyle w:val="ListParagraph"/>
        <w:rPr>
          <w:rFonts w:ascii="Book Antiqua" w:hAnsi="Book Antiqua" w:cs="Arial"/>
        </w:rPr>
      </w:pPr>
    </w:p>
    <w:p w14:paraId="020F3CFF" w14:textId="77777777" w:rsidR="00545B34" w:rsidRPr="00520DD6" w:rsidRDefault="00545B34" w:rsidP="005E51FD">
      <w:pPr>
        <w:jc w:val="both"/>
        <w:rPr>
          <w:rFonts w:ascii="Book Antiqua" w:hAnsi="Book Antiqua" w:cs="Arial"/>
          <w:u w:val="single"/>
        </w:rPr>
      </w:pPr>
      <w:r w:rsidRPr="00520DD6">
        <w:rPr>
          <w:rFonts w:ascii="Book Antiqua" w:hAnsi="Book Antiqua" w:cs="Arial"/>
          <w:u w:val="single"/>
        </w:rPr>
        <w:t>The Judge’s Decision</w:t>
      </w:r>
    </w:p>
    <w:p w14:paraId="1DA3BB5C" w14:textId="77777777" w:rsidR="00790C02" w:rsidRPr="00520DD6" w:rsidRDefault="00790C02" w:rsidP="00790C02">
      <w:pPr>
        <w:jc w:val="both"/>
        <w:rPr>
          <w:rFonts w:ascii="Book Antiqua" w:hAnsi="Book Antiqua" w:cs="Arial"/>
        </w:rPr>
      </w:pPr>
    </w:p>
    <w:p w14:paraId="2D577F28" w14:textId="77777777" w:rsidR="00545B34" w:rsidRPr="00520DD6" w:rsidRDefault="00790C02" w:rsidP="00790C02">
      <w:pPr>
        <w:jc w:val="both"/>
        <w:rPr>
          <w:rFonts w:ascii="Book Antiqua" w:hAnsi="Book Antiqua" w:cs="Arial"/>
          <w:color w:val="000000"/>
        </w:rPr>
      </w:pPr>
      <w:r w:rsidRPr="00520DD6">
        <w:rPr>
          <w:rFonts w:ascii="Book Antiqua" w:hAnsi="Book Antiqua" w:cs="Arial"/>
        </w:rPr>
        <w:t xml:space="preserve">4. </w:t>
      </w:r>
      <w:r w:rsidR="00545B34" w:rsidRPr="00520DD6">
        <w:rPr>
          <w:rFonts w:ascii="Book Antiqua" w:hAnsi="Book Antiqua" w:cs="Arial"/>
        </w:rPr>
        <w:t>The Appellant appealed to the First-tier Tribunal</w:t>
      </w:r>
      <w:r w:rsidR="00850890" w:rsidRPr="00520DD6">
        <w:rPr>
          <w:rFonts w:ascii="Book Antiqua" w:hAnsi="Book Antiqua" w:cs="Arial"/>
        </w:rPr>
        <w:t>.</w:t>
      </w:r>
      <w:r w:rsidR="00545B34" w:rsidRPr="00520DD6">
        <w:rPr>
          <w:rFonts w:ascii="Book Antiqua" w:hAnsi="Book Antiqua" w:cs="Arial"/>
        </w:rPr>
        <w:t xml:space="preserve"> First-tier Tribunal Judge </w:t>
      </w:r>
      <w:r w:rsidRPr="00520DD6">
        <w:rPr>
          <w:rFonts w:ascii="Book Antiqua" w:hAnsi="Book Antiqua" w:cs="Arial"/>
        </w:rPr>
        <w:t>Pooler</w:t>
      </w:r>
      <w:r w:rsidR="00850890" w:rsidRPr="00520DD6">
        <w:rPr>
          <w:rFonts w:ascii="Book Antiqua" w:hAnsi="Book Antiqua" w:cs="Arial"/>
        </w:rPr>
        <w:t xml:space="preserve"> (</w:t>
      </w:r>
      <w:r w:rsidR="00545B34" w:rsidRPr="00520DD6">
        <w:rPr>
          <w:rFonts w:ascii="Book Antiqua" w:hAnsi="Book Antiqua" w:cs="Arial"/>
        </w:rPr>
        <w:t xml:space="preserve">“the Judge”) dismissed the appeal against the Respondent’s decision. Grounds of appeal were lodged and on </w:t>
      </w:r>
      <w:r w:rsidRPr="00520DD6">
        <w:rPr>
          <w:rFonts w:ascii="Book Antiqua" w:hAnsi="Book Antiqua" w:cs="Arial"/>
        </w:rPr>
        <w:t xml:space="preserve">16 April 2018 </w:t>
      </w:r>
      <w:r w:rsidR="00545B34" w:rsidRPr="00520DD6">
        <w:rPr>
          <w:rFonts w:ascii="Book Antiqua" w:hAnsi="Book Antiqua" w:cs="Arial"/>
        </w:rPr>
        <w:t xml:space="preserve">Judge </w:t>
      </w:r>
      <w:r w:rsidRPr="00520DD6">
        <w:rPr>
          <w:rFonts w:ascii="Book Antiqua" w:hAnsi="Book Antiqua" w:cs="Arial"/>
        </w:rPr>
        <w:t>E M Simpson</w:t>
      </w:r>
      <w:r w:rsidR="00545B34" w:rsidRPr="00520DD6">
        <w:rPr>
          <w:rFonts w:ascii="Book Antiqua" w:hAnsi="Book Antiqua" w:cs="Arial"/>
        </w:rPr>
        <w:t xml:space="preserve"> gave </w:t>
      </w:r>
      <w:r w:rsidR="00850890" w:rsidRPr="00520DD6">
        <w:rPr>
          <w:rFonts w:ascii="Book Antiqua" w:hAnsi="Book Antiqua" w:cs="Arial"/>
          <w:color w:val="000000"/>
        </w:rPr>
        <w:t>permission to appeal</w:t>
      </w:r>
      <w:r w:rsidR="00172259" w:rsidRPr="00520DD6">
        <w:rPr>
          <w:rFonts w:ascii="Book Antiqua" w:hAnsi="Book Antiqua" w:cs="Arial"/>
          <w:color w:val="000000"/>
        </w:rPr>
        <w:t>.</w:t>
      </w:r>
    </w:p>
    <w:p w14:paraId="10B5FDFF" w14:textId="77777777" w:rsidR="00790C02" w:rsidRPr="00520DD6" w:rsidRDefault="00790C02" w:rsidP="00790C02">
      <w:pPr>
        <w:jc w:val="both"/>
        <w:rPr>
          <w:rFonts w:ascii="Book Antiqua" w:hAnsi="Book Antiqua" w:cs="Arial"/>
        </w:rPr>
      </w:pPr>
    </w:p>
    <w:p w14:paraId="30DDD8A9" w14:textId="77777777" w:rsidR="00790C02" w:rsidRPr="00520DD6" w:rsidRDefault="00790C02" w:rsidP="00790C02">
      <w:pPr>
        <w:jc w:val="both"/>
        <w:rPr>
          <w:rFonts w:ascii="Book Antiqua" w:hAnsi="Book Antiqua" w:cs="Arial"/>
          <w:u w:val="single"/>
        </w:rPr>
      </w:pPr>
      <w:r w:rsidRPr="00520DD6">
        <w:rPr>
          <w:rFonts w:ascii="Book Antiqua" w:hAnsi="Book Antiqua" w:cs="Arial"/>
          <w:u w:val="single"/>
        </w:rPr>
        <w:t>The Hearing</w:t>
      </w:r>
    </w:p>
    <w:p w14:paraId="49CD87A3" w14:textId="77777777" w:rsidR="00790C02" w:rsidRPr="00520DD6" w:rsidRDefault="00790C02" w:rsidP="00790C02">
      <w:pPr>
        <w:jc w:val="both"/>
        <w:rPr>
          <w:rFonts w:ascii="Book Antiqua" w:hAnsi="Book Antiqua" w:cs="Arial"/>
        </w:rPr>
      </w:pPr>
    </w:p>
    <w:p w14:paraId="6CD9538D" w14:textId="77777777" w:rsidR="00790C02" w:rsidRPr="00520DD6" w:rsidRDefault="00790C02" w:rsidP="00790C02">
      <w:pPr>
        <w:jc w:val="both"/>
        <w:rPr>
          <w:rFonts w:ascii="Book Antiqua" w:hAnsi="Book Antiqua" w:cs="Arial"/>
        </w:rPr>
      </w:pPr>
      <w:r w:rsidRPr="00520DD6">
        <w:rPr>
          <w:rFonts w:ascii="Book Antiqua" w:hAnsi="Book Antiqua" w:cs="Arial"/>
        </w:rPr>
        <w:t>5.</w:t>
      </w:r>
      <w:r w:rsidR="00B776A3" w:rsidRPr="00520DD6">
        <w:rPr>
          <w:rFonts w:ascii="Book Antiqua" w:hAnsi="Book Antiqua" w:cs="Arial"/>
        </w:rPr>
        <w:t xml:space="preserve">(a) </w:t>
      </w:r>
      <w:r w:rsidR="00172259" w:rsidRPr="00520DD6">
        <w:rPr>
          <w:rFonts w:ascii="Book Antiqua" w:hAnsi="Book Antiqua" w:cs="Arial"/>
        </w:rPr>
        <w:t>F</w:t>
      </w:r>
      <w:r w:rsidR="00B776A3" w:rsidRPr="00520DD6">
        <w:rPr>
          <w:rFonts w:ascii="Book Antiqua" w:hAnsi="Book Antiqua" w:cs="Arial"/>
        </w:rPr>
        <w:t xml:space="preserve">or the appellant Mr Karim moved the grounds of appeal. He took me to </w:t>
      </w:r>
      <w:r w:rsidR="00172259" w:rsidRPr="00520DD6">
        <w:rPr>
          <w:rFonts w:ascii="Book Antiqua" w:hAnsi="Book Antiqua" w:cs="Arial"/>
        </w:rPr>
        <w:t>[</w:t>
      </w:r>
      <w:r w:rsidR="00B776A3" w:rsidRPr="00520DD6">
        <w:rPr>
          <w:rFonts w:ascii="Book Antiqua" w:hAnsi="Book Antiqua" w:cs="Arial"/>
        </w:rPr>
        <w:t>21</w:t>
      </w:r>
      <w:r w:rsidR="00172259" w:rsidRPr="00520DD6">
        <w:rPr>
          <w:rFonts w:ascii="Book Antiqua" w:hAnsi="Book Antiqua" w:cs="Arial"/>
        </w:rPr>
        <w:t>]</w:t>
      </w:r>
      <w:r w:rsidR="00B776A3" w:rsidRPr="00520DD6">
        <w:rPr>
          <w:rFonts w:ascii="Book Antiqua" w:hAnsi="Book Antiqua" w:cs="Arial"/>
        </w:rPr>
        <w:t xml:space="preserve"> of the decision and told me that the </w:t>
      </w:r>
      <w:r w:rsidR="00172259" w:rsidRPr="00520DD6">
        <w:rPr>
          <w:rFonts w:ascii="Book Antiqua" w:hAnsi="Book Antiqua" w:cs="Arial"/>
        </w:rPr>
        <w:t>J</w:t>
      </w:r>
      <w:r w:rsidR="00B776A3" w:rsidRPr="00520DD6">
        <w:rPr>
          <w:rFonts w:ascii="Book Antiqua" w:hAnsi="Book Antiqua" w:cs="Arial"/>
        </w:rPr>
        <w:t>udge was wrong to find the</w:t>
      </w:r>
      <w:r w:rsidR="00172259" w:rsidRPr="00520DD6">
        <w:rPr>
          <w:rFonts w:ascii="Book Antiqua" w:hAnsi="Book Antiqua" w:cs="Arial"/>
        </w:rPr>
        <w:t>re</w:t>
      </w:r>
      <w:r w:rsidR="00B776A3" w:rsidRPr="00520DD6">
        <w:rPr>
          <w:rFonts w:ascii="Book Antiqua" w:hAnsi="Book Antiqua" w:cs="Arial"/>
        </w:rPr>
        <w:t xml:space="preserve"> that he need not consider whether the appellant had retained </w:t>
      </w:r>
      <w:r w:rsidR="00172259" w:rsidRPr="00520DD6">
        <w:rPr>
          <w:rFonts w:ascii="Book Antiqua" w:hAnsi="Book Antiqua" w:cs="Arial"/>
        </w:rPr>
        <w:t xml:space="preserve">a </w:t>
      </w:r>
      <w:r w:rsidR="00B776A3" w:rsidRPr="00520DD6">
        <w:rPr>
          <w:rFonts w:ascii="Book Antiqua" w:hAnsi="Book Antiqua" w:cs="Arial"/>
        </w:rPr>
        <w:t xml:space="preserve">right of </w:t>
      </w:r>
      <w:r w:rsidR="00172259" w:rsidRPr="00520DD6">
        <w:rPr>
          <w:rFonts w:ascii="Book Antiqua" w:hAnsi="Book Antiqua" w:cs="Arial"/>
        </w:rPr>
        <w:t>residence</w:t>
      </w:r>
      <w:r w:rsidR="00B776A3" w:rsidRPr="00520DD6">
        <w:rPr>
          <w:rFonts w:ascii="Book Antiqua" w:hAnsi="Book Antiqua" w:cs="Arial"/>
        </w:rPr>
        <w:t xml:space="preserve"> and that the </w:t>
      </w:r>
      <w:r w:rsidR="00172259" w:rsidRPr="00520DD6">
        <w:rPr>
          <w:rFonts w:ascii="Book Antiqua" w:hAnsi="Book Antiqua" w:cs="Arial"/>
        </w:rPr>
        <w:t>J</w:t>
      </w:r>
      <w:r w:rsidR="00B776A3" w:rsidRPr="00520DD6">
        <w:rPr>
          <w:rFonts w:ascii="Book Antiqua" w:hAnsi="Book Antiqua" w:cs="Arial"/>
        </w:rPr>
        <w:t xml:space="preserve">udge should have considered regulation 10(5) of the 2006 regulations, counting back five years from the date of hearing in February 2018. Mr Karim relied </w:t>
      </w:r>
      <w:r w:rsidR="00B776A3" w:rsidRPr="00520DD6">
        <w:rPr>
          <w:rFonts w:ascii="Book Antiqua" w:hAnsi="Book Antiqua" w:cs="Arial"/>
          <w:u w:val="single"/>
        </w:rPr>
        <w:t xml:space="preserve">on </w:t>
      </w:r>
      <w:proofErr w:type="spellStart"/>
      <w:r w:rsidR="00B776A3" w:rsidRPr="00520DD6">
        <w:rPr>
          <w:rFonts w:ascii="Book Antiqua" w:hAnsi="Book Antiqua" w:cs="Arial"/>
          <w:u w:val="single"/>
        </w:rPr>
        <w:t>Samsam</w:t>
      </w:r>
      <w:proofErr w:type="spellEnd"/>
      <w:r w:rsidR="00B776A3" w:rsidRPr="00520DD6">
        <w:rPr>
          <w:rFonts w:ascii="Book Antiqua" w:hAnsi="Book Antiqua" w:cs="Arial"/>
          <w:u w:val="single"/>
        </w:rPr>
        <w:t xml:space="preserve"> (EEA; revocation and retained rights) Syria</w:t>
      </w:r>
      <w:r w:rsidR="00B776A3" w:rsidRPr="00520DD6">
        <w:rPr>
          <w:rFonts w:ascii="Book Antiqua" w:hAnsi="Book Antiqua" w:cs="Arial"/>
        </w:rPr>
        <w:t xml:space="preserve"> [</w:t>
      </w:r>
      <w:proofErr w:type="gramStart"/>
      <w:r w:rsidR="00B776A3" w:rsidRPr="00520DD6">
        <w:rPr>
          <w:rFonts w:ascii="Book Antiqua" w:hAnsi="Book Antiqua" w:cs="Arial"/>
        </w:rPr>
        <w:t>2011]UKUT</w:t>
      </w:r>
      <w:proofErr w:type="gramEnd"/>
      <w:r w:rsidR="00B776A3" w:rsidRPr="00520DD6">
        <w:rPr>
          <w:rFonts w:ascii="Book Antiqua" w:hAnsi="Book Antiqua" w:cs="Arial"/>
        </w:rPr>
        <w:t xml:space="preserve"> 00165(IAC).</w:t>
      </w:r>
    </w:p>
    <w:p w14:paraId="6867322B" w14:textId="77777777" w:rsidR="00B776A3" w:rsidRPr="00520DD6" w:rsidRDefault="00B776A3" w:rsidP="00790C02">
      <w:pPr>
        <w:jc w:val="both"/>
        <w:rPr>
          <w:rFonts w:ascii="Book Antiqua" w:hAnsi="Book Antiqua" w:cs="Arial"/>
        </w:rPr>
      </w:pPr>
    </w:p>
    <w:p w14:paraId="59FC95D4" w14:textId="77777777" w:rsidR="00B776A3" w:rsidRPr="00520DD6" w:rsidRDefault="00B776A3" w:rsidP="00790C02">
      <w:pPr>
        <w:jc w:val="both"/>
        <w:rPr>
          <w:rFonts w:ascii="Book Antiqua" w:hAnsi="Book Antiqua" w:cs="Arial"/>
        </w:rPr>
      </w:pPr>
      <w:r w:rsidRPr="00520DD6">
        <w:rPr>
          <w:rFonts w:ascii="Book Antiqua" w:hAnsi="Book Antiqua" w:cs="Arial"/>
        </w:rPr>
        <w:t xml:space="preserve">(b) Mr Karim told me that the </w:t>
      </w:r>
      <w:r w:rsidR="00172259" w:rsidRPr="00520DD6">
        <w:rPr>
          <w:rFonts w:ascii="Book Antiqua" w:hAnsi="Book Antiqua" w:cs="Arial"/>
        </w:rPr>
        <w:t>J</w:t>
      </w:r>
      <w:r w:rsidRPr="00520DD6">
        <w:rPr>
          <w:rFonts w:ascii="Book Antiqua" w:hAnsi="Book Antiqua" w:cs="Arial"/>
        </w:rPr>
        <w:t>udge was wrong to place reliance on HMRC records. He told me that there is a clear conflict in the evidence</w:t>
      </w:r>
      <w:r w:rsidR="00172259" w:rsidRPr="00520DD6">
        <w:rPr>
          <w:rFonts w:ascii="Book Antiqua" w:hAnsi="Book Antiqua" w:cs="Arial"/>
        </w:rPr>
        <w:t>,</w:t>
      </w:r>
      <w:r w:rsidRPr="00520DD6">
        <w:rPr>
          <w:rFonts w:ascii="Book Antiqua" w:hAnsi="Book Antiqua" w:cs="Arial"/>
        </w:rPr>
        <w:t xml:space="preserve"> which the </w:t>
      </w:r>
      <w:r w:rsidR="00172259" w:rsidRPr="00520DD6">
        <w:rPr>
          <w:rFonts w:ascii="Book Antiqua" w:hAnsi="Book Antiqua" w:cs="Arial"/>
        </w:rPr>
        <w:t>J</w:t>
      </w:r>
      <w:r w:rsidRPr="00520DD6">
        <w:rPr>
          <w:rFonts w:ascii="Book Antiqua" w:hAnsi="Book Antiqua" w:cs="Arial"/>
        </w:rPr>
        <w:t>udge fails to resolve. He told me that the</w:t>
      </w:r>
      <w:r w:rsidR="00172259" w:rsidRPr="00520DD6">
        <w:rPr>
          <w:rFonts w:ascii="Book Antiqua" w:hAnsi="Book Antiqua" w:cs="Arial"/>
        </w:rPr>
        <w:t>re</w:t>
      </w:r>
      <w:r w:rsidRPr="00520DD6">
        <w:rPr>
          <w:rFonts w:ascii="Book Antiqua" w:hAnsi="Book Antiqua" w:cs="Arial"/>
        </w:rPr>
        <w:t xml:space="preserve"> was DWP evidence which showed that the appellant’s ex-wife had not been claiming benefits during the period when HMRC said that she </w:t>
      </w:r>
      <w:r w:rsidR="00172259" w:rsidRPr="00520DD6">
        <w:rPr>
          <w:rFonts w:ascii="Book Antiqua" w:hAnsi="Book Antiqua" w:cs="Arial"/>
        </w:rPr>
        <w:t>had</w:t>
      </w:r>
      <w:r w:rsidRPr="00520DD6">
        <w:rPr>
          <w:rFonts w:ascii="Book Antiqua" w:hAnsi="Book Antiqua" w:cs="Arial"/>
        </w:rPr>
        <w:t xml:space="preserve">. He told me that the </w:t>
      </w:r>
      <w:r w:rsidR="00172259" w:rsidRPr="00520DD6">
        <w:rPr>
          <w:rFonts w:ascii="Book Antiqua" w:hAnsi="Book Antiqua" w:cs="Arial"/>
        </w:rPr>
        <w:t>J</w:t>
      </w:r>
      <w:r w:rsidRPr="00520DD6">
        <w:rPr>
          <w:rFonts w:ascii="Book Antiqua" w:hAnsi="Book Antiqua" w:cs="Arial"/>
        </w:rPr>
        <w:t>udge does not grapple with th</w:t>
      </w:r>
      <w:r w:rsidR="00172259" w:rsidRPr="00520DD6">
        <w:rPr>
          <w:rFonts w:ascii="Book Antiqua" w:hAnsi="Book Antiqua" w:cs="Arial"/>
        </w:rPr>
        <w:t>at</w:t>
      </w:r>
      <w:r w:rsidRPr="00520DD6">
        <w:rPr>
          <w:rFonts w:ascii="Book Antiqua" w:hAnsi="Book Antiqua" w:cs="Arial"/>
        </w:rPr>
        <w:t xml:space="preserve"> inconsistency and fails to resolve it. He told me that the </w:t>
      </w:r>
      <w:r w:rsidR="00172259" w:rsidRPr="00520DD6">
        <w:rPr>
          <w:rFonts w:ascii="Book Antiqua" w:hAnsi="Book Antiqua" w:cs="Arial"/>
        </w:rPr>
        <w:t>J</w:t>
      </w:r>
      <w:r w:rsidRPr="00520DD6">
        <w:rPr>
          <w:rFonts w:ascii="Book Antiqua" w:hAnsi="Book Antiqua" w:cs="Arial"/>
        </w:rPr>
        <w:t>udge gives inadequate reasons for accepting one strand of evidence and implicitly rejecting another.</w:t>
      </w:r>
    </w:p>
    <w:p w14:paraId="4A0CC9AC" w14:textId="77777777" w:rsidR="00B776A3" w:rsidRPr="00520DD6" w:rsidRDefault="00B776A3" w:rsidP="00790C02">
      <w:pPr>
        <w:jc w:val="both"/>
        <w:rPr>
          <w:rFonts w:ascii="Book Antiqua" w:hAnsi="Book Antiqua" w:cs="Arial"/>
        </w:rPr>
      </w:pPr>
    </w:p>
    <w:p w14:paraId="67A19549" w14:textId="77777777" w:rsidR="00B776A3" w:rsidRPr="00520DD6" w:rsidRDefault="00B776A3" w:rsidP="00790C02">
      <w:pPr>
        <w:jc w:val="both"/>
        <w:rPr>
          <w:rFonts w:ascii="Book Antiqua" w:hAnsi="Book Antiqua" w:cs="Arial"/>
        </w:rPr>
      </w:pPr>
      <w:r w:rsidRPr="00520DD6">
        <w:rPr>
          <w:rFonts w:ascii="Book Antiqua" w:hAnsi="Book Antiqua" w:cs="Arial"/>
        </w:rPr>
        <w:t xml:space="preserve">(c) Mr Karim told me that the </w:t>
      </w:r>
      <w:r w:rsidR="00172259" w:rsidRPr="00520DD6">
        <w:rPr>
          <w:rFonts w:ascii="Book Antiqua" w:hAnsi="Book Antiqua" w:cs="Arial"/>
        </w:rPr>
        <w:t>J</w:t>
      </w:r>
      <w:r w:rsidRPr="00520DD6">
        <w:rPr>
          <w:rFonts w:ascii="Book Antiqua" w:hAnsi="Book Antiqua" w:cs="Arial"/>
        </w:rPr>
        <w:t xml:space="preserve">udge rejects the evidence of P60s and gives no consideration </w:t>
      </w:r>
      <w:r w:rsidR="00172259" w:rsidRPr="00520DD6">
        <w:rPr>
          <w:rFonts w:ascii="Book Antiqua" w:hAnsi="Book Antiqua" w:cs="Arial"/>
        </w:rPr>
        <w:t xml:space="preserve">to </w:t>
      </w:r>
      <w:r w:rsidRPr="00520DD6">
        <w:rPr>
          <w:rFonts w:ascii="Book Antiqua" w:hAnsi="Book Antiqua" w:cs="Arial"/>
        </w:rPr>
        <w:t>the crucial passages of the appellant</w:t>
      </w:r>
      <w:r w:rsidR="00172259" w:rsidRPr="00520DD6">
        <w:rPr>
          <w:rFonts w:ascii="Book Antiqua" w:hAnsi="Book Antiqua" w:cs="Arial"/>
        </w:rPr>
        <w:t>’s</w:t>
      </w:r>
      <w:r w:rsidRPr="00520DD6">
        <w:rPr>
          <w:rFonts w:ascii="Book Antiqua" w:hAnsi="Book Antiqua" w:cs="Arial"/>
        </w:rPr>
        <w:t xml:space="preserve"> evidence at all</w:t>
      </w:r>
      <w:r w:rsidR="00172259" w:rsidRPr="00520DD6">
        <w:rPr>
          <w:rFonts w:ascii="Book Antiqua" w:hAnsi="Book Antiqua" w:cs="Arial"/>
        </w:rPr>
        <w:t>;</w:t>
      </w:r>
      <w:r w:rsidRPr="00520DD6">
        <w:rPr>
          <w:rFonts w:ascii="Book Antiqua" w:hAnsi="Book Antiqua" w:cs="Arial"/>
        </w:rPr>
        <w:t xml:space="preserve"> that the </w:t>
      </w:r>
      <w:r w:rsidR="00172259" w:rsidRPr="00520DD6">
        <w:rPr>
          <w:rFonts w:ascii="Book Antiqua" w:hAnsi="Book Antiqua" w:cs="Arial"/>
        </w:rPr>
        <w:t>J</w:t>
      </w:r>
      <w:r w:rsidRPr="00520DD6">
        <w:rPr>
          <w:rFonts w:ascii="Book Antiqua" w:hAnsi="Book Antiqua" w:cs="Arial"/>
        </w:rPr>
        <w:t xml:space="preserve">udge did not make findings in relation to credibility </w:t>
      </w:r>
      <w:r w:rsidR="00172259" w:rsidRPr="00520DD6">
        <w:rPr>
          <w:rFonts w:ascii="Book Antiqua" w:hAnsi="Book Antiqua" w:cs="Arial"/>
        </w:rPr>
        <w:t>nor did he consider</w:t>
      </w:r>
      <w:r w:rsidRPr="00520DD6">
        <w:rPr>
          <w:rFonts w:ascii="Book Antiqua" w:hAnsi="Book Antiqua" w:cs="Arial"/>
        </w:rPr>
        <w:t xml:space="preserve"> </w:t>
      </w:r>
      <w:r w:rsidR="00172259" w:rsidRPr="00520DD6">
        <w:rPr>
          <w:rFonts w:ascii="Book Antiqua" w:hAnsi="Book Antiqua" w:cs="Arial"/>
        </w:rPr>
        <w:t>“</w:t>
      </w:r>
      <w:r w:rsidRPr="00520DD6">
        <w:rPr>
          <w:rFonts w:ascii="Book Antiqua" w:hAnsi="Book Antiqua" w:cs="Arial"/>
        </w:rPr>
        <w:t>innocent explanations</w:t>
      </w:r>
      <w:r w:rsidR="00172259" w:rsidRPr="00520DD6">
        <w:rPr>
          <w:rFonts w:ascii="Book Antiqua" w:hAnsi="Book Antiqua" w:cs="Arial"/>
        </w:rPr>
        <w:t>”</w:t>
      </w:r>
    </w:p>
    <w:p w14:paraId="3CE90E80" w14:textId="77777777" w:rsidR="00B776A3" w:rsidRPr="00520DD6" w:rsidRDefault="00B776A3" w:rsidP="00790C02">
      <w:pPr>
        <w:jc w:val="both"/>
        <w:rPr>
          <w:rFonts w:ascii="Book Antiqua" w:hAnsi="Book Antiqua" w:cs="Arial"/>
        </w:rPr>
      </w:pPr>
    </w:p>
    <w:p w14:paraId="53DE1D70" w14:textId="77777777" w:rsidR="00B776A3" w:rsidRPr="00520DD6" w:rsidRDefault="00B776A3" w:rsidP="00790C02">
      <w:pPr>
        <w:jc w:val="both"/>
        <w:rPr>
          <w:rFonts w:ascii="Book Antiqua" w:hAnsi="Book Antiqua" w:cs="Arial"/>
        </w:rPr>
      </w:pPr>
      <w:r w:rsidRPr="00520DD6">
        <w:rPr>
          <w:rFonts w:ascii="Book Antiqua" w:hAnsi="Book Antiqua" w:cs="Arial"/>
        </w:rPr>
        <w:t xml:space="preserve">(d)  Mr Karim told me that the </w:t>
      </w:r>
      <w:r w:rsidR="00172259" w:rsidRPr="00520DD6">
        <w:rPr>
          <w:rFonts w:ascii="Book Antiqua" w:hAnsi="Book Antiqua" w:cs="Arial"/>
        </w:rPr>
        <w:t>J</w:t>
      </w:r>
      <w:r w:rsidRPr="00520DD6">
        <w:rPr>
          <w:rFonts w:ascii="Book Antiqua" w:hAnsi="Book Antiqua" w:cs="Arial"/>
        </w:rPr>
        <w:t xml:space="preserve">udge did not explore the </w:t>
      </w:r>
      <w:r w:rsidR="00172259" w:rsidRPr="00520DD6">
        <w:rPr>
          <w:rFonts w:ascii="Book Antiqua" w:hAnsi="Book Antiqua" w:cs="Arial"/>
        </w:rPr>
        <w:t>suggestion that the appellant’s ex-wife’s details</w:t>
      </w:r>
      <w:r w:rsidRPr="00520DD6">
        <w:rPr>
          <w:rFonts w:ascii="Book Antiqua" w:hAnsi="Book Antiqua" w:cs="Arial"/>
        </w:rPr>
        <w:t xml:space="preserve"> ha</w:t>
      </w:r>
      <w:r w:rsidR="00172259" w:rsidRPr="00520DD6">
        <w:rPr>
          <w:rFonts w:ascii="Book Antiqua" w:hAnsi="Book Antiqua" w:cs="Arial"/>
        </w:rPr>
        <w:t xml:space="preserve">ve </w:t>
      </w:r>
      <w:r w:rsidRPr="00520DD6">
        <w:rPr>
          <w:rFonts w:ascii="Book Antiqua" w:hAnsi="Book Antiqua" w:cs="Arial"/>
        </w:rPr>
        <w:t xml:space="preserve">been recorded incorrectly by HMRC and failed to take account of the low-level of the appellant’s ex-wife’s income. He told me that the </w:t>
      </w:r>
      <w:r w:rsidR="00172259" w:rsidRPr="00520DD6">
        <w:rPr>
          <w:rFonts w:ascii="Book Antiqua" w:hAnsi="Book Antiqua" w:cs="Arial"/>
        </w:rPr>
        <w:t>J</w:t>
      </w:r>
      <w:r w:rsidRPr="00520DD6">
        <w:rPr>
          <w:rFonts w:ascii="Book Antiqua" w:hAnsi="Book Antiqua" w:cs="Arial"/>
        </w:rPr>
        <w:t xml:space="preserve">udge unquestioningly accepted </w:t>
      </w:r>
      <w:r w:rsidR="00172259" w:rsidRPr="00520DD6">
        <w:rPr>
          <w:rFonts w:ascii="Book Antiqua" w:hAnsi="Book Antiqua" w:cs="Arial"/>
        </w:rPr>
        <w:t>un</w:t>
      </w:r>
      <w:r w:rsidRPr="00520DD6">
        <w:rPr>
          <w:rFonts w:ascii="Book Antiqua" w:hAnsi="Book Antiqua" w:cs="Arial"/>
        </w:rPr>
        <w:t>reliable evidence from HMRC and did not give adequate consideration to reliable evidence which supported the appellant’s claim. He urged me to set the decision aside.</w:t>
      </w:r>
    </w:p>
    <w:p w14:paraId="0B1C42D5" w14:textId="77777777" w:rsidR="00B776A3" w:rsidRPr="00520DD6" w:rsidRDefault="00434782" w:rsidP="00434782">
      <w:pPr>
        <w:tabs>
          <w:tab w:val="left" w:pos="3045"/>
        </w:tabs>
        <w:jc w:val="both"/>
        <w:rPr>
          <w:rFonts w:ascii="Book Antiqua" w:hAnsi="Book Antiqua" w:cs="Arial"/>
        </w:rPr>
      </w:pPr>
      <w:r>
        <w:rPr>
          <w:rFonts w:ascii="Book Antiqua" w:hAnsi="Book Antiqua" w:cs="Arial"/>
        </w:rPr>
        <w:tab/>
      </w:r>
    </w:p>
    <w:p w14:paraId="563CA37E" w14:textId="77777777" w:rsidR="00B776A3" w:rsidRPr="00520DD6" w:rsidRDefault="00B776A3" w:rsidP="00790C02">
      <w:pPr>
        <w:jc w:val="both"/>
        <w:rPr>
          <w:rFonts w:ascii="Book Antiqua" w:hAnsi="Book Antiqua" w:cs="Arial"/>
        </w:rPr>
      </w:pPr>
      <w:r w:rsidRPr="00520DD6">
        <w:rPr>
          <w:rFonts w:ascii="Book Antiqua" w:hAnsi="Book Antiqua" w:cs="Arial"/>
        </w:rPr>
        <w:t>6 (a) Ms Willocks-Briscoe told me that the decision does not contain errors of law</w:t>
      </w:r>
      <w:r w:rsidR="00172259" w:rsidRPr="00520DD6">
        <w:rPr>
          <w:rFonts w:ascii="Book Antiqua" w:hAnsi="Book Antiqua" w:cs="Arial"/>
        </w:rPr>
        <w:t>.</w:t>
      </w:r>
      <w:r w:rsidRPr="00520DD6">
        <w:rPr>
          <w:rFonts w:ascii="Book Antiqua" w:hAnsi="Book Antiqua" w:cs="Arial"/>
        </w:rPr>
        <w:t xml:space="preserve"> </w:t>
      </w:r>
      <w:r w:rsidR="00172259" w:rsidRPr="00520DD6">
        <w:rPr>
          <w:rFonts w:ascii="Book Antiqua" w:hAnsi="Book Antiqua" w:cs="Arial"/>
        </w:rPr>
        <w:t>She</w:t>
      </w:r>
      <w:r w:rsidRPr="00520DD6">
        <w:rPr>
          <w:rFonts w:ascii="Book Antiqua" w:hAnsi="Book Antiqua" w:cs="Arial"/>
        </w:rPr>
        <w:t xml:space="preserve"> told me that the </w:t>
      </w:r>
      <w:r w:rsidR="00172259" w:rsidRPr="00520DD6">
        <w:rPr>
          <w:rFonts w:ascii="Book Antiqua" w:hAnsi="Book Antiqua" w:cs="Arial"/>
        </w:rPr>
        <w:t>J</w:t>
      </w:r>
      <w:r w:rsidRPr="00520DD6">
        <w:rPr>
          <w:rFonts w:ascii="Book Antiqua" w:hAnsi="Book Antiqua" w:cs="Arial"/>
        </w:rPr>
        <w:t xml:space="preserve">udge was entitled to prefer evidence from HMRC to other sources of evidence, and that the weight to be given to strand of evidence was a matter for the </w:t>
      </w:r>
      <w:r w:rsidR="00172259" w:rsidRPr="00520DD6">
        <w:rPr>
          <w:rFonts w:ascii="Book Antiqua" w:hAnsi="Book Antiqua" w:cs="Arial"/>
        </w:rPr>
        <w:t>J</w:t>
      </w:r>
      <w:r w:rsidRPr="00520DD6">
        <w:rPr>
          <w:rFonts w:ascii="Book Antiqua" w:hAnsi="Book Antiqua" w:cs="Arial"/>
        </w:rPr>
        <w:t>udge at first instance. She told me that</w:t>
      </w:r>
      <w:r w:rsidR="00172259" w:rsidRPr="00520DD6">
        <w:rPr>
          <w:rFonts w:ascii="Book Antiqua" w:hAnsi="Book Antiqua" w:cs="Arial"/>
        </w:rPr>
        <w:t xml:space="preserve"> if</w:t>
      </w:r>
      <w:r w:rsidRPr="00520DD6">
        <w:rPr>
          <w:rFonts w:ascii="Book Antiqua" w:hAnsi="Book Antiqua" w:cs="Arial"/>
        </w:rPr>
        <w:t xml:space="preserve"> the </w:t>
      </w:r>
      <w:r w:rsidR="00172259" w:rsidRPr="00520DD6">
        <w:rPr>
          <w:rFonts w:ascii="Book Antiqua" w:hAnsi="Book Antiqua" w:cs="Arial"/>
        </w:rPr>
        <w:t>J</w:t>
      </w:r>
      <w:r w:rsidRPr="00520DD6">
        <w:rPr>
          <w:rFonts w:ascii="Book Antiqua" w:hAnsi="Book Antiqua" w:cs="Arial"/>
        </w:rPr>
        <w:t xml:space="preserve">udge </w:t>
      </w:r>
      <w:r w:rsidR="00172259" w:rsidRPr="00520DD6">
        <w:rPr>
          <w:rFonts w:ascii="Book Antiqua" w:hAnsi="Book Antiqua" w:cs="Arial"/>
        </w:rPr>
        <w:t>had l</w:t>
      </w:r>
      <w:r w:rsidRPr="00520DD6">
        <w:rPr>
          <w:rFonts w:ascii="Book Antiqua" w:hAnsi="Book Antiqua" w:cs="Arial"/>
        </w:rPr>
        <w:t>ook</w:t>
      </w:r>
      <w:r w:rsidR="00172259" w:rsidRPr="00520DD6">
        <w:rPr>
          <w:rFonts w:ascii="Book Antiqua" w:hAnsi="Book Antiqua" w:cs="Arial"/>
        </w:rPr>
        <w:t>ed</w:t>
      </w:r>
      <w:r w:rsidRPr="00520DD6">
        <w:rPr>
          <w:rFonts w:ascii="Book Antiqua" w:hAnsi="Book Antiqua" w:cs="Arial"/>
        </w:rPr>
        <w:t xml:space="preserve"> beyond the </w:t>
      </w:r>
      <w:r w:rsidRPr="00520DD6">
        <w:rPr>
          <w:rFonts w:ascii="Book Antiqua" w:hAnsi="Book Antiqua" w:cs="Arial"/>
        </w:rPr>
        <w:lastRenderedPageBreak/>
        <w:t xml:space="preserve">documentary evidence </w:t>
      </w:r>
      <w:r w:rsidR="00172259" w:rsidRPr="00520DD6">
        <w:rPr>
          <w:rFonts w:ascii="Book Antiqua" w:hAnsi="Book Antiqua" w:cs="Arial"/>
        </w:rPr>
        <w:t xml:space="preserve">he would have entered into </w:t>
      </w:r>
      <w:r w:rsidRPr="00520DD6">
        <w:rPr>
          <w:rFonts w:ascii="Book Antiqua" w:hAnsi="Book Antiqua" w:cs="Arial"/>
        </w:rPr>
        <w:t>speculation, which would</w:t>
      </w:r>
      <w:r w:rsidR="00172259" w:rsidRPr="00520DD6">
        <w:rPr>
          <w:rFonts w:ascii="Book Antiqua" w:hAnsi="Book Antiqua" w:cs="Arial"/>
        </w:rPr>
        <w:t>,</w:t>
      </w:r>
      <w:r w:rsidRPr="00520DD6">
        <w:rPr>
          <w:rFonts w:ascii="Book Antiqua" w:hAnsi="Book Antiqua" w:cs="Arial"/>
        </w:rPr>
        <w:t xml:space="preserve"> of course</w:t>
      </w:r>
      <w:r w:rsidR="00172259" w:rsidRPr="00520DD6">
        <w:rPr>
          <w:rFonts w:ascii="Book Antiqua" w:hAnsi="Book Antiqua" w:cs="Arial"/>
        </w:rPr>
        <w:t>,</w:t>
      </w:r>
      <w:r w:rsidRPr="00520DD6">
        <w:rPr>
          <w:rFonts w:ascii="Book Antiqua" w:hAnsi="Book Antiqua" w:cs="Arial"/>
        </w:rPr>
        <w:t xml:space="preserve"> be</w:t>
      </w:r>
      <w:r w:rsidR="00172259" w:rsidRPr="00520DD6">
        <w:rPr>
          <w:rFonts w:ascii="Book Antiqua" w:hAnsi="Book Antiqua" w:cs="Arial"/>
        </w:rPr>
        <w:t xml:space="preserve"> wrong</w:t>
      </w:r>
      <w:r w:rsidRPr="00520DD6">
        <w:rPr>
          <w:rFonts w:ascii="Book Antiqua" w:hAnsi="Book Antiqua" w:cs="Arial"/>
        </w:rPr>
        <w:t>.</w:t>
      </w:r>
    </w:p>
    <w:p w14:paraId="6F5908DD" w14:textId="77777777" w:rsidR="00B776A3" w:rsidRPr="00520DD6" w:rsidRDefault="00B776A3" w:rsidP="00790C02">
      <w:pPr>
        <w:jc w:val="both"/>
        <w:rPr>
          <w:rFonts w:ascii="Book Antiqua" w:hAnsi="Book Antiqua" w:cs="Arial"/>
        </w:rPr>
      </w:pPr>
    </w:p>
    <w:p w14:paraId="45B5FC4C" w14:textId="77777777" w:rsidR="00B776A3" w:rsidRPr="00520DD6" w:rsidRDefault="00B776A3" w:rsidP="00790C02">
      <w:pPr>
        <w:jc w:val="both"/>
        <w:rPr>
          <w:rFonts w:ascii="Book Antiqua" w:hAnsi="Book Antiqua" w:cs="Arial"/>
        </w:rPr>
      </w:pPr>
      <w:r w:rsidRPr="00520DD6">
        <w:rPr>
          <w:rFonts w:ascii="Book Antiqua" w:hAnsi="Book Antiqua" w:cs="Arial"/>
        </w:rPr>
        <w:t xml:space="preserve">(b) Ms Willocks-Briscoe told me that the HMRC evidence is to be preferred to the DWP evidence because there is </w:t>
      </w:r>
      <w:r w:rsidR="00172259" w:rsidRPr="00520DD6">
        <w:rPr>
          <w:rFonts w:ascii="Book Antiqua" w:hAnsi="Book Antiqua" w:cs="Arial"/>
        </w:rPr>
        <w:t>an</w:t>
      </w:r>
      <w:r w:rsidRPr="00520DD6">
        <w:rPr>
          <w:rFonts w:ascii="Book Antiqua" w:hAnsi="Book Antiqua" w:cs="Arial"/>
        </w:rPr>
        <w:t xml:space="preserve"> error in the DWP evidence (the appellant’s ex-wife’s da</w:t>
      </w:r>
      <w:r w:rsidR="00172259" w:rsidRPr="00520DD6">
        <w:rPr>
          <w:rFonts w:ascii="Book Antiqua" w:hAnsi="Book Antiqua" w:cs="Arial"/>
        </w:rPr>
        <w:t>te of birth is</w:t>
      </w:r>
      <w:r w:rsidRPr="00520DD6">
        <w:rPr>
          <w:rFonts w:ascii="Book Antiqua" w:hAnsi="Book Antiqua" w:cs="Arial"/>
        </w:rPr>
        <w:t xml:space="preserve"> incorrectly recorded). Ms Willocks-Briscoe took me through the documentary evidence and told me that the decision that the </w:t>
      </w:r>
      <w:r w:rsidR="00172259" w:rsidRPr="00520DD6">
        <w:rPr>
          <w:rFonts w:ascii="Book Antiqua" w:hAnsi="Book Antiqua" w:cs="Arial"/>
        </w:rPr>
        <w:t>J</w:t>
      </w:r>
      <w:r w:rsidRPr="00520DD6">
        <w:rPr>
          <w:rFonts w:ascii="Book Antiqua" w:hAnsi="Book Antiqua" w:cs="Arial"/>
        </w:rPr>
        <w:t>udge reach</w:t>
      </w:r>
      <w:r w:rsidR="00172259" w:rsidRPr="00520DD6">
        <w:rPr>
          <w:rFonts w:ascii="Book Antiqua" w:hAnsi="Book Antiqua" w:cs="Arial"/>
        </w:rPr>
        <w:t>ed</w:t>
      </w:r>
      <w:r w:rsidRPr="00520DD6">
        <w:rPr>
          <w:rFonts w:ascii="Book Antiqua" w:hAnsi="Book Antiqua" w:cs="Arial"/>
        </w:rPr>
        <w:t xml:space="preserve"> was well within the range of reasonable decisions available to the </w:t>
      </w:r>
      <w:r w:rsidR="00172259" w:rsidRPr="00520DD6">
        <w:rPr>
          <w:rFonts w:ascii="Book Antiqua" w:hAnsi="Book Antiqua" w:cs="Arial"/>
        </w:rPr>
        <w:t>J</w:t>
      </w:r>
      <w:r w:rsidRPr="00520DD6">
        <w:rPr>
          <w:rFonts w:ascii="Book Antiqua" w:hAnsi="Book Antiqua" w:cs="Arial"/>
        </w:rPr>
        <w:t>udge. She urged me to dismiss the appeal and allow the decision to stand.</w:t>
      </w:r>
    </w:p>
    <w:p w14:paraId="719CCCBE" w14:textId="77777777" w:rsidR="00B776A3" w:rsidRPr="00520DD6" w:rsidRDefault="00B776A3" w:rsidP="00790C02">
      <w:pPr>
        <w:jc w:val="both"/>
        <w:rPr>
          <w:rFonts w:ascii="Book Antiqua" w:hAnsi="Book Antiqua" w:cs="Arial"/>
        </w:rPr>
      </w:pPr>
    </w:p>
    <w:p w14:paraId="27678CC3" w14:textId="77777777" w:rsidR="00B776A3" w:rsidRPr="00520DD6" w:rsidRDefault="00B776A3" w:rsidP="00790C02">
      <w:pPr>
        <w:jc w:val="both"/>
        <w:rPr>
          <w:rFonts w:ascii="Book Antiqua" w:hAnsi="Book Antiqua" w:cs="Arial"/>
          <w:u w:val="single"/>
        </w:rPr>
      </w:pPr>
      <w:r w:rsidRPr="00520DD6">
        <w:rPr>
          <w:rFonts w:ascii="Book Antiqua" w:hAnsi="Book Antiqua" w:cs="Arial"/>
          <w:u w:val="single"/>
        </w:rPr>
        <w:t>Analysis</w:t>
      </w:r>
    </w:p>
    <w:p w14:paraId="4A8FD281" w14:textId="77777777" w:rsidR="00B776A3" w:rsidRPr="00520DD6" w:rsidRDefault="00B776A3" w:rsidP="00790C02">
      <w:pPr>
        <w:jc w:val="both"/>
        <w:rPr>
          <w:rFonts w:ascii="Book Antiqua" w:hAnsi="Book Antiqua" w:cs="Arial"/>
        </w:rPr>
      </w:pPr>
    </w:p>
    <w:p w14:paraId="0A8B8B83" w14:textId="77777777" w:rsidR="003D69CA" w:rsidRPr="00520DD6" w:rsidRDefault="00B776A3" w:rsidP="003D69CA">
      <w:pPr>
        <w:jc w:val="both"/>
        <w:rPr>
          <w:rFonts w:ascii="Book Antiqua" w:hAnsi="Book Antiqua" w:cs="Arial"/>
        </w:rPr>
      </w:pPr>
      <w:r w:rsidRPr="00520DD6">
        <w:rPr>
          <w:rFonts w:ascii="Book Antiqua" w:hAnsi="Book Antiqua" w:cs="Arial"/>
        </w:rPr>
        <w:t xml:space="preserve">7. </w:t>
      </w:r>
      <w:r w:rsidR="003D69CA" w:rsidRPr="00520DD6">
        <w:rPr>
          <w:rFonts w:ascii="Book Antiqua" w:hAnsi="Book Antiqua" w:cs="Arial"/>
        </w:rPr>
        <w:t>I</w:t>
      </w:r>
      <w:r w:rsidR="003D69CA" w:rsidRPr="00520DD6">
        <w:rPr>
          <w:rFonts w:ascii="Book Antiqua" w:hAnsi="Book Antiqua" w:cs="Arial"/>
          <w:bCs/>
        </w:rPr>
        <w:t xml:space="preserve">n </w:t>
      </w:r>
      <w:hyperlink r:id="rId8" w:history="1">
        <w:proofErr w:type="spellStart"/>
        <w:r w:rsidR="003D69CA" w:rsidRPr="00520DD6">
          <w:rPr>
            <w:rStyle w:val="Hyperlink"/>
            <w:rFonts w:ascii="Book Antiqua" w:hAnsi="Book Antiqua" w:cs="Arial"/>
            <w:bCs/>
            <w:color w:val="auto"/>
          </w:rPr>
          <w:t>Samsam</w:t>
        </w:r>
        <w:proofErr w:type="spellEnd"/>
        <w:r w:rsidR="003D69CA" w:rsidRPr="00520DD6">
          <w:rPr>
            <w:rStyle w:val="Hyperlink"/>
            <w:rFonts w:ascii="Book Antiqua" w:hAnsi="Book Antiqua" w:cs="Arial"/>
            <w:bCs/>
            <w:color w:val="auto"/>
          </w:rPr>
          <w:t xml:space="preserve"> (EEA: revocation and retained rights)Syria </w:t>
        </w:r>
        <w:r w:rsidR="003D69CA" w:rsidRPr="00520DD6">
          <w:rPr>
            <w:rStyle w:val="Hyperlink"/>
            <w:rFonts w:ascii="Book Antiqua" w:hAnsi="Book Antiqua" w:cs="Arial"/>
            <w:bCs/>
            <w:color w:val="auto"/>
            <w:u w:val="none"/>
          </w:rPr>
          <w:t>[2011] UKUT 00165 (IAC)</w:t>
        </w:r>
      </w:hyperlink>
      <w:r w:rsidR="003D69CA" w:rsidRPr="00520DD6">
        <w:rPr>
          <w:rFonts w:ascii="Book Antiqua" w:hAnsi="Book Antiqua" w:cs="Arial"/>
          <w:bCs/>
        </w:rPr>
        <w:t xml:space="preserve"> the Tribunal said that r</w:t>
      </w:r>
      <w:r w:rsidR="003D69CA" w:rsidRPr="00520DD6">
        <w:rPr>
          <w:rFonts w:ascii="Book Antiqua" w:hAnsi="Book Antiqua" w:cs="Arial"/>
        </w:rPr>
        <w:t xml:space="preserve">egulation 10 of Immigration (EEA) Regulations 2006 requires the applicant to demonstrate that: a genuine marriage has lasted three years and the couple have spent one year together in the United Kingdom and that the EEA national spouse was exercising treaty rights at the time he ceased to be a family member. </w:t>
      </w:r>
    </w:p>
    <w:p w14:paraId="2673E29B" w14:textId="77777777" w:rsidR="003D69CA" w:rsidRPr="00520DD6" w:rsidRDefault="003D69CA" w:rsidP="003D69CA">
      <w:pPr>
        <w:jc w:val="both"/>
        <w:rPr>
          <w:rFonts w:ascii="Book Antiqua" w:hAnsi="Book Antiqua" w:cs="Arial"/>
        </w:rPr>
      </w:pPr>
    </w:p>
    <w:p w14:paraId="46C908C2" w14:textId="77777777" w:rsidR="003D69CA" w:rsidRPr="00520DD6" w:rsidRDefault="003D69CA" w:rsidP="003D69CA">
      <w:pPr>
        <w:jc w:val="both"/>
        <w:rPr>
          <w:rFonts w:ascii="Book Antiqua" w:hAnsi="Book Antiqua" w:cs="Arial"/>
        </w:rPr>
      </w:pPr>
      <w:r w:rsidRPr="00520DD6">
        <w:rPr>
          <w:rFonts w:ascii="Book Antiqua" w:hAnsi="Book Antiqua" w:cs="Arial"/>
        </w:rPr>
        <w:t>8.</w:t>
      </w:r>
      <w:r w:rsidR="00E4720D" w:rsidRPr="00520DD6">
        <w:rPr>
          <w:rFonts w:ascii="Book Antiqua" w:hAnsi="Book Antiqua" w:cs="Arial"/>
        </w:rPr>
        <w:t xml:space="preserve"> In</w:t>
      </w:r>
      <w:r w:rsidRPr="00520DD6">
        <w:rPr>
          <w:rFonts w:ascii="Book Antiqua" w:hAnsi="Book Antiqua" w:cs="Arial"/>
        </w:rPr>
        <w:t xml:space="preserve"> </w:t>
      </w:r>
      <w:proofErr w:type="spellStart"/>
      <w:r w:rsidRPr="00520DD6">
        <w:rPr>
          <w:rFonts w:ascii="Book Antiqua" w:hAnsi="Book Antiqua" w:cs="Arial"/>
          <w:color w:val="000000"/>
          <w:u w:val="single"/>
        </w:rPr>
        <w:t>Baigazieva</w:t>
      </w:r>
      <w:proofErr w:type="spellEnd"/>
      <w:r w:rsidRPr="00520DD6">
        <w:rPr>
          <w:rFonts w:ascii="Book Antiqua" w:hAnsi="Book Antiqua" w:cs="Arial"/>
          <w:color w:val="000000"/>
          <w:u w:val="single"/>
        </w:rPr>
        <w:t xml:space="preserve"> v SSHD</w:t>
      </w:r>
      <w:r w:rsidRPr="00520DD6">
        <w:rPr>
          <w:rFonts w:ascii="Book Antiqua" w:hAnsi="Book Antiqua" w:cs="Arial"/>
          <w:color w:val="000000"/>
        </w:rPr>
        <w:t xml:space="preserve"> [2018] EWCA </w:t>
      </w:r>
      <w:proofErr w:type="spellStart"/>
      <w:r w:rsidRPr="00520DD6">
        <w:rPr>
          <w:rFonts w:ascii="Book Antiqua" w:hAnsi="Book Antiqua" w:cs="Arial"/>
          <w:color w:val="000000"/>
        </w:rPr>
        <w:t>Civ</w:t>
      </w:r>
      <w:proofErr w:type="spellEnd"/>
      <w:r w:rsidRPr="00520DD6">
        <w:rPr>
          <w:rFonts w:ascii="Book Antiqua" w:hAnsi="Book Antiqua" w:cs="Arial"/>
          <w:color w:val="000000"/>
        </w:rPr>
        <w:t xml:space="preserve"> 1088</w:t>
      </w:r>
      <w:r w:rsidRPr="00520DD6">
        <w:rPr>
          <w:rFonts w:ascii="Book Antiqua" w:hAnsi="Book Antiqua"/>
          <w:b/>
          <w:color w:val="000000"/>
        </w:rPr>
        <w:t xml:space="preserve"> </w:t>
      </w:r>
      <w:r w:rsidRPr="00520DD6">
        <w:rPr>
          <w:rFonts w:ascii="Book Antiqua" w:hAnsi="Book Antiqua" w:cs="Arial"/>
          <w:color w:val="000000"/>
        </w:rPr>
        <w:t xml:space="preserve">the Court of Appeal </w:t>
      </w:r>
      <w:r w:rsidR="00E4720D" w:rsidRPr="00520DD6">
        <w:rPr>
          <w:rFonts w:ascii="Book Antiqua" w:hAnsi="Book Antiqua" w:cs="Arial"/>
          <w:color w:val="000000"/>
        </w:rPr>
        <w:t>(</w:t>
      </w:r>
      <w:r w:rsidRPr="00520DD6">
        <w:rPr>
          <w:rFonts w:ascii="Book Antiqua" w:hAnsi="Book Antiqua" w:cs="Arial"/>
          <w:color w:val="000000"/>
        </w:rPr>
        <w:t>in a judgment after the parties had agreed a consent order</w:t>
      </w:r>
      <w:r w:rsidR="00E4720D" w:rsidRPr="00520DD6">
        <w:rPr>
          <w:rFonts w:ascii="Book Antiqua" w:hAnsi="Book Antiqua" w:cs="Arial"/>
          <w:color w:val="000000"/>
        </w:rPr>
        <w:t>)</w:t>
      </w:r>
      <w:r w:rsidRPr="00520DD6">
        <w:rPr>
          <w:rFonts w:ascii="Book Antiqua" w:hAnsi="Book Antiqua" w:cs="Arial"/>
          <w:color w:val="000000"/>
        </w:rPr>
        <w:t xml:space="preserve"> accepted that in order for the applicant to retain a right of residence at the point of divorce, it was necessary to show that the EEA spouse was a qualified person when divorce proceedings were commenced, but not necessary to show that the EEA spouse exercised treaty rights until decree absolute.</w:t>
      </w:r>
    </w:p>
    <w:p w14:paraId="2961DA03" w14:textId="77777777" w:rsidR="003D69CA" w:rsidRPr="00520DD6" w:rsidRDefault="003D69CA" w:rsidP="003D69CA">
      <w:pPr>
        <w:jc w:val="both"/>
        <w:rPr>
          <w:rFonts w:ascii="Book Antiqua" w:hAnsi="Book Antiqua" w:cs="Arial"/>
        </w:rPr>
      </w:pPr>
    </w:p>
    <w:p w14:paraId="29F56F45" w14:textId="77777777" w:rsidR="00B776A3" w:rsidRPr="00520DD6" w:rsidRDefault="003D69CA" w:rsidP="00790C02">
      <w:pPr>
        <w:jc w:val="both"/>
        <w:rPr>
          <w:rFonts w:ascii="Book Antiqua" w:hAnsi="Book Antiqua" w:cs="Arial"/>
        </w:rPr>
      </w:pPr>
      <w:r w:rsidRPr="00520DD6">
        <w:rPr>
          <w:rFonts w:ascii="Book Antiqua" w:hAnsi="Book Antiqua" w:cs="Arial"/>
        </w:rPr>
        <w:t xml:space="preserve">9. At </w:t>
      </w:r>
      <w:r w:rsidR="00E4720D" w:rsidRPr="00520DD6">
        <w:rPr>
          <w:rFonts w:ascii="Book Antiqua" w:hAnsi="Book Antiqua" w:cs="Arial"/>
        </w:rPr>
        <w:t>[</w:t>
      </w:r>
      <w:r w:rsidRPr="00520DD6">
        <w:rPr>
          <w:rFonts w:ascii="Book Antiqua" w:hAnsi="Book Antiqua" w:cs="Arial"/>
        </w:rPr>
        <w:t>15</w:t>
      </w:r>
      <w:r w:rsidR="00E4720D" w:rsidRPr="00520DD6">
        <w:rPr>
          <w:rFonts w:ascii="Book Antiqua" w:hAnsi="Book Antiqua" w:cs="Arial"/>
        </w:rPr>
        <w:t>]</w:t>
      </w:r>
      <w:r w:rsidRPr="00520DD6">
        <w:rPr>
          <w:rFonts w:ascii="Book Antiqua" w:hAnsi="Book Antiqua" w:cs="Arial"/>
        </w:rPr>
        <w:t xml:space="preserve"> of the decision the </w:t>
      </w:r>
      <w:r w:rsidR="00E4720D" w:rsidRPr="00520DD6">
        <w:rPr>
          <w:rFonts w:ascii="Book Antiqua" w:hAnsi="Book Antiqua" w:cs="Arial"/>
        </w:rPr>
        <w:t>J</w:t>
      </w:r>
      <w:r w:rsidRPr="00520DD6">
        <w:rPr>
          <w:rFonts w:ascii="Book Antiqua" w:hAnsi="Book Antiqua" w:cs="Arial"/>
        </w:rPr>
        <w:t xml:space="preserve">udge quite clearly sets out </w:t>
      </w:r>
      <w:r w:rsidR="00E4720D" w:rsidRPr="00520DD6">
        <w:rPr>
          <w:rFonts w:ascii="Book Antiqua" w:hAnsi="Book Antiqua" w:cs="Arial"/>
        </w:rPr>
        <w:t>where</w:t>
      </w:r>
      <w:r w:rsidRPr="00520DD6">
        <w:rPr>
          <w:rFonts w:ascii="Book Antiqua" w:hAnsi="Book Antiqua" w:cs="Arial"/>
        </w:rPr>
        <w:t xml:space="preserve"> a conflict of evidence lies. On the one hand</w:t>
      </w:r>
      <w:r w:rsidR="00E4720D" w:rsidRPr="00520DD6">
        <w:rPr>
          <w:rFonts w:ascii="Book Antiqua" w:hAnsi="Book Antiqua" w:cs="Arial"/>
        </w:rPr>
        <w:t>,</w:t>
      </w:r>
      <w:r w:rsidRPr="00520DD6">
        <w:rPr>
          <w:rFonts w:ascii="Book Antiqua" w:hAnsi="Book Antiqua" w:cs="Arial"/>
        </w:rPr>
        <w:t xml:space="preserve"> HMRC say that the appellant’s ex-wife claim benefits, on the other</w:t>
      </w:r>
      <w:r w:rsidR="00E4720D" w:rsidRPr="00520DD6">
        <w:rPr>
          <w:rFonts w:ascii="Book Antiqua" w:hAnsi="Book Antiqua" w:cs="Arial"/>
        </w:rPr>
        <w:t>, the</w:t>
      </w:r>
      <w:r w:rsidRPr="00520DD6">
        <w:rPr>
          <w:rFonts w:ascii="Book Antiqua" w:hAnsi="Book Antiqua" w:cs="Arial"/>
        </w:rPr>
        <w:t xml:space="preserve"> DWP said that they have no record of a claim for benefits by the appellant’s ex-wife. The </w:t>
      </w:r>
      <w:r w:rsidR="00E4720D" w:rsidRPr="00520DD6">
        <w:rPr>
          <w:rFonts w:ascii="Book Antiqua" w:hAnsi="Book Antiqua" w:cs="Arial"/>
        </w:rPr>
        <w:t>J</w:t>
      </w:r>
      <w:r w:rsidRPr="00520DD6">
        <w:rPr>
          <w:rFonts w:ascii="Book Antiqua" w:hAnsi="Book Antiqua" w:cs="Arial"/>
        </w:rPr>
        <w:t>udge does</w:t>
      </w:r>
      <w:r w:rsidR="00E4720D" w:rsidRPr="00520DD6">
        <w:rPr>
          <w:rFonts w:ascii="Book Antiqua" w:hAnsi="Book Antiqua" w:cs="Arial"/>
        </w:rPr>
        <w:t xml:space="preserve"> </w:t>
      </w:r>
      <w:r w:rsidRPr="00520DD6">
        <w:rPr>
          <w:rFonts w:ascii="Book Antiqua" w:hAnsi="Book Antiqua" w:cs="Arial"/>
        </w:rPr>
        <w:t>n</w:t>
      </w:r>
      <w:r w:rsidR="00E4720D" w:rsidRPr="00520DD6">
        <w:rPr>
          <w:rFonts w:ascii="Book Antiqua" w:hAnsi="Book Antiqua" w:cs="Arial"/>
        </w:rPr>
        <w:t>o</w:t>
      </w:r>
      <w:r w:rsidRPr="00520DD6">
        <w:rPr>
          <w:rFonts w:ascii="Book Antiqua" w:hAnsi="Book Antiqua" w:cs="Arial"/>
        </w:rPr>
        <w:t>t resolve</w:t>
      </w:r>
      <w:r w:rsidR="00E4720D" w:rsidRPr="00520DD6">
        <w:rPr>
          <w:rFonts w:ascii="Book Antiqua" w:hAnsi="Book Antiqua" w:cs="Arial"/>
        </w:rPr>
        <w:t xml:space="preserve"> the identified</w:t>
      </w:r>
      <w:r w:rsidRPr="00520DD6">
        <w:rPr>
          <w:rFonts w:ascii="Book Antiqua" w:hAnsi="Book Antiqua" w:cs="Arial"/>
        </w:rPr>
        <w:t xml:space="preserve"> conflict</w:t>
      </w:r>
      <w:r w:rsidR="00E4720D" w:rsidRPr="00520DD6">
        <w:rPr>
          <w:rFonts w:ascii="Book Antiqua" w:hAnsi="Book Antiqua" w:cs="Arial"/>
        </w:rPr>
        <w:t xml:space="preserve"> in the</w:t>
      </w:r>
      <w:r w:rsidRPr="00520DD6">
        <w:rPr>
          <w:rFonts w:ascii="Book Antiqua" w:hAnsi="Book Antiqua" w:cs="Arial"/>
        </w:rPr>
        <w:t xml:space="preserve"> evidence. Instead</w:t>
      </w:r>
      <w:r w:rsidR="00E4720D" w:rsidRPr="00520DD6">
        <w:rPr>
          <w:rFonts w:ascii="Book Antiqua" w:hAnsi="Book Antiqua" w:cs="Arial"/>
        </w:rPr>
        <w:t>,</w:t>
      </w:r>
      <w:r w:rsidRPr="00520DD6">
        <w:rPr>
          <w:rFonts w:ascii="Book Antiqua" w:hAnsi="Book Antiqua" w:cs="Arial"/>
        </w:rPr>
        <w:t xml:space="preserve"> at </w:t>
      </w:r>
      <w:r w:rsidR="00E4720D" w:rsidRPr="00520DD6">
        <w:rPr>
          <w:rFonts w:ascii="Book Antiqua" w:hAnsi="Book Antiqua" w:cs="Arial"/>
        </w:rPr>
        <w:t>[</w:t>
      </w:r>
      <w:r w:rsidRPr="00520DD6">
        <w:rPr>
          <w:rFonts w:ascii="Book Antiqua" w:hAnsi="Book Antiqua" w:cs="Arial"/>
        </w:rPr>
        <w:t>16</w:t>
      </w:r>
      <w:r w:rsidR="00E4720D" w:rsidRPr="00520DD6">
        <w:rPr>
          <w:rFonts w:ascii="Book Antiqua" w:hAnsi="Book Antiqua" w:cs="Arial"/>
        </w:rPr>
        <w:t>],</w:t>
      </w:r>
      <w:r w:rsidRPr="00520DD6">
        <w:rPr>
          <w:rFonts w:ascii="Book Antiqua" w:hAnsi="Book Antiqua" w:cs="Arial"/>
        </w:rPr>
        <w:t xml:space="preserve"> he</w:t>
      </w:r>
      <w:r w:rsidR="00E4720D" w:rsidRPr="00520DD6">
        <w:rPr>
          <w:rFonts w:ascii="Book Antiqua" w:hAnsi="Book Antiqua" w:cs="Arial"/>
        </w:rPr>
        <w:t xml:space="preserve"> simply</w:t>
      </w:r>
      <w:r w:rsidRPr="00520DD6">
        <w:rPr>
          <w:rFonts w:ascii="Book Antiqua" w:hAnsi="Book Antiqua" w:cs="Arial"/>
        </w:rPr>
        <w:t xml:space="preserve"> says the appellant’s evidence is undermined by the HMRC evidence. At </w:t>
      </w:r>
      <w:r w:rsidR="00E4720D" w:rsidRPr="00520DD6">
        <w:rPr>
          <w:rFonts w:ascii="Book Antiqua" w:hAnsi="Book Antiqua" w:cs="Arial"/>
        </w:rPr>
        <w:t>[</w:t>
      </w:r>
      <w:r w:rsidRPr="00520DD6">
        <w:rPr>
          <w:rFonts w:ascii="Book Antiqua" w:hAnsi="Book Antiqua" w:cs="Arial"/>
        </w:rPr>
        <w:t>17</w:t>
      </w:r>
      <w:r w:rsidR="00E4720D" w:rsidRPr="00520DD6">
        <w:rPr>
          <w:rFonts w:ascii="Book Antiqua" w:hAnsi="Book Antiqua" w:cs="Arial"/>
        </w:rPr>
        <w:t>]</w:t>
      </w:r>
      <w:r w:rsidRPr="00520DD6">
        <w:rPr>
          <w:rFonts w:ascii="Book Antiqua" w:hAnsi="Book Antiqua" w:cs="Arial"/>
        </w:rPr>
        <w:t xml:space="preserve"> the </w:t>
      </w:r>
      <w:r w:rsidR="00E4720D" w:rsidRPr="00520DD6">
        <w:rPr>
          <w:rFonts w:ascii="Book Antiqua" w:hAnsi="Book Antiqua" w:cs="Arial"/>
        </w:rPr>
        <w:t>J</w:t>
      </w:r>
      <w:r w:rsidRPr="00520DD6">
        <w:rPr>
          <w:rFonts w:ascii="Book Antiqua" w:hAnsi="Book Antiqua" w:cs="Arial"/>
        </w:rPr>
        <w:t>udge says that P60s for the tax year to 2012 are unreliable, but does not say why.</w:t>
      </w:r>
    </w:p>
    <w:p w14:paraId="47BA7D29" w14:textId="77777777" w:rsidR="003D69CA" w:rsidRPr="00520DD6" w:rsidRDefault="003D69CA" w:rsidP="00790C02">
      <w:pPr>
        <w:jc w:val="both"/>
        <w:rPr>
          <w:rFonts w:ascii="Book Antiqua" w:hAnsi="Book Antiqua" w:cs="Arial"/>
        </w:rPr>
      </w:pPr>
    </w:p>
    <w:p w14:paraId="58607897" w14:textId="77777777" w:rsidR="00E4720D" w:rsidRPr="00520DD6" w:rsidRDefault="003D69CA" w:rsidP="00E4720D">
      <w:pPr>
        <w:jc w:val="both"/>
        <w:rPr>
          <w:rFonts w:ascii="Book Antiqua" w:hAnsi="Book Antiqua" w:cs="Arial"/>
          <w:lang w:val="en-US"/>
        </w:rPr>
      </w:pPr>
      <w:r w:rsidRPr="00520DD6">
        <w:rPr>
          <w:rFonts w:ascii="Book Antiqua" w:hAnsi="Book Antiqua" w:cs="Arial"/>
        </w:rPr>
        <w:t xml:space="preserve">10. </w:t>
      </w:r>
      <w:r w:rsidR="00E4720D" w:rsidRPr="00520DD6">
        <w:rPr>
          <w:rFonts w:ascii="Book Antiqua" w:hAnsi="Book Antiqua" w:cs="Arial"/>
          <w:bCs/>
          <w:iCs/>
        </w:rPr>
        <w:t xml:space="preserve">In </w:t>
      </w:r>
      <w:r w:rsidR="00E4720D" w:rsidRPr="00520DD6">
        <w:rPr>
          <w:rFonts w:ascii="Book Antiqua" w:hAnsi="Book Antiqua" w:cs="Arial"/>
          <w:bCs/>
          <w:iCs/>
          <w:u w:val="single"/>
        </w:rPr>
        <w:t>MK (duty to give reasons) Pakistan</w:t>
      </w:r>
      <w:r w:rsidR="00E4720D" w:rsidRPr="00520DD6">
        <w:rPr>
          <w:rFonts w:ascii="Book Antiqua" w:hAnsi="Book Antiqua" w:cs="Arial"/>
          <w:bCs/>
          <w:iCs/>
        </w:rPr>
        <w:t xml:space="preserve"> </w:t>
      </w:r>
      <w:r w:rsidR="00E4720D" w:rsidRPr="00520DD6">
        <w:rPr>
          <w:rFonts w:ascii="Book Antiqua" w:hAnsi="Book Antiqua" w:cs="Arial"/>
          <w:bCs/>
        </w:rPr>
        <w:t>[2013] UKUT 00641 (IAC)</w:t>
      </w:r>
      <w:r w:rsidR="00E4720D" w:rsidRPr="00520DD6">
        <w:rPr>
          <w:rFonts w:ascii="Book Antiqua" w:hAnsi="Book Antiqua" w:cs="Arial"/>
        </w:rPr>
        <w:t>, it was held that (</w:t>
      </w:r>
      <w:proofErr w:type="spellStart"/>
      <w:r w:rsidR="00E4720D" w:rsidRPr="00520DD6">
        <w:rPr>
          <w:rFonts w:ascii="Book Antiqua" w:hAnsi="Book Antiqua" w:cs="Arial"/>
        </w:rPr>
        <w:t>i</w:t>
      </w:r>
      <w:proofErr w:type="spellEnd"/>
      <w:r w:rsidR="00E4720D" w:rsidRPr="00520DD6">
        <w:rPr>
          <w:rFonts w:ascii="Book Antiqua" w:hAnsi="Book Antiqua" w:cs="Arial"/>
        </w:rPr>
        <w:t>) It was axiomatic that a determination disclosed clearly the reasons for a tribunal’s decision. (ii) If a tribunal found oral evidence to be implausible, incredible or unreliable or a document to be worth no weight whatsoever, it was necessary to say so in the determination and for such findings to be supported by reasons. A bare statement that a witness was not believed or that a document was afforded no weight was unlikely to satisfy the requirement to give reasons.</w:t>
      </w:r>
    </w:p>
    <w:p w14:paraId="07FF2BE0" w14:textId="77777777" w:rsidR="003D69CA" w:rsidRPr="00520DD6" w:rsidRDefault="003D69CA" w:rsidP="00790C02">
      <w:pPr>
        <w:jc w:val="both"/>
        <w:rPr>
          <w:rFonts w:ascii="Book Antiqua" w:hAnsi="Book Antiqua" w:cs="Arial"/>
        </w:rPr>
      </w:pPr>
    </w:p>
    <w:p w14:paraId="6342DCE1" w14:textId="77777777" w:rsidR="003D69CA" w:rsidRPr="00520DD6" w:rsidRDefault="003D69CA" w:rsidP="00790C02">
      <w:pPr>
        <w:jc w:val="both"/>
        <w:rPr>
          <w:rFonts w:ascii="Book Antiqua" w:hAnsi="Book Antiqua" w:cs="Arial"/>
        </w:rPr>
      </w:pPr>
      <w:r w:rsidRPr="00520DD6">
        <w:rPr>
          <w:rFonts w:ascii="Book Antiqua" w:hAnsi="Book Antiqua" w:cs="Arial"/>
        </w:rPr>
        <w:t xml:space="preserve">11. At </w:t>
      </w:r>
      <w:r w:rsidR="00E4720D" w:rsidRPr="00520DD6">
        <w:rPr>
          <w:rFonts w:ascii="Book Antiqua" w:hAnsi="Book Antiqua" w:cs="Arial"/>
        </w:rPr>
        <w:t>[</w:t>
      </w:r>
      <w:r w:rsidRPr="00520DD6">
        <w:rPr>
          <w:rFonts w:ascii="Book Antiqua" w:hAnsi="Book Antiqua" w:cs="Arial"/>
        </w:rPr>
        <w:t>21</w:t>
      </w:r>
      <w:r w:rsidR="00E4720D" w:rsidRPr="00520DD6">
        <w:rPr>
          <w:rFonts w:ascii="Book Antiqua" w:hAnsi="Book Antiqua" w:cs="Arial"/>
        </w:rPr>
        <w:t>]</w:t>
      </w:r>
      <w:r w:rsidRPr="00520DD6">
        <w:rPr>
          <w:rFonts w:ascii="Book Antiqua" w:hAnsi="Book Antiqua" w:cs="Arial"/>
        </w:rPr>
        <w:t xml:space="preserve"> the </w:t>
      </w:r>
      <w:r w:rsidR="00E4720D" w:rsidRPr="00520DD6">
        <w:rPr>
          <w:rFonts w:ascii="Book Antiqua" w:hAnsi="Book Antiqua" w:cs="Arial"/>
        </w:rPr>
        <w:t>J</w:t>
      </w:r>
      <w:r w:rsidRPr="00520DD6">
        <w:rPr>
          <w:rFonts w:ascii="Book Antiqua" w:hAnsi="Book Antiqua" w:cs="Arial"/>
        </w:rPr>
        <w:t xml:space="preserve">udge decides that the preceding 20 </w:t>
      </w:r>
      <w:r w:rsidR="00E4720D" w:rsidRPr="00520DD6">
        <w:rPr>
          <w:rFonts w:ascii="Book Antiqua" w:hAnsi="Book Antiqua" w:cs="Arial"/>
        </w:rPr>
        <w:t>paragraphs</w:t>
      </w:r>
      <w:r w:rsidRPr="00520DD6">
        <w:rPr>
          <w:rFonts w:ascii="Book Antiqua" w:hAnsi="Book Antiqua" w:cs="Arial"/>
        </w:rPr>
        <w:t xml:space="preserve"> of the decision are enough. The record of proceedings clearly discloses that submissions were made in relation to regulation 10(5) of the 20</w:t>
      </w:r>
      <w:r w:rsidR="00E4720D" w:rsidRPr="00520DD6">
        <w:rPr>
          <w:rFonts w:ascii="Book Antiqua" w:hAnsi="Book Antiqua" w:cs="Arial"/>
        </w:rPr>
        <w:t>0</w:t>
      </w:r>
      <w:r w:rsidRPr="00520DD6">
        <w:rPr>
          <w:rFonts w:ascii="Book Antiqua" w:hAnsi="Book Antiqua" w:cs="Arial"/>
        </w:rPr>
        <w:t xml:space="preserve">6 regulations, but at </w:t>
      </w:r>
      <w:r w:rsidR="00E4720D" w:rsidRPr="00520DD6">
        <w:rPr>
          <w:rFonts w:ascii="Book Antiqua" w:hAnsi="Book Antiqua" w:cs="Arial"/>
        </w:rPr>
        <w:t>[</w:t>
      </w:r>
      <w:r w:rsidRPr="00520DD6">
        <w:rPr>
          <w:rFonts w:ascii="Book Antiqua" w:hAnsi="Book Antiqua" w:cs="Arial"/>
        </w:rPr>
        <w:t>21</w:t>
      </w:r>
      <w:r w:rsidR="00E4720D" w:rsidRPr="00520DD6">
        <w:rPr>
          <w:rFonts w:ascii="Book Antiqua" w:hAnsi="Book Antiqua" w:cs="Arial"/>
        </w:rPr>
        <w:t>]</w:t>
      </w:r>
      <w:r w:rsidRPr="00520DD6">
        <w:rPr>
          <w:rFonts w:ascii="Book Antiqua" w:hAnsi="Book Antiqua" w:cs="Arial"/>
        </w:rPr>
        <w:t xml:space="preserve"> the </w:t>
      </w:r>
      <w:r w:rsidR="00E4720D" w:rsidRPr="00520DD6">
        <w:rPr>
          <w:rFonts w:ascii="Book Antiqua" w:hAnsi="Book Antiqua" w:cs="Arial"/>
        </w:rPr>
        <w:t>J</w:t>
      </w:r>
      <w:r w:rsidRPr="00520DD6">
        <w:rPr>
          <w:rFonts w:ascii="Book Antiqua" w:hAnsi="Book Antiqua" w:cs="Arial"/>
        </w:rPr>
        <w:t>udge declares</w:t>
      </w:r>
    </w:p>
    <w:p w14:paraId="17209FE6" w14:textId="77777777" w:rsidR="003D69CA" w:rsidRPr="00520DD6" w:rsidRDefault="003D69CA" w:rsidP="00790C02">
      <w:pPr>
        <w:jc w:val="both"/>
        <w:rPr>
          <w:rFonts w:ascii="Book Antiqua" w:hAnsi="Book Antiqua" w:cs="Arial"/>
        </w:rPr>
      </w:pPr>
    </w:p>
    <w:p w14:paraId="59A2ED34" w14:textId="77777777" w:rsidR="003D69CA" w:rsidRPr="00520DD6" w:rsidRDefault="003D69CA" w:rsidP="00E4720D">
      <w:pPr>
        <w:ind w:firstLine="720"/>
        <w:jc w:val="both"/>
        <w:rPr>
          <w:rFonts w:ascii="Book Antiqua" w:hAnsi="Book Antiqua" w:cs="Arial"/>
          <w:sz w:val="22"/>
          <w:szCs w:val="22"/>
        </w:rPr>
      </w:pPr>
      <w:r w:rsidRPr="00520DD6">
        <w:rPr>
          <w:rFonts w:ascii="Book Antiqua" w:hAnsi="Book Antiqua" w:cs="Arial"/>
          <w:sz w:val="22"/>
          <w:szCs w:val="22"/>
        </w:rPr>
        <w:t>That is an issue which I do not have to decide.</w:t>
      </w:r>
    </w:p>
    <w:p w14:paraId="5A72DC00" w14:textId="77777777" w:rsidR="003D69CA" w:rsidRPr="00520DD6" w:rsidRDefault="003D69CA" w:rsidP="00790C02">
      <w:pPr>
        <w:jc w:val="both"/>
        <w:rPr>
          <w:rFonts w:ascii="Book Antiqua" w:hAnsi="Book Antiqua" w:cs="Arial"/>
        </w:rPr>
      </w:pPr>
    </w:p>
    <w:p w14:paraId="036ECC5D" w14:textId="77777777" w:rsidR="003D69CA" w:rsidRPr="00520DD6" w:rsidRDefault="003D69CA" w:rsidP="00790C02">
      <w:pPr>
        <w:jc w:val="both"/>
        <w:rPr>
          <w:rFonts w:ascii="Book Antiqua" w:hAnsi="Book Antiqua" w:cs="Arial"/>
        </w:rPr>
      </w:pPr>
      <w:r w:rsidRPr="00520DD6">
        <w:rPr>
          <w:rFonts w:ascii="Book Antiqua" w:hAnsi="Book Antiqua" w:cs="Arial"/>
        </w:rPr>
        <w:lastRenderedPageBreak/>
        <w:t xml:space="preserve">12. </w:t>
      </w:r>
      <w:r w:rsidR="0028784D" w:rsidRPr="00520DD6">
        <w:rPr>
          <w:rFonts w:ascii="Book Antiqua" w:hAnsi="Book Antiqua" w:cs="Arial"/>
        </w:rPr>
        <w:t xml:space="preserve">Reg 10(5) deals with Family members who have retained a right of </w:t>
      </w:r>
      <w:r w:rsidR="00E4720D" w:rsidRPr="00520DD6">
        <w:rPr>
          <w:rFonts w:ascii="Book Antiqua" w:hAnsi="Book Antiqua" w:cs="Arial"/>
        </w:rPr>
        <w:t>residence</w:t>
      </w:r>
      <w:r w:rsidR="0028784D" w:rsidRPr="00520DD6">
        <w:rPr>
          <w:rFonts w:ascii="Book Antiqua" w:hAnsi="Book Antiqua" w:cs="Arial"/>
        </w:rPr>
        <w:t xml:space="preserve">. It was one of the central issues in the appeal </w:t>
      </w:r>
      <w:r w:rsidR="00E4720D" w:rsidRPr="00520DD6">
        <w:rPr>
          <w:rFonts w:ascii="Book Antiqua" w:hAnsi="Book Antiqua" w:cs="Arial"/>
        </w:rPr>
        <w:t xml:space="preserve">&amp; </w:t>
      </w:r>
      <w:r w:rsidR="0028784D" w:rsidRPr="00520DD6">
        <w:rPr>
          <w:rFonts w:ascii="Book Antiqua" w:hAnsi="Book Antiqua" w:cs="Arial"/>
        </w:rPr>
        <w:t xml:space="preserve">is clearly a matter for the </w:t>
      </w:r>
      <w:r w:rsidR="00E4720D" w:rsidRPr="00520DD6">
        <w:rPr>
          <w:rFonts w:ascii="Book Antiqua" w:hAnsi="Book Antiqua" w:cs="Arial"/>
        </w:rPr>
        <w:t>J</w:t>
      </w:r>
      <w:r w:rsidR="0028784D" w:rsidRPr="00520DD6">
        <w:rPr>
          <w:rFonts w:ascii="Book Antiqua" w:hAnsi="Book Antiqua" w:cs="Arial"/>
        </w:rPr>
        <w:t>udge to decide.</w:t>
      </w:r>
    </w:p>
    <w:p w14:paraId="4CA2AF87" w14:textId="77777777" w:rsidR="00E4720D" w:rsidRPr="00520DD6" w:rsidRDefault="00E4720D" w:rsidP="00790C02">
      <w:pPr>
        <w:jc w:val="both"/>
        <w:rPr>
          <w:rFonts w:ascii="Book Antiqua" w:hAnsi="Book Antiqua" w:cs="Arial"/>
        </w:rPr>
      </w:pPr>
    </w:p>
    <w:p w14:paraId="18349A2C" w14:textId="77777777" w:rsidR="0028784D" w:rsidRPr="00520DD6" w:rsidRDefault="0028784D" w:rsidP="00790C02">
      <w:pPr>
        <w:jc w:val="both"/>
        <w:rPr>
          <w:rFonts w:ascii="Book Antiqua" w:hAnsi="Book Antiqua" w:cs="Arial"/>
        </w:rPr>
      </w:pPr>
      <w:r w:rsidRPr="00520DD6">
        <w:rPr>
          <w:rFonts w:ascii="Book Antiqua" w:hAnsi="Book Antiqua" w:cs="Arial"/>
        </w:rPr>
        <w:t>13. The inadequacy of fact finding and the failure to fully considered the relevant regulations are material errors of law. I set the decision aside.</w:t>
      </w:r>
    </w:p>
    <w:p w14:paraId="350B5271" w14:textId="77777777" w:rsidR="0028784D" w:rsidRPr="00520DD6" w:rsidRDefault="0028784D" w:rsidP="00790C02">
      <w:pPr>
        <w:jc w:val="both"/>
        <w:rPr>
          <w:rFonts w:ascii="Book Antiqua" w:hAnsi="Book Antiqua" w:cs="Arial"/>
        </w:rPr>
      </w:pPr>
    </w:p>
    <w:p w14:paraId="0E668555" w14:textId="77777777" w:rsidR="0028784D" w:rsidRPr="00520DD6" w:rsidRDefault="0028784D" w:rsidP="00790C02">
      <w:pPr>
        <w:jc w:val="both"/>
        <w:rPr>
          <w:rFonts w:ascii="Book Antiqua" w:hAnsi="Book Antiqua" w:cs="Arial"/>
        </w:rPr>
      </w:pPr>
      <w:r w:rsidRPr="00520DD6">
        <w:rPr>
          <w:rFonts w:ascii="Book Antiqua" w:hAnsi="Book Antiqua" w:cs="Arial"/>
        </w:rPr>
        <w:t xml:space="preserve">14. I consider whether I can substitute my own decision but find that I cannot because one of the errors of law relates to failing to resolve </w:t>
      </w:r>
      <w:r w:rsidR="00E4720D" w:rsidRPr="00520DD6">
        <w:rPr>
          <w:rFonts w:ascii="Book Antiqua" w:hAnsi="Book Antiqua" w:cs="Arial"/>
        </w:rPr>
        <w:t>a</w:t>
      </w:r>
      <w:r w:rsidRPr="00520DD6">
        <w:rPr>
          <w:rFonts w:ascii="Book Antiqua" w:hAnsi="Book Antiqua" w:cs="Arial"/>
        </w:rPr>
        <w:t xml:space="preserve"> conflict in the evidence. Further fact-finding is necessary.</w:t>
      </w:r>
    </w:p>
    <w:p w14:paraId="732357AD" w14:textId="77777777" w:rsidR="00227CFB" w:rsidRPr="00520DD6" w:rsidRDefault="00227CFB" w:rsidP="00227CFB">
      <w:pPr>
        <w:spacing w:before="240"/>
        <w:jc w:val="both"/>
        <w:rPr>
          <w:rFonts w:ascii="Book Antiqua" w:hAnsi="Book Antiqua" w:cs="Calibri"/>
          <w:u w:val="single"/>
        </w:rPr>
      </w:pPr>
      <w:r w:rsidRPr="00520DD6">
        <w:rPr>
          <w:rFonts w:ascii="Book Antiqua" w:hAnsi="Book Antiqua" w:cs="Calibri"/>
          <w:u w:val="single"/>
        </w:rPr>
        <w:t>Remittal to First-Tier Tribunal</w:t>
      </w:r>
    </w:p>
    <w:p w14:paraId="2DE7855B" w14:textId="77777777" w:rsidR="00227CFB" w:rsidRPr="00520DD6" w:rsidRDefault="00227CFB" w:rsidP="00227CFB">
      <w:pPr>
        <w:spacing w:before="240"/>
        <w:jc w:val="both"/>
        <w:rPr>
          <w:rFonts w:ascii="Book Antiqua" w:hAnsi="Book Antiqua" w:cs="Calibri"/>
        </w:rPr>
      </w:pPr>
      <w:r w:rsidRPr="00520DD6">
        <w:rPr>
          <w:rFonts w:ascii="Book Antiqua" w:hAnsi="Book Antiqua" w:cs="Calibri"/>
        </w:rPr>
        <w:t>15. Under Part 3 paragraph 7.2(b) of the Upper Tribunal Practice Statement of the 25</w:t>
      </w:r>
      <w:r w:rsidRPr="00520DD6">
        <w:rPr>
          <w:rFonts w:ascii="Book Antiqua" w:hAnsi="Book Antiqua" w:cs="Calibri"/>
          <w:vertAlign w:val="superscript"/>
        </w:rPr>
        <w:t>th</w:t>
      </w:r>
      <w:r w:rsidRPr="00520DD6">
        <w:rPr>
          <w:rFonts w:ascii="Book Antiqua" w:hAnsi="Book Antiqua" w:cs="Calibri"/>
        </w:rPr>
        <w:t xml:space="preserve"> of September 2012 the case may be remitted to the First-tier Tribunal if the Upper Tribunal is satisfied that:</w:t>
      </w:r>
    </w:p>
    <w:p w14:paraId="25F3B121" w14:textId="77777777" w:rsidR="00227CFB" w:rsidRPr="00520DD6" w:rsidRDefault="00227CFB" w:rsidP="00227CFB">
      <w:pPr>
        <w:spacing w:before="240"/>
        <w:ind w:left="360" w:firstLine="60"/>
        <w:jc w:val="both"/>
        <w:rPr>
          <w:rFonts w:ascii="Book Antiqua" w:hAnsi="Book Antiqua" w:cs="Calibri"/>
          <w:color w:val="000000"/>
          <w:sz w:val="22"/>
          <w:szCs w:val="22"/>
          <w:lang w:eastAsia="en-US"/>
        </w:rPr>
      </w:pPr>
      <w:r w:rsidRPr="00520DD6">
        <w:rPr>
          <w:rFonts w:ascii="Book Antiqua" w:hAnsi="Book Antiqua" w:cs="Calibri"/>
          <w:color w:val="000000"/>
          <w:sz w:val="22"/>
          <w:szCs w:val="22"/>
          <w:lang w:eastAsia="en-US"/>
        </w:rPr>
        <w:t xml:space="preserve">(a) the effect of the error has been to deprive a party before the First-tier Tribunal of a fair hearing or other opportunity for that party’s case to be put to and considered by the First-tier Tribunal; or </w:t>
      </w:r>
    </w:p>
    <w:p w14:paraId="10DEF3E4" w14:textId="77777777" w:rsidR="00227CFB" w:rsidRPr="00520DD6" w:rsidRDefault="00227CFB" w:rsidP="00227CFB">
      <w:pPr>
        <w:autoSpaceDE w:val="0"/>
        <w:autoSpaceDN w:val="0"/>
        <w:adjustRightInd w:val="0"/>
        <w:ind w:left="360"/>
        <w:rPr>
          <w:rFonts w:ascii="Book Antiqua" w:hAnsi="Book Antiqua" w:cs="Calibri"/>
          <w:color w:val="000000"/>
          <w:sz w:val="22"/>
          <w:szCs w:val="22"/>
          <w:lang w:eastAsia="en-US"/>
        </w:rPr>
      </w:pPr>
    </w:p>
    <w:p w14:paraId="543F2E72" w14:textId="77777777" w:rsidR="00227CFB" w:rsidRPr="00520DD6" w:rsidRDefault="00227CFB" w:rsidP="00227CFB">
      <w:pPr>
        <w:autoSpaceDE w:val="0"/>
        <w:autoSpaceDN w:val="0"/>
        <w:adjustRightInd w:val="0"/>
        <w:ind w:left="360"/>
        <w:rPr>
          <w:rFonts w:ascii="Book Antiqua" w:hAnsi="Book Antiqua" w:cs="Calibri"/>
          <w:color w:val="000000"/>
          <w:sz w:val="22"/>
          <w:szCs w:val="22"/>
          <w:lang w:eastAsia="en-US"/>
        </w:rPr>
      </w:pPr>
      <w:r w:rsidRPr="00520DD6">
        <w:rPr>
          <w:rFonts w:ascii="Book Antiqua" w:hAnsi="Book Antiqua" w:cs="Calibri"/>
          <w:color w:val="000000"/>
          <w:sz w:val="22"/>
          <w:szCs w:val="22"/>
          <w:lang w:eastAsia="en-US"/>
        </w:rPr>
        <w:t xml:space="preserve">(b) the nature or extent of any judicial fact finding which is necessary in order for the decision in the appeal to be re-made is such that, having regard to the overriding objective in rule 2, it is appropriate to remit the case to the First-tier Tribunal. </w:t>
      </w:r>
    </w:p>
    <w:p w14:paraId="16E5A33C" w14:textId="77777777" w:rsidR="00227CFB" w:rsidRPr="00520DD6" w:rsidRDefault="00227CFB" w:rsidP="00227CFB">
      <w:pPr>
        <w:spacing w:before="240"/>
        <w:jc w:val="both"/>
        <w:rPr>
          <w:rFonts w:ascii="Book Antiqua" w:hAnsi="Book Antiqua" w:cs="Calibri"/>
        </w:rPr>
      </w:pPr>
      <w:r w:rsidRPr="00520DD6">
        <w:rPr>
          <w:rFonts w:ascii="Book Antiqua" w:hAnsi="Book Antiqua" w:cs="Calibri"/>
        </w:rPr>
        <w:t xml:space="preserve">16. In this case I have determined that the case should be remitted because a new fact-finding exercise is required.  None of the findings of fact are to stand and a complete re hearing is necessary. </w:t>
      </w:r>
    </w:p>
    <w:p w14:paraId="02B3E3C8" w14:textId="77777777" w:rsidR="00227CFB" w:rsidRPr="00520DD6" w:rsidRDefault="00227CFB" w:rsidP="00227CFB">
      <w:pPr>
        <w:spacing w:before="240"/>
        <w:jc w:val="both"/>
        <w:rPr>
          <w:rFonts w:ascii="Book Antiqua" w:hAnsi="Book Antiqua" w:cs="Calibri"/>
        </w:rPr>
      </w:pPr>
      <w:r w:rsidRPr="00520DD6">
        <w:rPr>
          <w:rFonts w:ascii="Book Antiqua" w:hAnsi="Book Antiqua" w:cs="Calibri"/>
        </w:rPr>
        <w:t xml:space="preserve">17. I remit the matter to the First-tier Tribunal sitting at </w:t>
      </w:r>
      <w:r w:rsidR="00E35B70" w:rsidRPr="00520DD6">
        <w:rPr>
          <w:rFonts w:ascii="Book Antiqua" w:hAnsi="Book Antiqua" w:cs="Calibri"/>
        </w:rPr>
        <w:t>Birmingham</w:t>
      </w:r>
      <w:r w:rsidRPr="00520DD6">
        <w:rPr>
          <w:rFonts w:ascii="Book Antiqua" w:hAnsi="Book Antiqua" w:cs="Calibri"/>
        </w:rPr>
        <w:t xml:space="preserve"> to be heard before any First-tier Judge other than Judge Pooler. </w:t>
      </w:r>
    </w:p>
    <w:p w14:paraId="4A361EDC" w14:textId="77777777" w:rsidR="00520DD6" w:rsidRDefault="00520DD6" w:rsidP="00227CFB">
      <w:pPr>
        <w:spacing w:before="240"/>
        <w:jc w:val="both"/>
        <w:rPr>
          <w:rFonts w:ascii="Book Antiqua" w:hAnsi="Book Antiqua" w:cs="Calibri"/>
          <w:b/>
        </w:rPr>
      </w:pPr>
    </w:p>
    <w:p w14:paraId="2C22BC11" w14:textId="77777777" w:rsidR="00227CFB" w:rsidRPr="00520DD6" w:rsidRDefault="00227CFB" w:rsidP="00227CFB">
      <w:pPr>
        <w:spacing w:before="240"/>
        <w:jc w:val="both"/>
        <w:rPr>
          <w:rFonts w:ascii="Book Antiqua" w:hAnsi="Book Antiqua" w:cs="Calibri"/>
        </w:rPr>
      </w:pPr>
      <w:r w:rsidRPr="00520DD6">
        <w:rPr>
          <w:rFonts w:ascii="Book Antiqua" w:hAnsi="Book Antiqua" w:cs="Calibri"/>
          <w:b/>
        </w:rPr>
        <w:t>Decision</w:t>
      </w:r>
    </w:p>
    <w:p w14:paraId="4B95940B" w14:textId="77777777" w:rsidR="00227CFB" w:rsidRPr="00520DD6" w:rsidRDefault="00227CFB" w:rsidP="00227CFB">
      <w:pPr>
        <w:spacing w:before="240"/>
        <w:jc w:val="both"/>
        <w:rPr>
          <w:rFonts w:ascii="Book Antiqua" w:hAnsi="Book Antiqua" w:cs="Calibri"/>
          <w:b/>
        </w:rPr>
      </w:pPr>
      <w:r w:rsidRPr="00520DD6">
        <w:rPr>
          <w:rFonts w:ascii="Book Antiqua" w:hAnsi="Book Antiqua" w:cs="Calibri"/>
          <w:b/>
        </w:rPr>
        <w:t>18. The decision of the First-tier Tribunal is tainted by material errors of law.</w:t>
      </w:r>
    </w:p>
    <w:p w14:paraId="445D48DB" w14:textId="7E05CC23" w:rsidR="00227CFB" w:rsidRDefault="00227CFB" w:rsidP="00520DD6">
      <w:pPr>
        <w:spacing w:before="240"/>
        <w:jc w:val="both"/>
        <w:rPr>
          <w:rFonts w:ascii="Book Antiqua" w:hAnsi="Book Antiqua" w:cs="Calibri"/>
          <w:b/>
        </w:rPr>
      </w:pPr>
      <w:r w:rsidRPr="00520DD6">
        <w:rPr>
          <w:rFonts w:ascii="Book Antiqua" w:hAnsi="Book Antiqua" w:cs="Calibri"/>
          <w:b/>
        </w:rPr>
        <w:t>19. I set aside the Judge’s decision promulgated on 23 February</w:t>
      </w:r>
      <w:r w:rsidRPr="00520DD6">
        <w:rPr>
          <w:rFonts w:ascii="Book Antiqua" w:hAnsi="Book Antiqua" w:cs="Arial"/>
          <w:b/>
        </w:rPr>
        <w:t xml:space="preserve"> 2018</w:t>
      </w:r>
      <w:r w:rsidRPr="00520DD6">
        <w:rPr>
          <w:rFonts w:ascii="Book Antiqua" w:hAnsi="Book Antiqua" w:cs="Calibri"/>
          <w:b/>
        </w:rPr>
        <w:t xml:space="preserve">. The appeal is remitted to the First-tier Tribunal to be determined of new. </w:t>
      </w:r>
    </w:p>
    <w:p w14:paraId="49C0D1C0" w14:textId="77777777" w:rsidR="00520DD6" w:rsidRDefault="00520DD6" w:rsidP="00520DD6">
      <w:pPr>
        <w:spacing w:before="240"/>
        <w:jc w:val="both"/>
        <w:rPr>
          <w:rFonts w:ascii="Book Antiqua" w:hAnsi="Book Antiqua" w:cs="Calibri"/>
        </w:rPr>
      </w:pPr>
    </w:p>
    <w:p w14:paraId="053B8493" w14:textId="0999FF40" w:rsidR="00520DD6" w:rsidRPr="00D91937" w:rsidRDefault="00520DD6" w:rsidP="00227CFB">
      <w:pPr>
        <w:tabs>
          <w:tab w:val="left" w:pos="2520"/>
        </w:tabs>
        <w:rPr>
          <w:rFonts w:ascii="Book Antiqua" w:hAnsi="Book Antiqua" w:cs="Calibri"/>
        </w:rPr>
      </w:pPr>
    </w:p>
    <w:p w14:paraId="5759BC5D" w14:textId="34FEE538" w:rsidR="00227CFB" w:rsidRPr="00D91937" w:rsidRDefault="00C53BFD" w:rsidP="00227CFB">
      <w:pPr>
        <w:tabs>
          <w:tab w:val="left" w:pos="2520"/>
        </w:tabs>
        <w:rPr>
          <w:rFonts w:ascii="Book Antiqua" w:hAnsi="Book Antiqua" w:cs="Calibri"/>
        </w:rPr>
      </w:pPr>
      <w:r>
        <w:rPr>
          <w:noProof/>
        </w:rPr>
        <w:drawing>
          <wp:anchor distT="0" distB="0" distL="114300" distR="114300" simplePos="0" relativeHeight="251659264" behindDoc="0" locked="0" layoutInCell="1" allowOverlap="0" wp14:anchorId="37922ACE" wp14:editId="71560965">
            <wp:simplePos x="0" y="0"/>
            <wp:positionH relativeFrom="margin">
              <wp:align>left</wp:align>
            </wp:positionH>
            <wp:positionV relativeFrom="margin">
              <wp:posOffset>7808595</wp:posOffset>
            </wp:positionV>
            <wp:extent cx="2867025" cy="971550"/>
            <wp:effectExtent l="0" t="0" r="9525"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7CFB" w:rsidRPr="00D91937">
        <w:rPr>
          <w:rFonts w:ascii="Book Antiqua" w:hAnsi="Book Antiqua" w:cs="Calibri"/>
        </w:rPr>
        <w:t xml:space="preserve">Signed                </w:t>
      </w:r>
      <w:r w:rsidR="00520DD6">
        <w:rPr>
          <w:rFonts w:ascii="Book Antiqua" w:hAnsi="Book Antiqua" w:cs="Calibri"/>
        </w:rPr>
        <w:t xml:space="preserve">                               </w:t>
      </w:r>
      <w:r w:rsidR="00227CFB" w:rsidRPr="00D91937">
        <w:rPr>
          <w:rFonts w:ascii="Book Antiqua" w:hAnsi="Book Antiqua" w:cs="Calibri"/>
        </w:rPr>
        <w:t xml:space="preserve">                                              Date </w:t>
      </w:r>
      <w:r w:rsidR="00227CFB">
        <w:rPr>
          <w:rFonts w:ascii="Book Antiqua" w:hAnsi="Book Antiqua" w:cs="Calibri"/>
        </w:rPr>
        <w:t>9 July 2018</w:t>
      </w:r>
      <w:r w:rsidR="00227CFB" w:rsidRPr="00D91937">
        <w:rPr>
          <w:rFonts w:ascii="Book Antiqua" w:hAnsi="Book Antiqua" w:cs="Calibri"/>
        </w:rPr>
        <w:t xml:space="preserve">    </w:t>
      </w:r>
    </w:p>
    <w:p w14:paraId="71C88B18" w14:textId="217285F0" w:rsidR="00E4720D" w:rsidRPr="00CF53A6" w:rsidRDefault="00C53BFD" w:rsidP="00C53BFD">
      <w:pPr>
        <w:tabs>
          <w:tab w:val="left" w:pos="2520"/>
        </w:tabs>
        <w:rPr>
          <w:rFonts w:ascii="Book Antiqua" w:hAnsi="Book Antiqua" w:cs="Arial"/>
        </w:rPr>
      </w:pPr>
      <w:r w:rsidRPr="00D91937">
        <w:rPr>
          <w:rFonts w:ascii="Book Antiqua" w:hAnsi="Book Antiqua" w:cs="Calibri"/>
        </w:rPr>
        <w:t>Deputy Upper Tribunal Judge Doyle</w:t>
      </w:r>
      <w:r>
        <w:rPr>
          <w:rFonts w:ascii="Book Antiqua" w:hAnsi="Book Antiqua" w:cs="Calibri"/>
        </w:rPr>
        <w:t xml:space="preserve"> </w:t>
      </w:r>
      <w:bookmarkStart w:id="0" w:name="_GoBack"/>
      <w:bookmarkEnd w:id="0"/>
    </w:p>
    <w:sectPr w:rsidR="00E4720D" w:rsidRPr="00CF53A6" w:rsidSect="00C53BFD">
      <w:headerReference w:type="default" r:id="rId10"/>
      <w:footerReference w:type="default" r:id="rId11"/>
      <w:footerReference w:type="first" r:id="rId12"/>
      <w:pgSz w:w="11906" w:h="16838"/>
      <w:pgMar w:top="70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F1C71" w14:textId="77777777" w:rsidR="00E02365" w:rsidRDefault="00E02365" w:rsidP="00100C3C">
      <w:r>
        <w:separator/>
      </w:r>
    </w:p>
  </w:endnote>
  <w:endnote w:type="continuationSeparator" w:id="0">
    <w:p w14:paraId="1726D756" w14:textId="77777777" w:rsidR="00E02365" w:rsidRDefault="00E02365"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B0DD3" w14:textId="6B8524C2" w:rsidR="00434782" w:rsidRPr="00ED5968" w:rsidRDefault="00434782">
    <w:pPr>
      <w:pStyle w:val="Footer"/>
      <w:jc w:val="center"/>
      <w:rPr>
        <w:rFonts w:ascii="Book Antiqua" w:hAnsi="Book Antiqua"/>
        <w:caps/>
        <w:noProof/>
      </w:rPr>
    </w:pPr>
    <w:r w:rsidRPr="00ED5968">
      <w:rPr>
        <w:rFonts w:ascii="Book Antiqua" w:hAnsi="Book Antiqua"/>
        <w:caps/>
      </w:rPr>
      <w:fldChar w:fldCharType="begin"/>
    </w:r>
    <w:r w:rsidRPr="00ED5968">
      <w:rPr>
        <w:rFonts w:ascii="Book Antiqua" w:hAnsi="Book Antiqua"/>
        <w:caps/>
      </w:rPr>
      <w:instrText xml:space="preserve"> PAGE   \* MERGEFORMAT </w:instrText>
    </w:r>
    <w:r w:rsidRPr="00ED5968">
      <w:rPr>
        <w:rFonts w:ascii="Book Antiqua" w:hAnsi="Book Antiqua"/>
        <w:caps/>
      </w:rPr>
      <w:fldChar w:fldCharType="separate"/>
    </w:r>
    <w:r w:rsidR="00716775">
      <w:rPr>
        <w:rFonts w:ascii="Book Antiqua" w:hAnsi="Book Antiqua"/>
        <w:caps/>
        <w:noProof/>
      </w:rPr>
      <w:t>4</w:t>
    </w:r>
    <w:r w:rsidRPr="00ED5968">
      <w:rPr>
        <w:rFonts w:ascii="Book Antiqua" w:hAnsi="Book Antiqua"/>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D9FC3" w14:textId="77777777" w:rsidR="00434782" w:rsidRDefault="00434782" w:rsidP="00434782">
    <w:pPr>
      <w:jc w:val="center"/>
      <w:rPr>
        <w:rFonts w:ascii="Book Antiqua" w:hAnsi="Book Antiqua" w:cs="Arial"/>
        <w:b/>
      </w:rPr>
    </w:pPr>
    <w:r w:rsidRPr="00CF53A6">
      <w:rPr>
        <w:rFonts w:ascii="Book Antiqua" w:hAnsi="Book Antiqua" w:cs="Arial"/>
        <w:b/>
        <w:spacing w:val="-6"/>
      </w:rPr>
      <w:t>©</w:t>
    </w:r>
    <w:r>
      <w:rPr>
        <w:rFonts w:ascii="Book Antiqua" w:hAnsi="Book Antiqua" w:cs="Arial"/>
        <w:b/>
      </w:rPr>
      <w:t xml:space="preserve"> CROWN COPYRIGHT 2018</w:t>
    </w:r>
  </w:p>
  <w:p w14:paraId="7A86BE86" w14:textId="77777777" w:rsidR="00434782" w:rsidRDefault="00434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B72F7" w14:textId="77777777" w:rsidR="00E02365" w:rsidRDefault="00E02365" w:rsidP="00100C3C">
      <w:r>
        <w:separator/>
      </w:r>
    </w:p>
  </w:footnote>
  <w:footnote w:type="continuationSeparator" w:id="0">
    <w:p w14:paraId="21D5E24C" w14:textId="77777777" w:rsidR="00E02365" w:rsidRDefault="00E02365"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3FD46" w14:textId="0F345E07" w:rsidR="006C5006" w:rsidRDefault="006C5006" w:rsidP="006C5006">
    <w:pPr>
      <w:pStyle w:val="Header"/>
      <w:jc w:val="right"/>
      <w:rPr>
        <w:rFonts w:ascii="Book Antiqua" w:hAnsi="Book Antiqua" w:cs="Arial"/>
        <w:color w:val="000000"/>
        <w:sz w:val="16"/>
        <w:szCs w:val="16"/>
      </w:rPr>
    </w:pPr>
    <w:r w:rsidRPr="00ED5968">
      <w:rPr>
        <w:rFonts w:ascii="Book Antiqua" w:hAnsi="Book Antiqua" w:cs="Arial"/>
        <w:color w:val="000000"/>
        <w:sz w:val="16"/>
        <w:szCs w:val="16"/>
      </w:rPr>
      <w:t>Appeal Number: EA/05274/2017</w:t>
    </w:r>
  </w:p>
  <w:p w14:paraId="6707F7B3" w14:textId="77777777" w:rsidR="00ED5968" w:rsidRPr="00ED5968" w:rsidRDefault="00ED5968" w:rsidP="006C5006">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03E2E"/>
    <w:rsid w:val="0001114B"/>
    <w:rsid w:val="00030740"/>
    <w:rsid w:val="00032B1F"/>
    <w:rsid w:val="00046C8C"/>
    <w:rsid w:val="00057D63"/>
    <w:rsid w:val="00087FA9"/>
    <w:rsid w:val="000A151F"/>
    <w:rsid w:val="000C7AB3"/>
    <w:rsid w:val="00100A74"/>
    <w:rsid w:val="00100C3C"/>
    <w:rsid w:val="00101152"/>
    <w:rsid w:val="00106B9E"/>
    <w:rsid w:val="001103E5"/>
    <w:rsid w:val="00125BE8"/>
    <w:rsid w:val="001372C2"/>
    <w:rsid w:val="00156F09"/>
    <w:rsid w:val="00172259"/>
    <w:rsid w:val="00193D40"/>
    <w:rsid w:val="001C525B"/>
    <w:rsid w:val="001D0D8E"/>
    <w:rsid w:val="001D0EA7"/>
    <w:rsid w:val="001E400D"/>
    <w:rsid w:val="001F7535"/>
    <w:rsid w:val="00206AD6"/>
    <w:rsid w:val="00207C3C"/>
    <w:rsid w:val="00227CFB"/>
    <w:rsid w:val="002328A4"/>
    <w:rsid w:val="002479DB"/>
    <w:rsid w:val="00250580"/>
    <w:rsid w:val="0025433B"/>
    <w:rsid w:val="002606C4"/>
    <w:rsid w:val="002679F8"/>
    <w:rsid w:val="00286604"/>
    <w:rsid w:val="00286813"/>
    <w:rsid w:val="0028784D"/>
    <w:rsid w:val="002B10FF"/>
    <w:rsid w:val="002C57F5"/>
    <w:rsid w:val="002D3A23"/>
    <w:rsid w:val="0033694B"/>
    <w:rsid w:val="00337E31"/>
    <w:rsid w:val="0035461C"/>
    <w:rsid w:val="003705A9"/>
    <w:rsid w:val="00376746"/>
    <w:rsid w:val="0038281F"/>
    <w:rsid w:val="00394B69"/>
    <w:rsid w:val="003A4F86"/>
    <w:rsid w:val="003B4C45"/>
    <w:rsid w:val="003D69CA"/>
    <w:rsid w:val="003E1CC7"/>
    <w:rsid w:val="003E368E"/>
    <w:rsid w:val="00434782"/>
    <w:rsid w:val="00440EE7"/>
    <w:rsid w:val="00451F8E"/>
    <w:rsid w:val="00496085"/>
    <w:rsid w:val="004B4D22"/>
    <w:rsid w:val="004C11B0"/>
    <w:rsid w:val="004C3399"/>
    <w:rsid w:val="00503FAE"/>
    <w:rsid w:val="00520DD6"/>
    <w:rsid w:val="0052314A"/>
    <w:rsid w:val="0052555D"/>
    <w:rsid w:val="00535119"/>
    <w:rsid w:val="00544C99"/>
    <w:rsid w:val="00545B34"/>
    <w:rsid w:val="005537BC"/>
    <w:rsid w:val="00576476"/>
    <w:rsid w:val="00586795"/>
    <w:rsid w:val="005949C8"/>
    <w:rsid w:val="005B0FA9"/>
    <w:rsid w:val="005C3AC7"/>
    <w:rsid w:val="005D6496"/>
    <w:rsid w:val="005E51FD"/>
    <w:rsid w:val="005F7BFE"/>
    <w:rsid w:val="00622E11"/>
    <w:rsid w:val="0068187C"/>
    <w:rsid w:val="0069587E"/>
    <w:rsid w:val="006A6CBF"/>
    <w:rsid w:val="006B3761"/>
    <w:rsid w:val="006B4EEE"/>
    <w:rsid w:val="006C5006"/>
    <w:rsid w:val="006D4FF0"/>
    <w:rsid w:val="006F1422"/>
    <w:rsid w:val="006F6689"/>
    <w:rsid w:val="00703BAB"/>
    <w:rsid w:val="0071333E"/>
    <w:rsid w:val="00716775"/>
    <w:rsid w:val="007258A2"/>
    <w:rsid w:val="007311FD"/>
    <w:rsid w:val="007344E6"/>
    <w:rsid w:val="00755830"/>
    <w:rsid w:val="007702AD"/>
    <w:rsid w:val="00790C02"/>
    <w:rsid w:val="007921BE"/>
    <w:rsid w:val="0079558F"/>
    <w:rsid w:val="007A6B68"/>
    <w:rsid w:val="007A76EA"/>
    <w:rsid w:val="007C3085"/>
    <w:rsid w:val="007D1336"/>
    <w:rsid w:val="00802508"/>
    <w:rsid w:val="008045DC"/>
    <w:rsid w:val="0083635B"/>
    <w:rsid w:val="00846BC6"/>
    <w:rsid w:val="00850890"/>
    <w:rsid w:val="00851608"/>
    <w:rsid w:val="008743FA"/>
    <w:rsid w:val="008768BA"/>
    <w:rsid w:val="0088245D"/>
    <w:rsid w:val="008A1E22"/>
    <w:rsid w:val="008B64E3"/>
    <w:rsid w:val="008E5837"/>
    <w:rsid w:val="009014D6"/>
    <w:rsid w:val="00904942"/>
    <w:rsid w:val="00912ADE"/>
    <w:rsid w:val="00951A7F"/>
    <w:rsid w:val="00963C62"/>
    <w:rsid w:val="00987890"/>
    <w:rsid w:val="00991B39"/>
    <w:rsid w:val="009C17A7"/>
    <w:rsid w:val="009C4477"/>
    <w:rsid w:val="009C7AD9"/>
    <w:rsid w:val="009E3C93"/>
    <w:rsid w:val="00A033BF"/>
    <w:rsid w:val="00A318AF"/>
    <w:rsid w:val="00A52BA2"/>
    <w:rsid w:val="00A72A15"/>
    <w:rsid w:val="00A75FBA"/>
    <w:rsid w:val="00A822BE"/>
    <w:rsid w:val="00A84ABA"/>
    <w:rsid w:val="00A94A10"/>
    <w:rsid w:val="00AC1C4E"/>
    <w:rsid w:val="00AD1956"/>
    <w:rsid w:val="00AD1D26"/>
    <w:rsid w:val="00AD6AA7"/>
    <w:rsid w:val="00B17E67"/>
    <w:rsid w:val="00B20F7E"/>
    <w:rsid w:val="00B234FF"/>
    <w:rsid w:val="00B66B6A"/>
    <w:rsid w:val="00B74B3C"/>
    <w:rsid w:val="00B776A3"/>
    <w:rsid w:val="00B96515"/>
    <w:rsid w:val="00BA7D3F"/>
    <w:rsid w:val="00BF1784"/>
    <w:rsid w:val="00C02574"/>
    <w:rsid w:val="00C044BC"/>
    <w:rsid w:val="00C11224"/>
    <w:rsid w:val="00C3034E"/>
    <w:rsid w:val="00C51FA3"/>
    <w:rsid w:val="00C53BFD"/>
    <w:rsid w:val="00C736F6"/>
    <w:rsid w:val="00C76422"/>
    <w:rsid w:val="00C8431F"/>
    <w:rsid w:val="00C91439"/>
    <w:rsid w:val="00C914E4"/>
    <w:rsid w:val="00CA1765"/>
    <w:rsid w:val="00CB1B50"/>
    <w:rsid w:val="00CD37F5"/>
    <w:rsid w:val="00CD4491"/>
    <w:rsid w:val="00CE46A0"/>
    <w:rsid w:val="00CF53A6"/>
    <w:rsid w:val="00D15FB3"/>
    <w:rsid w:val="00D16669"/>
    <w:rsid w:val="00D23A33"/>
    <w:rsid w:val="00D44CE1"/>
    <w:rsid w:val="00D45AD5"/>
    <w:rsid w:val="00D55991"/>
    <w:rsid w:val="00D77083"/>
    <w:rsid w:val="00D903CC"/>
    <w:rsid w:val="00D905E2"/>
    <w:rsid w:val="00DB2691"/>
    <w:rsid w:val="00DB4A2E"/>
    <w:rsid w:val="00DC358B"/>
    <w:rsid w:val="00DD3D9E"/>
    <w:rsid w:val="00DF0A76"/>
    <w:rsid w:val="00DF7CE8"/>
    <w:rsid w:val="00E02365"/>
    <w:rsid w:val="00E050B8"/>
    <w:rsid w:val="00E204FA"/>
    <w:rsid w:val="00E35B70"/>
    <w:rsid w:val="00E40F9B"/>
    <w:rsid w:val="00E41B40"/>
    <w:rsid w:val="00E44430"/>
    <w:rsid w:val="00E4720D"/>
    <w:rsid w:val="00E50FC7"/>
    <w:rsid w:val="00E620CF"/>
    <w:rsid w:val="00E92C51"/>
    <w:rsid w:val="00EA79DE"/>
    <w:rsid w:val="00ED5968"/>
    <w:rsid w:val="00F232EA"/>
    <w:rsid w:val="00F44074"/>
    <w:rsid w:val="00F55A1F"/>
    <w:rsid w:val="00F56A71"/>
    <w:rsid w:val="00F73763"/>
    <w:rsid w:val="00F751BB"/>
    <w:rsid w:val="00F833C5"/>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334438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character" w:styleId="Hyperlink">
    <w:name w:val="Hyperlink"/>
    <w:uiPriority w:val="99"/>
    <w:semiHidden/>
    <w:unhideWhenUsed/>
    <w:rsid w:val="003D69C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80307">
      <w:bodyDiv w:val="1"/>
      <w:marLeft w:val="0"/>
      <w:marRight w:val="0"/>
      <w:marTop w:val="0"/>
      <w:marBottom w:val="0"/>
      <w:divBdr>
        <w:top w:val="none" w:sz="0" w:space="0" w:color="auto"/>
        <w:left w:val="none" w:sz="0" w:space="0" w:color="auto"/>
        <w:bottom w:val="none" w:sz="0" w:space="0" w:color="auto"/>
        <w:right w:val="none" w:sz="0" w:space="0" w:color="auto"/>
      </w:divBdr>
    </w:div>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43264243">
      <w:bodyDiv w:val="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it.gov.uk/Public/Upload/j2364/00165_ukut_iac_hs_syria.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1401</Words>
  <Characters>7112</Characters>
  <Application>Microsoft Office Word</Application>
  <DocSecurity>0</DocSecurity>
  <Lines>59</Lines>
  <Paragraphs>16</Paragraphs>
  <ScaleCrop>false</ScaleCrop>
  <Company/>
  <LinksUpToDate>false</LinksUpToDate>
  <CharactersWithSpaces>8497</CharactersWithSpaces>
  <SharedDoc>false</SharedDoc>
  <HLinks>
    <vt:vector size="6" baseType="variant">
      <vt:variant>
        <vt:i4>5832797</vt:i4>
      </vt:variant>
      <vt:variant>
        <vt:i4>0</vt:i4>
      </vt:variant>
      <vt:variant>
        <vt:i4>0</vt:i4>
      </vt:variant>
      <vt:variant>
        <vt:i4>5</vt:i4>
      </vt:variant>
      <vt:variant>
        <vt:lpwstr>http://www.ait.gov.uk/Public/Upload/j2364/00165_ukut_iac_hs_syria.doc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2018-07-24T12:46:00Z</dcterms:created>
  <dcterms:modified xsi:type="dcterms:W3CDTF">2018-07-24T12:46:00Z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