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AD446" w14:textId="77777777" w:rsidR="00643BFC" w:rsidRPr="000704BB" w:rsidRDefault="00EE7591" w:rsidP="00643BFC">
      <w:pPr>
        <w:jc w:val="center"/>
        <w:rPr>
          <w:rFonts w:ascii="Book Antiqua" w:hAnsi="Book Antiqua" w:cs="Arial"/>
          <w:caps/>
          <w:color w:val="000000"/>
          <w:sz w:val="16"/>
          <w:szCs w:val="16"/>
        </w:rPr>
      </w:pPr>
      <w:r>
        <w:rPr>
          <w:noProof/>
          <w:lang w:val="en-US" w:eastAsia="en-US"/>
        </w:rPr>
        <w:drawing>
          <wp:inline distT="0" distB="0" distL="0" distR="0" wp14:anchorId="1D341169" wp14:editId="718CAC5A">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042E68E9" w14:textId="62F3E0DC" w:rsidR="00D94AFC" w:rsidRPr="00792B5B" w:rsidRDefault="00D94AFC">
      <w:pPr>
        <w:rPr>
          <w:rFonts w:ascii="Book Antiqua" w:hAnsi="Book Antiqua" w:cs="Arial"/>
          <w:color w:val="000000"/>
          <w:sz w:val="16"/>
          <w:szCs w:val="16"/>
        </w:rPr>
      </w:pPr>
    </w:p>
    <w:p w14:paraId="037B6048"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2F294F06" w14:textId="77777777" w:rsidR="007B0824" w:rsidRPr="00024D27"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EB233B">
        <w:rPr>
          <w:rFonts w:ascii="Book Antiqua" w:hAnsi="Book Antiqua" w:cs="Arial"/>
          <w:color w:val="000000"/>
        </w:rPr>
        <w:t>EA/05489/2017</w:t>
      </w:r>
      <w:bookmarkEnd w:id="0"/>
    </w:p>
    <w:p w14:paraId="5EC95ABE" w14:textId="77777777" w:rsidR="00C345E1" w:rsidRPr="000704BB" w:rsidRDefault="00C345E1" w:rsidP="00C345E1">
      <w:pPr>
        <w:jc w:val="center"/>
        <w:rPr>
          <w:rFonts w:ascii="Book Antiqua" w:hAnsi="Book Antiqua" w:cs="Arial"/>
          <w:color w:val="000000"/>
        </w:rPr>
      </w:pPr>
    </w:p>
    <w:p w14:paraId="6DAB0263" w14:textId="77777777" w:rsidR="00C345E1" w:rsidRPr="000704BB" w:rsidRDefault="00C345E1" w:rsidP="00C345E1">
      <w:pPr>
        <w:jc w:val="center"/>
        <w:rPr>
          <w:rFonts w:ascii="Book Antiqua" w:hAnsi="Book Antiqua" w:cs="Arial"/>
          <w:color w:val="000000"/>
        </w:rPr>
      </w:pPr>
    </w:p>
    <w:p w14:paraId="54878839"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6E81E113" w14:textId="77777777" w:rsidR="00C345E1" w:rsidRPr="000704BB" w:rsidRDefault="00C345E1" w:rsidP="00C345E1">
      <w:pPr>
        <w:jc w:val="center"/>
        <w:rPr>
          <w:rFonts w:ascii="Book Antiqua" w:hAnsi="Book Antiqua" w:cs="Arial"/>
          <w:b/>
          <w:u w:val="single"/>
        </w:rPr>
      </w:pPr>
    </w:p>
    <w:p w14:paraId="07A4851A" w14:textId="77777777"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0704BB" w14:paraId="213F241A" w14:textId="77777777" w:rsidTr="00265B39">
        <w:tc>
          <w:tcPr>
            <w:tcW w:w="5868" w:type="dxa"/>
          </w:tcPr>
          <w:p w14:paraId="4D92D8D6"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332E85">
              <w:rPr>
                <w:rFonts w:ascii="Book Antiqua" w:hAnsi="Book Antiqua" w:cs="Arial"/>
                <w:b/>
              </w:rPr>
              <w:t>Field House</w:t>
            </w:r>
          </w:p>
        </w:tc>
        <w:tc>
          <w:tcPr>
            <w:tcW w:w="3960" w:type="dxa"/>
          </w:tcPr>
          <w:p w14:paraId="159571E5" w14:textId="77777777" w:rsidR="00D22636" w:rsidRPr="000704BB" w:rsidRDefault="00265B39"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017C3DD3" w14:textId="77777777" w:rsidTr="00265B39">
        <w:tc>
          <w:tcPr>
            <w:tcW w:w="5868" w:type="dxa"/>
          </w:tcPr>
          <w:p w14:paraId="0E58BEFB"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332E85">
              <w:rPr>
                <w:rFonts w:ascii="Book Antiqua" w:hAnsi="Book Antiqua" w:cs="Arial"/>
                <w:b/>
              </w:rPr>
              <w:t>20</w:t>
            </w:r>
            <w:r w:rsidR="00332E85" w:rsidRPr="00332E85">
              <w:rPr>
                <w:rFonts w:ascii="Book Antiqua" w:hAnsi="Book Antiqua" w:cs="Arial"/>
                <w:b/>
                <w:vertAlign w:val="superscript"/>
              </w:rPr>
              <w:t>th</w:t>
            </w:r>
            <w:r w:rsidR="00332E85">
              <w:rPr>
                <w:rFonts w:ascii="Book Antiqua" w:hAnsi="Book Antiqua" w:cs="Arial"/>
                <w:b/>
              </w:rPr>
              <w:t xml:space="preserve"> July 2018</w:t>
            </w:r>
          </w:p>
        </w:tc>
        <w:tc>
          <w:tcPr>
            <w:tcW w:w="3960" w:type="dxa"/>
          </w:tcPr>
          <w:p w14:paraId="7DA36C3C" w14:textId="79EA2EA8" w:rsidR="00D22636" w:rsidRPr="000704BB" w:rsidRDefault="005011B4" w:rsidP="004A1848">
            <w:pPr>
              <w:jc w:val="both"/>
              <w:rPr>
                <w:rFonts w:ascii="Book Antiqua" w:hAnsi="Book Antiqua" w:cs="Arial"/>
                <w:b/>
              </w:rPr>
            </w:pPr>
            <w:r>
              <w:rPr>
                <w:rFonts w:ascii="Book Antiqua" w:hAnsi="Book Antiqua" w:cs="Arial"/>
                <w:b/>
              </w:rPr>
              <w:t>On 21</w:t>
            </w:r>
            <w:r w:rsidRPr="005011B4">
              <w:rPr>
                <w:rFonts w:ascii="Book Antiqua" w:hAnsi="Book Antiqua" w:cs="Arial"/>
                <w:b/>
                <w:vertAlign w:val="superscript"/>
              </w:rPr>
              <w:t>st</w:t>
            </w:r>
            <w:r>
              <w:rPr>
                <w:rFonts w:ascii="Book Antiqua" w:hAnsi="Book Antiqua" w:cs="Arial"/>
                <w:b/>
              </w:rPr>
              <w:t xml:space="preserve"> August 2018</w:t>
            </w:r>
          </w:p>
        </w:tc>
      </w:tr>
      <w:tr w:rsidR="00D22636" w:rsidRPr="000704BB" w14:paraId="3DAB3739" w14:textId="77777777" w:rsidTr="00265B39">
        <w:tc>
          <w:tcPr>
            <w:tcW w:w="5868" w:type="dxa"/>
          </w:tcPr>
          <w:p w14:paraId="165C7D3B" w14:textId="77777777" w:rsidR="00D22636" w:rsidRPr="000704BB" w:rsidRDefault="00D22636" w:rsidP="004A1848">
            <w:pPr>
              <w:jc w:val="both"/>
              <w:rPr>
                <w:rFonts w:ascii="Book Antiqua" w:hAnsi="Book Antiqua" w:cs="Arial"/>
                <w:b/>
              </w:rPr>
            </w:pPr>
          </w:p>
        </w:tc>
        <w:tc>
          <w:tcPr>
            <w:tcW w:w="3960" w:type="dxa"/>
          </w:tcPr>
          <w:p w14:paraId="753CEF0A" w14:textId="11276D27" w:rsidR="00D22636" w:rsidRPr="000704BB" w:rsidRDefault="00D22636" w:rsidP="004A1848">
            <w:pPr>
              <w:jc w:val="both"/>
              <w:rPr>
                <w:rFonts w:ascii="Book Antiqua" w:hAnsi="Book Antiqua" w:cs="Arial"/>
                <w:b/>
              </w:rPr>
            </w:pPr>
          </w:p>
        </w:tc>
      </w:tr>
    </w:tbl>
    <w:p w14:paraId="7CD377FE" w14:textId="77777777" w:rsidR="00A15234" w:rsidRPr="000704BB" w:rsidRDefault="00A15234" w:rsidP="00A15234">
      <w:pPr>
        <w:jc w:val="center"/>
        <w:rPr>
          <w:rFonts w:ascii="Book Antiqua" w:hAnsi="Book Antiqua" w:cs="Arial"/>
        </w:rPr>
      </w:pPr>
    </w:p>
    <w:p w14:paraId="57AF35E5"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77B37E4F" w14:textId="77777777" w:rsidR="00A15234" w:rsidRPr="000704BB" w:rsidRDefault="00A15234" w:rsidP="00A15234">
      <w:pPr>
        <w:jc w:val="center"/>
        <w:rPr>
          <w:rFonts w:ascii="Book Antiqua" w:hAnsi="Book Antiqua" w:cs="Arial"/>
          <w:b/>
        </w:rPr>
      </w:pPr>
    </w:p>
    <w:p w14:paraId="3C01A106" w14:textId="77777777"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14:paraId="258B34A1" w14:textId="2EBD1A93" w:rsidR="00D20757" w:rsidRDefault="00D20757" w:rsidP="00A15234">
      <w:pPr>
        <w:jc w:val="center"/>
        <w:rPr>
          <w:rFonts w:ascii="Book Antiqua" w:hAnsi="Book Antiqua" w:cs="Arial"/>
          <w:b/>
        </w:rPr>
      </w:pPr>
    </w:p>
    <w:p w14:paraId="27B13B1E" w14:textId="77777777" w:rsidR="006B578D" w:rsidRPr="000704BB" w:rsidRDefault="006B578D" w:rsidP="00A15234">
      <w:pPr>
        <w:jc w:val="center"/>
        <w:rPr>
          <w:rFonts w:ascii="Book Antiqua" w:hAnsi="Book Antiqua" w:cs="Arial"/>
          <w:b/>
        </w:rPr>
      </w:pPr>
    </w:p>
    <w:p w14:paraId="686EC8F8"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7D20D30B" w14:textId="77777777" w:rsidR="00A845DC" w:rsidRPr="000704BB" w:rsidRDefault="00A845DC" w:rsidP="00A15234">
      <w:pPr>
        <w:jc w:val="center"/>
        <w:rPr>
          <w:rFonts w:ascii="Book Antiqua" w:hAnsi="Book Antiqua" w:cs="Arial"/>
          <w:b/>
        </w:rPr>
      </w:pPr>
    </w:p>
    <w:p w14:paraId="6F4D3DFC" w14:textId="77777777" w:rsidR="00A845DC" w:rsidRPr="00024D27" w:rsidRDefault="000C5435" w:rsidP="00A15234">
      <w:pPr>
        <w:jc w:val="center"/>
        <w:rPr>
          <w:rFonts w:ascii="Book Antiqua" w:hAnsi="Book Antiqua" w:cs="Arial"/>
          <w:b/>
          <w:caps/>
        </w:rPr>
      </w:pPr>
      <w:r w:rsidRPr="000C5435">
        <w:rPr>
          <w:rFonts w:ascii="Book Antiqua" w:hAnsi="Book Antiqua" w:cs="Arial"/>
          <w:b/>
          <w:caps/>
        </w:rPr>
        <w:t>Amos Germain Junior</w:t>
      </w:r>
      <w:r>
        <w:rPr>
          <w:rFonts w:ascii="Book Antiqua" w:hAnsi="Book Antiqua" w:cs="Arial"/>
          <w:b/>
          <w:caps/>
        </w:rPr>
        <w:t xml:space="preserve"> </w:t>
      </w:r>
      <w:r w:rsidRPr="000C5435">
        <w:rPr>
          <w:rFonts w:ascii="Book Antiqua" w:hAnsi="Book Antiqua" w:cs="Arial"/>
          <w:b/>
          <w:caps/>
        </w:rPr>
        <w:t>FONGANG</w:t>
      </w:r>
    </w:p>
    <w:p w14:paraId="014FE975" w14:textId="77777777" w:rsidR="00704B61" w:rsidRPr="000704BB" w:rsidRDefault="00265B39" w:rsidP="00A15234">
      <w:pPr>
        <w:jc w:val="center"/>
        <w:rPr>
          <w:rFonts w:ascii="Book Antiqua" w:hAnsi="Book Antiqua" w:cs="Arial"/>
          <w:b/>
        </w:rPr>
      </w:pPr>
      <w:r>
        <w:rPr>
          <w:rFonts w:ascii="Book Antiqua" w:hAnsi="Book Antiqua" w:cs="Arial"/>
          <w:b/>
          <w:caps/>
        </w:rPr>
        <w:t>(anonymity direction</w:t>
      </w:r>
      <w:r w:rsidR="00792B5B">
        <w:rPr>
          <w:rFonts w:ascii="Book Antiqua" w:hAnsi="Book Antiqua" w:cs="Arial"/>
          <w:b/>
          <w:caps/>
        </w:rPr>
        <w:t xml:space="preserve"> not made</w:t>
      </w:r>
      <w:r>
        <w:rPr>
          <w:rFonts w:ascii="Book Antiqua" w:hAnsi="Book Antiqua" w:cs="Arial"/>
          <w:b/>
          <w:caps/>
        </w:rPr>
        <w:t>)</w:t>
      </w:r>
    </w:p>
    <w:p w14:paraId="71BBD92F"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4E87DC4E"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4D1B87DC" w14:textId="77777777" w:rsidR="00DD5071" w:rsidRPr="000704BB" w:rsidRDefault="00DD5071" w:rsidP="00704B61">
      <w:pPr>
        <w:jc w:val="center"/>
        <w:rPr>
          <w:rFonts w:ascii="Book Antiqua" w:hAnsi="Book Antiqua" w:cs="Arial"/>
          <w:b/>
        </w:rPr>
      </w:pPr>
    </w:p>
    <w:p w14:paraId="3437CF80"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5C202D67"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597AA255" w14:textId="77777777" w:rsidR="00DD5071" w:rsidRPr="000704BB" w:rsidRDefault="00DD5071" w:rsidP="00DD5071">
      <w:pPr>
        <w:rPr>
          <w:rFonts w:ascii="Book Antiqua" w:hAnsi="Book Antiqua" w:cs="Arial"/>
          <w:u w:val="single"/>
        </w:rPr>
      </w:pPr>
    </w:p>
    <w:p w14:paraId="50B26F85" w14:textId="77777777" w:rsidR="00DD5071" w:rsidRPr="000704BB" w:rsidRDefault="00DD5071" w:rsidP="00DD5071">
      <w:pPr>
        <w:rPr>
          <w:rFonts w:ascii="Book Antiqua" w:hAnsi="Book Antiqua" w:cs="Arial"/>
          <w:u w:val="single"/>
        </w:rPr>
      </w:pPr>
    </w:p>
    <w:p w14:paraId="686D1695"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249C2BF4"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C31459">
        <w:rPr>
          <w:rFonts w:ascii="Book Antiqua" w:hAnsi="Book Antiqua" w:cs="Arial"/>
        </w:rPr>
        <w:t>No attendance</w:t>
      </w:r>
    </w:p>
    <w:p w14:paraId="164EE704"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EE7591">
        <w:rPr>
          <w:rFonts w:ascii="Book Antiqua" w:hAnsi="Book Antiqua" w:cs="Arial"/>
        </w:rPr>
        <w:t>Ms Kiss, Home Office Presenting Officer</w:t>
      </w:r>
    </w:p>
    <w:p w14:paraId="6C0140D8" w14:textId="77777777" w:rsidR="00DE7DB7" w:rsidRPr="000704BB" w:rsidRDefault="00DE7DB7" w:rsidP="00265B39">
      <w:pPr>
        <w:jc w:val="center"/>
        <w:rPr>
          <w:rFonts w:ascii="Book Antiqua" w:hAnsi="Book Antiqua" w:cs="Arial"/>
        </w:rPr>
      </w:pPr>
    </w:p>
    <w:p w14:paraId="072187BF" w14:textId="77777777" w:rsidR="00DE7DB7" w:rsidRPr="000704BB" w:rsidRDefault="00DE7DB7" w:rsidP="00265B39">
      <w:pPr>
        <w:jc w:val="center"/>
        <w:rPr>
          <w:rFonts w:ascii="Book Antiqua" w:hAnsi="Book Antiqua" w:cs="Arial"/>
        </w:rPr>
      </w:pPr>
    </w:p>
    <w:p w14:paraId="2C6165CE" w14:textId="77777777"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14:paraId="129E40CF" w14:textId="77777777" w:rsidR="00402B9E" w:rsidRPr="000704BB" w:rsidRDefault="00402B9E" w:rsidP="00265B39">
      <w:pPr>
        <w:jc w:val="both"/>
        <w:rPr>
          <w:rFonts w:ascii="Book Antiqua" w:hAnsi="Book Antiqua" w:cs="Arial"/>
        </w:rPr>
      </w:pPr>
    </w:p>
    <w:p w14:paraId="5C28EE69" w14:textId="77777777" w:rsidR="00792B5B" w:rsidRDefault="00BD02B4" w:rsidP="00265B39">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EE7591">
        <w:rPr>
          <w:rFonts w:ascii="Book Antiqua" w:hAnsi="Book Antiqua" w:cs="Arial"/>
        </w:rPr>
        <w:t>The Appellant is a citizen of Cameroon born on 12</w:t>
      </w:r>
      <w:r w:rsidR="00792B5B">
        <w:rPr>
          <w:rFonts w:ascii="Book Antiqua" w:hAnsi="Book Antiqua" w:cs="Arial"/>
        </w:rPr>
        <w:t xml:space="preserve"> August 1994. His</w:t>
      </w:r>
      <w:r w:rsidR="00EE7591">
        <w:rPr>
          <w:rFonts w:ascii="Book Antiqua" w:hAnsi="Book Antiqua" w:cs="Arial"/>
        </w:rPr>
        <w:t xml:space="preserve"> appeal against the Respondent’s decision to revoke an EEA residence card under Regulation 22 of the EEA Regulations 2006 was dismissed by First-tier Tribunal</w:t>
      </w:r>
      <w:r w:rsidR="00B0586D">
        <w:rPr>
          <w:rFonts w:ascii="Book Antiqua" w:hAnsi="Book Antiqua" w:cs="Arial"/>
        </w:rPr>
        <w:t xml:space="preserve"> Judge</w:t>
      </w:r>
      <w:r w:rsidR="00EE7591">
        <w:rPr>
          <w:rFonts w:ascii="Book Antiqua" w:hAnsi="Book Antiqua" w:cs="Arial"/>
        </w:rPr>
        <w:t xml:space="preserve"> Hembrough on 14 July 2017.  </w:t>
      </w:r>
    </w:p>
    <w:p w14:paraId="3302E317" w14:textId="77777777" w:rsidR="00500016" w:rsidRDefault="00500016" w:rsidP="00265B39">
      <w:pPr>
        <w:ind w:left="567" w:hanging="567"/>
        <w:jc w:val="both"/>
        <w:rPr>
          <w:rFonts w:ascii="Book Antiqua" w:hAnsi="Book Antiqua" w:cs="Arial"/>
        </w:rPr>
      </w:pPr>
    </w:p>
    <w:p w14:paraId="57FBDAAF" w14:textId="4D78EC02" w:rsidR="00792B5B" w:rsidRDefault="00792B5B"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EE7591">
        <w:rPr>
          <w:rFonts w:ascii="Book Antiqua" w:hAnsi="Book Antiqua" w:cs="Arial"/>
        </w:rPr>
        <w:t xml:space="preserve">The reasons for revocation </w:t>
      </w:r>
      <w:r w:rsidR="001808BA">
        <w:rPr>
          <w:rFonts w:ascii="Book Antiqua" w:hAnsi="Book Antiqua" w:cs="Arial"/>
        </w:rPr>
        <w:t xml:space="preserve">letter </w:t>
      </w:r>
      <w:r w:rsidR="00EE7591">
        <w:rPr>
          <w:rFonts w:ascii="Book Antiqua" w:hAnsi="Book Antiqua" w:cs="Arial"/>
        </w:rPr>
        <w:t>da</w:t>
      </w:r>
      <w:r w:rsidR="001808BA">
        <w:rPr>
          <w:rFonts w:ascii="Book Antiqua" w:hAnsi="Book Antiqua" w:cs="Arial"/>
        </w:rPr>
        <w:t>ted 30 June 2016 refers</w:t>
      </w:r>
      <w:r w:rsidR="00EE7591">
        <w:rPr>
          <w:rFonts w:ascii="Book Antiqua" w:hAnsi="Book Antiqua" w:cs="Arial"/>
        </w:rPr>
        <w:t xml:space="preserve"> to a joint investigation between the Home Office, DWP and HMRC i</w:t>
      </w:r>
      <w:r w:rsidR="001808BA">
        <w:rPr>
          <w:rFonts w:ascii="Book Antiqua" w:hAnsi="Book Antiqua" w:cs="Arial"/>
        </w:rPr>
        <w:t>nto an organised crime network [</w:t>
      </w:r>
      <w:r w:rsidR="00EE7591">
        <w:rPr>
          <w:rFonts w:ascii="Book Antiqua" w:hAnsi="Book Antiqua" w:cs="Arial"/>
        </w:rPr>
        <w:t>OCN</w:t>
      </w:r>
      <w:r w:rsidR="001808BA">
        <w:rPr>
          <w:rFonts w:ascii="Book Antiqua" w:hAnsi="Book Antiqua" w:cs="Arial"/>
        </w:rPr>
        <w:t>]</w:t>
      </w:r>
      <w:r w:rsidR="00EE7591">
        <w:rPr>
          <w:rFonts w:ascii="Book Antiqua" w:hAnsi="Book Antiqua" w:cs="Arial"/>
        </w:rPr>
        <w:t xml:space="preserve"> </w:t>
      </w:r>
      <w:r w:rsidR="00EE7591">
        <w:rPr>
          <w:rFonts w:ascii="Book Antiqua" w:hAnsi="Book Antiqua" w:cs="Arial"/>
        </w:rPr>
        <w:lastRenderedPageBreak/>
        <w:t>involved in the facilitation of bogus, proxy and customary marriages between primarily French nationals and non-EU citizens and widescale b</w:t>
      </w:r>
      <w:r>
        <w:rPr>
          <w:rFonts w:ascii="Book Antiqua" w:hAnsi="Book Antiqua" w:cs="Arial"/>
        </w:rPr>
        <w:t>enefit fraud</w:t>
      </w:r>
      <w:r w:rsidR="001808BA">
        <w:rPr>
          <w:rFonts w:ascii="Book Antiqua" w:hAnsi="Book Antiqua" w:cs="Arial"/>
        </w:rPr>
        <w:t>:</w:t>
      </w:r>
      <w:r>
        <w:rPr>
          <w:rFonts w:ascii="Book Antiqua" w:hAnsi="Book Antiqua" w:cs="Arial"/>
        </w:rPr>
        <w:t xml:space="preserve"> Operation Boromo. </w:t>
      </w:r>
      <w:r w:rsidR="001808BA">
        <w:rPr>
          <w:rFonts w:ascii="Book Antiqua" w:hAnsi="Book Antiqua" w:cs="Arial"/>
        </w:rPr>
        <w:t>S</w:t>
      </w:r>
      <w:r w:rsidR="00EE7591">
        <w:rPr>
          <w:rFonts w:ascii="Book Antiqua" w:hAnsi="Book Antiqua" w:cs="Arial"/>
        </w:rPr>
        <w:t>everal</w:t>
      </w:r>
      <w:r w:rsidR="00490D9B">
        <w:rPr>
          <w:rFonts w:ascii="Book Antiqua" w:hAnsi="Book Antiqua" w:cs="Arial"/>
        </w:rPr>
        <w:t xml:space="preserve"> of</w:t>
      </w:r>
      <w:r w:rsidR="001808BA">
        <w:rPr>
          <w:rFonts w:ascii="Book Antiqua" w:hAnsi="Book Antiqua" w:cs="Arial"/>
        </w:rPr>
        <w:t xml:space="preserve"> those known to be involved had</w:t>
      </w:r>
      <w:r w:rsidR="00490D9B">
        <w:rPr>
          <w:rFonts w:ascii="Book Antiqua" w:hAnsi="Book Antiqua" w:cs="Arial"/>
        </w:rPr>
        <w:t xml:space="preserve"> received prison sentences ranging from t</w:t>
      </w:r>
      <w:r w:rsidR="001808BA">
        <w:rPr>
          <w:rFonts w:ascii="Book Antiqua" w:hAnsi="Book Antiqua" w:cs="Arial"/>
        </w:rPr>
        <w:t>welve months to six years. It wa</w:t>
      </w:r>
      <w:r w:rsidR="00490D9B">
        <w:rPr>
          <w:rFonts w:ascii="Book Antiqua" w:hAnsi="Book Antiqua" w:cs="Arial"/>
        </w:rPr>
        <w:t>s asserted that the Appellant’s marriage to Marie-Erline Julien</w:t>
      </w:r>
      <w:r>
        <w:rPr>
          <w:rFonts w:ascii="Book Antiqua" w:hAnsi="Book Antiqua" w:cs="Arial"/>
        </w:rPr>
        <w:t>,</w:t>
      </w:r>
      <w:r w:rsidR="00490D9B">
        <w:rPr>
          <w:rFonts w:ascii="Book Antiqua" w:hAnsi="Book Antiqua" w:cs="Arial"/>
        </w:rPr>
        <w:t xml:space="preserve"> the Sponsor</w:t>
      </w:r>
      <w:r>
        <w:rPr>
          <w:rFonts w:ascii="Book Antiqua" w:hAnsi="Book Antiqua" w:cs="Arial"/>
        </w:rPr>
        <w:t>,</w:t>
      </w:r>
      <w:r w:rsidR="00490D9B">
        <w:rPr>
          <w:rFonts w:ascii="Book Antiqua" w:hAnsi="Book Antiqua" w:cs="Arial"/>
        </w:rPr>
        <w:t xml:space="preserve"> on 4 August</w:t>
      </w:r>
      <w:r w:rsidR="005E031F">
        <w:rPr>
          <w:rFonts w:ascii="Book Antiqua" w:hAnsi="Book Antiqua" w:cs="Arial"/>
        </w:rPr>
        <w:t xml:space="preserve"> 2014 was facilitated by the OCN</w:t>
      </w:r>
      <w:r w:rsidR="001808BA">
        <w:rPr>
          <w:rFonts w:ascii="Book Antiqua" w:hAnsi="Book Antiqua" w:cs="Arial"/>
        </w:rPr>
        <w:t xml:space="preserve">. It was, therefore, </w:t>
      </w:r>
      <w:r w:rsidR="00490D9B">
        <w:rPr>
          <w:rFonts w:ascii="Book Antiqua" w:hAnsi="Book Antiqua" w:cs="Arial"/>
        </w:rPr>
        <w:t>a marriage of convenience and w</w:t>
      </w:r>
      <w:r>
        <w:rPr>
          <w:rFonts w:ascii="Book Antiqua" w:hAnsi="Book Antiqua" w:cs="Arial"/>
        </w:rPr>
        <w:t xml:space="preserve">as not genuine and subsisting. </w:t>
      </w:r>
      <w:r w:rsidR="00490D9B">
        <w:rPr>
          <w:rFonts w:ascii="Book Antiqua" w:hAnsi="Book Antiqua" w:cs="Arial"/>
        </w:rPr>
        <w:t>In addition</w:t>
      </w:r>
      <w:r>
        <w:rPr>
          <w:rFonts w:ascii="Book Antiqua" w:hAnsi="Book Antiqua" w:cs="Arial"/>
        </w:rPr>
        <w:t>,</w:t>
      </w:r>
      <w:r w:rsidR="001808BA">
        <w:rPr>
          <w:rFonts w:ascii="Book Antiqua" w:hAnsi="Book Antiqua" w:cs="Arial"/>
        </w:rPr>
        <w:t xml:space="preserve"> it wa</w:t>
      </w:r>
      <w:r w:rsidR="00490D9B">
        <w:rPr>
          <w:rFonts w:ascii="Book Antiqua" w:hAnsi="Book Antiqua" w:cs="Arial"/>
        </w:rPr>
        <w:t>s asserted that the Sponsor was not a qualified person un</w:t>
      </w:r>
      <w:r>
        <w:rPr>
          <w:rFonts w:ascii="Book Antiqua" w:hAnsi="Book Antiqua" w:cs="Arial"/>
        </w:rPr>
        <w:t xml:space="preserve">der Regulation 6. </w:t>
      </w:r>
    </w:p>
    <w:p w14:paraId="4BA17D1C" w14:textId="77777777" w:rsidR="001808BA" w:rsidRDefault="001808BA" w:rsidP="00490D9B">
      <w:pPr>
        <w:tabs>
          <w:tab w:val="left" w:pos="567"/>
        </w:tabs>
        <w:ind w:left="567" w:hanging="567"/>
        <w:jc w:val="both"/>
        <w:rPr>
          <w:rFonts w:ascii="Book Antiqua" w:hAnsi="Book Antiqua" w:cs="Arial"/>
        </w:rPr>
      </w:pPr>
    </w:p>
    <w:p w14:paraId="1FD9219D" w14:textId="03437A79" w:rsidR="00E8760A" w:rsidRDefault="001808BA" w:rsidP="001808BA">
      <w:pPr>
        <w:tabs>
          <w:tab w:val="left" w:pos="567"/>
        </w:tabs>
        <w:ind w:left="567" w:hanging="567"/>
        <w:jc w:val="both"/>
        <w:rPr>
          <w:rFonts w:ascii="Book Antiqua" w:hAnsi="Book Antiqua" w:cs="Arial"/>
        </w:rPr>
      </w:pPr>
      <w:r>
        <w:rPr>
          <w:rFonts w:ascii="Book Antiqua" w:hAnsi="Book Antiqua" w:cs="Arial"/>
        </w:rPr>
        <w:t>3</w:t>
      </w:r>
      <w:r w:rsidR="00490D9B" w:rsidRPr="008B5901">
        <w:rPr>
          <w:rFonts w:ascii="Book Antiqua" w:hAnsi="Book Antiqua" w:cs="Arial"/>
        </w:rPr>
        <w:t>.</w:t>
      </w:r>
      <w:r w:rsidR="00490D9B" w:rsidRPr="008B5901">
        <w:rPr>
          <w:rFonts w:ascii="Book Antiqua" w:hAnsi="Book Antiqua" w:cs="Arial"/>
        </w:rPr>
        <w:tab/>
      </w:r>
      <w:r w:rsidR="005F4FC8">
        <w:rPr>
          <w:rFonts w:ascii="Book Antiqua" w:hAnsi="Book Antiqua" w:cs="Arial"/>
        </w:rPr>
        <w:t>Permission</w:t>
      </w:r>
      <w:r w:rsidR="00792B5B">
        <w:rPr>
          <w:rFonts w:ascii="Book Antiqua" w:hAnsi="Book Antiqua" w:cs="Arial"/>
        </w:rPr>
        <w:t xml:space="preserve"> to appeal</w:t>
      </w:r>
      <w:r w:rsidR="00E8760A">
        <w:rPr>
          <w:rFonts w:ascii="Book Antiqua" w:hAnsi="Book Antiqua" w:cs="Arial"/>
        </w:rPr>
        <w:t xml:space="preserve"> was initially refused by First-tier Tribunal Judge Alis on 24 December</w:t>
      </w:r>
      <w:r>
        <w:rPr>
          <w:rFonts w:ascii="Book Antiqua" w:hAnsi="Book Antiqua" w:cs="Arial"/>
        </w:rPr>
        <w:t xml:space="preserve"> 2017 for the following reasons</w:t>
      </w:r>
      <w:r w:rsidR="00792B5B">
        <w:rPr>
          <w:rFonts w:ascii="Book Antiqua" w:hAnsi="Book Antiqua" w:cs="Arial"/>
        </w:rPr>
        <w:t>:</w:t>
      </w:r>
      <w:r w:rsidR="00E8760A">
        <w:rPr>
          <w:rFonts w:ascii="Book Antiqua" w:hAnsi="Book Antiqua" w:cs="Arial"/>
        </w:rPr>
        <w:t xml:space="preserve">  </w:t>
      </w:r>
    </w:p>
    <w:p w14:paraId="47D13656" w14:textId="094541D0" w:rsidR="00E8760A" w:rsidRDefault="00E8760A" w:rsidP="00500016">
      <w:pPr>
        <w:spacing w:before="120" w:after="120"/>
        <w:ind w:left="1701" w:hanging="567"/>
        <w:jc w:val="both"/>
        <w:rPr>
          <w:rFonts w:ascii="Book Antiqua" w:hAnsi="Book Antiqua" w:cs="Arial"/>
        </w:rPr>
      </w:pPr>
      <w:r>
        <w:rPr>
          <w:rFonts w:ascii="Book Antiqua" w:hAnsi="Book Antiqua" w:cs="Arial"/>
        </w:rPr>
        <w:t>“2.</w:t>
      </w:r>
      <w:r>
        <w:rPr>
          <w:rFonts w:ascii="Book Antiqua" w:hAnsi="Book Antiqua" w:cs="Arial"/>
        </w:rPr>
        <w:tab/>
      </w:r>
      <w:r w:rsidR="002B1D82">
        <w:rPr>
          <w:rFonts w:ascii="Book Antiqua" w:hAnsi="Book Antiqua" w:cs="Arial"/>
        </w:rPr>
        <w:t>The j</w:t>
      </w:r>
      <w:r>
        <w:rPr>
          <w:rFonts w:ascii="Book Antiqua" w:hAnsi="Book Antiqua" w:cs="Arial"/>
        </w:rPr>
        <w:t xml:space="preserve">udge was concerned with </w:t>
      </w:r>
      <w:r w:rsidR="00DB0592">
        <w:rPr>
          <w:rFonts w:ascii="Book Antiqua" w:hAnsi="Book Antiqua" w:cs="Arial"/>
        </w:rPr>
        <w:t>Regulation 20(</w:t>
      </w:r>
      <w:r>
        <w:rPr>
          <w:rFonts w:ascii="Book Antiqua" w:hAnsi="Book Antiqua" w:cs="Arial"/>
        </w:rPr>
        <w:t>2) of the 200</w:t>
      </w:r>
      <w:r w:rsidR="00905F3D">
        <w:rPr>
          <w:rFonts w:ascii="Book Antiqua" w:hAnsi="Book Antiqua" w:cs="Arial"/>
        </w:rPr>
        <w:t xml:space="preserve">6 </w:t>
      </w:r>
      <w:r w:rsidR="001808BA">
        <w:rPr>
          <w:rFonts w:ascii="Book Antiqua" w:hAnsi="Book Antiqua" w:cs="Arial"/>
        </w:rPr>
        <w:t>Regulations and accepted the r</w:t>
      </w:r>
      <w:r>
        <w:rPr>
          <w:rFonts w:ascii="Book Antiqua" w:hAnsi="Book Antiqua" w:cs="Arial"/>
        </w:rPr>
        <w:t>espondent had failed to demonstrate the marriage was a marriage of convenience but as he was concerned with an in-country appeal he was concerned with whether th</w:t>
      </w:r>
      <w:r w:rsidR="00D964F8">
        <w:rPr>
          <w:rFonts w:ascii="Book Antiqua" w:hAnsi="Book Antiqua" w:cs="Arial"/>
        </w:rPr>
        <w:t>e A</w:t>
      </w:r>
      <w:r>
        <w:rPr>
          <w:rFonts w:ascii="Book Antiqua" w:hAnsi="Book Antiqua" w:cs="Arial"/>
        </w:rPr>
        <w:t>ppellant had ceased to have right to remain here at the date o</w:t>
      </w:r>
      <w:r w:rsidR="001808BA">
        <w:rPr>
          <w:rFonts w:ascii="Book Antiqua" w:hAnsi="Book Antiqua" w:cs="Arial"/>
        </w:rPr>
        <w:t>f the appeal.</w:t>
      </w:r>
      <w:r>
        <w:rPr>
          <w:rFonts w:ascii="Book Antiqua" w:hAnsi="Book Antiqua" w:cs="Arial"/>
        </w:rPr>
        <w:t xml:space="preserve"> The judge set out in some detail why he was not satisfied the marriage wa</w:t>
      </w:r>
      <w:r w:rsidR="001808BA">
        <w:rPr>
          <w:rFonts w:ascii="Book Antiqua" w:hAnsi="Book Antiqua" w:cs="Arial"/>
        </w:rPr>
        <w:t>s subsisting from [37] onwards.</w:t>
      </w:r>
      <w:r>
        <w:rPr>
          <w:rFonts w:ascii="Book Antiqua" w:hAnsi="Book Antiqua" w:cs="Arial"/>
        </w:rPr>
        <w:t xml:space="preserve"> Having concluded the EEA national was no longer exercising treaty right</w:t>
      </w:r>
      <w:r w:rsidR="003E1E82">
        <w:rPr>
          <w:rFonts w:ascii="Book Antiqua" w:hAnsi="Book Antiqua" w:cs="Arial"/>
        </w:rPr>
        <w:t>s</w:t>
      </w:r>
      <w:r>
        <w:rPr>
          <w:rFonts w:ascii="Book Antiqua" w:hAnsi="Book Antiqua" w:cs="Arial"/>
        </w:rPr>
        <w:t xml:space="preserve"> he dismissed the appeal.</w:t>
      </w:r>
    </w:p>
    <w:p w14:paraId="51540DCC" w14:textId="1542DC28" w:rsidR="00E8760A" w:rsidRDefault="00E8760A" w:rsidP="00500016">
      <w:pPr>
        <w:spacing w:before="120" w:after="120"/>
        <w:ind w:left="1701" w:hanging="567"/>
        <w:jc w:val="both"/>
        <w:rPr>
          <w:rFonts w:ascii="Book Antiqua" w:hAnsi="Book Antiqua" w:cs="Arial"/>
        </w:rPr>
      </w:pPr>
      <w:r>
        <w:rPr>
          <w:rFonts w:ascii="Book Antiqua" w:hAnsi="Book Antiqua" w:cs="Arial"/>
        </w:rPr>
        <w:t>3.</w:t>
      </w:r>
      <w:r>
        <w:rPr>
          <w:rFonts w:ascii="Book Antiqua" w:hAnsi="Book Antiqua" w:cs="Arial"/>
        </w:rPr>
        <w:tab/>
        <w:t>The grounds run to 28 pages and unnecessarily go into too much detail with many quotes from the decision itself and references to none reported decisions for which no permission to adduce in evidence had been sought.  The grounds can be summarised as follows:</w:t>
      </w:r>
    </w:p>
    <w:p w14:paraId="1ED2E6FA" w14:textId="4B4436C8" w:rsidR="00900EF6" w:rsidRPr="001808BA" w:rsidRDefault="00D07BEB" w:rsidP="00500016">
      <w:pPr>
        <w:pStyle w:val="ListParagraph"/>
        <w:numPr>
          <w:ilvl w:val="0"/>
          <w:numId w:val="2"/>
        </w:numPr>
        <w:spacing w:before="120" w:after="120"/>
        <w:contextualSpacing w:val="0"/>
        <w:jc w:val="both"/>
        <w:rPr>
          <w:rFonts w:ascii="Book Antiqua" w:hAnsi="Book Antiqua" w:cs="Arial"/>
        </w:rPr>
      </w:pPr>
      <w:r>
        <w:rPr>
          <w:rFonts w:ascii="Book Antiqua" w:hAnsi="Book Antiqua" w:cs="Arial"/>
        </w:rPr>
        <w:t>The j</w:t>
      </w:r>
      <w:r w:rsidR="00E8760A">
        <w:rPr>
          <w:rFonts w:ascii="Book Antiqua" w:hAnsi="Book Antiqua" w:cs="Arial"/>
        </w:rPr>
        <w:t>udge applied the wrong burden of proof when in the case of revocation of a residence card.</w:t>
      </w:r>
    </w:p>
    <w:p w14:paraId="71311EEC" w14:textId="6B241083" w:rsidR="00900EF6" w:rsidRPr="001808BA" w:rsidRDefault="00E8760A" w:rsidP="00500016">
      <w:pPr>
        <w:pStyle w:val="ListParagraph"/>
        <w:numPr>
          <w:ilvl w:val="0"/>
          <w:numId w:val="2"/>
        </w:numPr>
        <w:spacing w:before="120" w:after="120"/>
        <w:contextualSpacing w:val="0"/>
        <w:jc w:val="both"/>
        <w:rPr>
          <w:rFonts w:ascii="Book Antiqua" w:hAnsi="Book Antiqua" w:cs="Arial"/>
        </w:rPr>
      </w:pPr>
      <w:r>
        <w:rPr>
          <w:rFonts w:ascii="Book Antiqua" w:hAnsi="Book Antiqua" w:cs="Arial"/>
        </w:rPr>
        <w:t>Misapplying section 85(4) of the Immigration, Nationality and Asylum Act 2002.</w:t>
      </w:r>
    </w:p>
    <w:p w14:paraId="2EA5FB98" w14:textId="568E40EC" w:rsidR="00E8760A" w:rsidRPr="001808BA" w:rsidRDefault="00E8760A" w:rsidP="00500016">
      <w:pPr>
        <w:pStyle w:val="ListParagraph"/>
        <w:numPr>
          <w:ilvl w:val="0"/>
          <w:numId w:val="2"/>
        </w:numPr>
        <w:spacing w:before="120" w:after="120"/>
        <w:contextualSpacing w:val="0"/>
        <w:jc w:val="both"/>
        <w:rPr>
          <w:rFonts w:ascii="Book Antiqua" w:hAnsi="Book Antiqua" w:cs="Arial"/>
        </w:rPr>
      </w:pPr>
      <w:r>
        <w:rPr>
          <w:rFonts w:ascii="Book Antiqua" w:hAnsi="Book Antiqua" w:cs="Arial"/>
        </w:rPr>
        <w:t>Procedural unfairness.</w:t>
      </w:r>
    </w:p>
    <w:p w14:paraId="2D5465FB" w14:textId="2A5D9147" w:rsidR="005E7A82" w:rsidRDefault="003C64B3" w:rsidP="00500016">
      <w:pPr>
        <w:spacing w:before="120" w:after="120"/>
        <w:ind w:left="1701" w:hanging="567"/>
        <w:jc w:val="both"/>
        <w:rPr>
          <w:rFonts w:ascii="Book Antiqua" w:hAnsi="Book Antiqua" w:cs="Arial"/>
        </w:rPr>
      </w:pPr>
      <w:r>
        <w:rPr>
          <w:rFonts w:ascii="Book Antiqua" w:hAnsi="Book Antiqua" w:cs="Arial"/>
        </w:rPr>
        <w:t>4.</w:t>
      </w:r>
      <w:r>
        <w:rPr>
          <w:rFonts w:ascii="Book Antiqua" w:hAnsi="Book Antiqua" w:cs="Arial"/>
        </w:rPr>
        <w:tab/>
        <w:t>The first groun</w:t>
      </w:r>
      <w:r w:rsidR="006C3363">
        <w:rPr>
          <w:rFonts w:ascii="Book Antiqua" w:hAnsi="Book Antiqua" w:cs="Arial"/>
        </w:rPr>
        <w:t>d raised concerned whether the j</w:t>
      </w:r>
      <w:r>
        <w:rPr>
          <w:rFonts w:ascii="Book Antiqua" w:hAnsi="Book Antiqua" w:cs="Arial"/>
        </w:rPr>
        <w:t>udge applied the correct burden o</w:t>
      </w:r>
      <w:r w:rsidR="001808BA">
        <w:rPr>
          <w:rFonts w:ascii="Book Antiqua" w:hAnsi="Book Antiqua" w:cs="Arial"/>
        </w:rPr>
        <w:t>f proof.</w:t>
      </w:r>
      <w:r w:rsidR="006C3363">
        <w:rPr>
          <w:rFonts w:ascii="Book Antiqua" w:hAnsi="Book Antiqua" w:cs="Arial"/>
        </w:rPr>
        <w:t xml:space="preserve"> The grounds argue that as the j</w:t>
      </w:r>
      <w:r>
        <w:rPr>
          <w:rFonts w:ascii="Book Antiqua" w:hAnsi="Book Antiqua" w:cs="Arial"/>
        </w:rPr>
        <w:t>udge concluded the marriage was not one of convenien</w:t>
      </w:r>
      <w:r w:rsidR="001808BA">
        <w:rPr>
          <w:rFonts w:ascii="Book Antiqua" w:hAnsi="Book Antiqua" w:cs="Arial"/>
        </w:rPr>
        <w:t>ce he should have then conclude (sic)</w:t>
      </w:r>
      <w:r>
        <w:rPr>
          <w:rFonts w:ascii="Book Antiqua" w:hAnsi="Book Antiqua" w:cs="Arial"/>
        </w:rPr>
        <w:t xml:space="preserve"> the marriage was subsisting or alternatively misdirected himself as to which party bore the legal burde</w:t>
      </w:r>
      <w:r w:rsidR="001808BA">
        <w:rPr>
          <w:rFonts w:ascii="Book Antiqua" w:hAnsi="Book Antiqua" w:cs="Arial"/>
        </w:rPr>
        <w:t>n of proof.</w:t>
      </w:r>
      <w:r w:rsidR="00F656AD">
        <w:rPr>
          <w:rFonts w:ascii="Book Antiqua" w:hAnsi="Book Antiqua" w:cs="Arial"/>
        </w:rPr>
        <w:t xml:space="preserve"> The judge</w:t>
      </w:r>
      <w:r>
        <w:rPr>
          <w:rFonts w:ascii="Book Antiqua" w:hAnsi="Book Antiqua" w:cs="Arial"/>
        </w:rPr>
        <w:t xml:space="preserve"> concluded that the EEA national was no longer exercising treaty rights and discussed this in paragraph</w:t>
      </w:r>
      <w:r w:rsidR="001808BA">
        <w:rPr>
          <w:rFonts w:ascii="Book Antiqua" w:hAnsi="Book Antiqua" w:cs="Arial"/>
        </w:rPr>
        <w:t xml:space="preserve"> [38] and [39] of the decision.</w:t>
      </w:r>
      <w:r>
        <w:rPr>
          <w:rFonts w:ascii="Book Antiqua" w:hAnsi="Book Antiqua" w:cs="Arial"/>
        </w:rPr>
        <w:t xml:space="preserve"> Having decided h</w:t>
      </w:r>
      <w:r w:rsidR="000A064E">
        <w:rPr>
          <w:rFonts w:ascii="Book Antiqua" w:hAnsi="Book Antiqua" w:cs="Arial"/>
        </w:rPr>
        <w:t>e was seized of all issues the j</w:t>
      </w:r>
      <w:r>
        <w:rPr>
          <w:rFonts w:ascii="Book Antiqua" w:hAnsi="Book Antiqua" w:cs="Arial"/>
        </w:rPr>
        <w:t xml:space="preserve">udge concluded the EEA national was not exercising treaty rights and his decision to revoke </w:t>
      </w:r>
      <w:r w:rsidR="009F16FA">
        <w:rPr>
          <w:rFonts w:ascii="Book Antiqua" w:hAnsi="Book Antiqua" w:cs="Arial"/>
        </w:rPr>
        <w:t>the A</w:t>
      </w:r>
      <w:r>
        <w:rPr>
          <w:rFonts w:ascii="Book Antiqua" w:hAnsi="Book Antiqua" w:cs="Arial"/>
        </w:rPr>
        <w:t>ppellant’s</w:t>
      </w:r>
      <w:r w:rsidR="008C3686">
        <w:rPr>
          <w:rFonts w:ascii="Book Antiqua" w:hAnsi="Book Antiqua" w:cs="Arial"/>
        </w:rPr>
        <w:t xml:space="preserve"> residence</w:t>
      </w:r>
      <w:r>
        <w:rPr>
          <w:rFonts w:ascii="Book Antiqua" w:hAnsi="Book Antiqua" w:cs="Arial"/>
        </w:rPr>
        <w:t xml:space="preserve"> card must n</w:t>
      </w:r>
      <w:r w:rsidR="001808BA">
        <w:rPr>
          <w:rFonts w:ascii="Book Antiqua" w:hAnsi="Book Antiqua" w:cs="Arial"/>
        </w:rPr>
        <w:t xml:space="preserve">aturally follow that decision. </w:t>
      </w:r>
      <w:r>
        <w:rPr>
          <w:rFonts w:ascii="Book Antiqua" w:hAnsi="Book Antiqua" w:cs="Arial"/>
        </w:rPr>
        <w:t xml:space="preserve">The lengthy grounds do not engage with this finding and concentrate on the marriage </w:t>
      </w:r>
      <w:r w:rsidR="000A064E">
        <w:rPr>
          <w:rFonts w:ascii="Book Antiqua" w:hAnsi="Book Antiqua" w:cs="Arial"/>
        </w:rPr>
        <w:t>of convenience issue which the j</w:t>
      </w:r>
      <w:r w:rsidR="001808BA">
        <w:rPr>
          <w:rFonts w:ascii="Book Antiqua" w:hAnsi="Book Antiqua" w:cs="Arial"/>
        </w:rPr>
        <w:t xml:space="preserve">udge had already dealt with. </w:t>
      </w:r>
      <w:r>
        <w:rPr>
          <w:rFonts w:ascii="Book Antiqua" w:hAnsi="Book Antiqua" w:cs="Arial"/>
        </w:rPr>
        <w:t xml:space="preserve">Whilst the grounds make for an interesting read they failed to address the core finding made by </w:t>
      </w:r>
      <w:r w:rsidR="000A064E">
        <w:rPr>
          <w:rFonts w:ascii="Book Antiqua" w:hAnsi="Book Antiqua" w:cs="Arial"/>
        </w:rPr>
        <w:t>the j</w:t>
      </w:r>
      <w:r>
        <w:rPr>
          <w:rFonts w:ascii="Book Antiqua" w:hAnsi="Book Antiqua" w:cs="Arial"/>
        </w:rPr>
        <w:t xml:space="preserve">udge namely the EEA national was no longer exercising treaty rights in </w:t>
      </w:r>
      <w:r w:rsidR="009F16FA">
        <w:rPr>
          <w:rFonts w:ascii="Book Antiqua" w:hAnsi="Book Antiqua" w:cs="Arial"/>
        </w:rPr>
        <w:t>this country and therefore the A</w:t>
      </w:r>
      <w:r>
        <w:rPr>
          <w:rFonts w:ascii="Book Antiqua" w:hAnsi="Book Antiqua" w:cs="Arial"/>
        </w:rPr>
        <w:t>ppellant’s right to reside ceased.</w:t>
      </w:r>
    </w:p>
    <w:p w14:paraId="3899BA1B" w14:textId="629B07B7" w:rsidR="00602E79" w:rsidRDefault="005E7A82" w:rsidP="00500016">
      <w:pPr>
        <w:spacing w:before="120" w:after="120"/>
        <w:ind w:left="1701" w:hanging="567"/>
        <w:jc w:val="both"/>
        <w:rPr>
          <w:rFonts w:ascii="Book Antiqua" w:hAnsi="Book Antiqua" w:cs="Arial"/>
        </w:rPr>
      </w:pPr>
      <w:r>
        <w:rPr>
          <w:rFonts w:ascii="Book Antiqua" w:hAnsi="Book Antiqua" w:cs="Arial"/>
        </w:rPr>
        <w:lastRenderedPageBreak/>
        <w:t>5.</w:t>
      </w:r>
      <w:r>
        <w:rPr>
          <w:rFonts w:ascii="Book Antiqua" w:hAnsi="Book Antiqua" w:cs="Arial"/>
        </w:rPr>
        <w:tab/>
        <w:t>Dealing with grounds 3(b) I note t</w:t>
      </w:r>
      <w:r w:rsidR="001808BA">
        <w:rPr>
          <w:rFonts w:ascii="Book Antiqua" w:hAnsi="Book Antiqua" w:cs="Arial"/>
        </w:rPr>
        <w:t xml:space="preserve">his was an </w:t>
      </w:r>
      <w:r>
        <w:rPr>
          <w:rFonts w:ascii="Book Antiqua" w:hAnsi="Book Antiqua" w:cs="Arial"/>
        </w:rPr>
        <w:t xml:space="preserve">in-country appeal.  In </w:t>
      </w:r>
      <w:r w:rsidRPr="001808BA">
        <w:rPr>
          <w:rFonts w:ascii="Book Antiqua" w:hAnsi="Book Antiqua" w:cs="Arial"/>
          <w:u w:val="single"/>
        </w:rPr>
        <w:t>SGC and Others</w:t>
      </w:r>
      <w:r w:rsidRPr="001808BA">
        <w:rPr>
          <w:rFonts w:ascii="Book Antiqua" w:hAnsi="Book Antiqua" w:cs="Arial"/>
        </w:rPr>
        <w:t xml:space="preserve"> [2005] UKAIT 00179</w:t>
      </w:r>
      <w:r>
        <w:rPr>
          <w:rFonts w:ascii="Book Antiqua" w:hAnsi="Book Antiqua" w:cs="Arial"/>
        </w:rPr>
        <w:t xml:space="preserve"> the Tribunal said that in an EEA app</w:t>
      </w:r>
      <w:r w:rsidR="003A3090">
        <w:rPr>
          <w:rFonts w:ascii="Book Antiqua" w:hAnsi="Book Antiqua" w:cs="Arial"/>
        </w:rPr>
        <w:t>e</w:t>
      </w:r>
      <w:r>
        <w:rPr>
          <w:rFonts w:ascii="Book Antiqua" w:hAnsi="Book Antiqua" w:cs="Arial"/>
        </w:rPr>
        <w:t>al under the 2002 Act the relevant date is the da</w:t>
      </w:r>
      <w:r w:rsidR="006F337B">
        <w:rPr>
          <w:rFonts w:ascii="Book Antiqua" w:hAnsi="Book Antiqua" w:cs="Arial"/>
        </w:rPr>
        <w:t>te of</w:t>
      </w:r>
      <w:r>
        <w:rPr>
          <w:rFonts w:ascii="Book Antiqua" w:hAnsi="Book Antiqua" w:cs="Arial"/>
        </w:rPr>
        <w:t xml:space="preserve"> heari</w:t>
      </w:r>
      <w:r w:rsidR="001808BA">
        <w:rPr>
          <w:rFonts w:ascii="Book Antiqua" w:hAnsi="Book Antiqua" w:cs="Arial"/>
        </w:rPr>
        <w:t>ng.</w:t>
      </w:r>
      <w:r w:rsidR="00CB4A91">
        <w:rPr>
          <w:rFonts w:ascii="Book Antiqua" w:hAnsi="Book Antiqua" w:cs="Arial"/>
        </w:rPr>
        <w:t xml:space="preserve"> The relevant date for the j</w:t>
      </w:r>
      <w:r w:rsidR="001808BA">
        <w:rPr>
          <w:rFonts w:ascii="Book Antiqua" w:hAnsi="Book Antiqua" w:cs="Arial"/>
        </w:rPr>
        <w:t xml:space="preserve">udge is the date of hearing. </w:t>
      </w:r>
      <w:r>
        <w:rPr>
          <w:rFonts w:ascii="Book Antiqua" w:hAnsi="Book Antiqua" w:cs="Arial"/>
        </w:rPr>
        <w:t xml:space="preserve">In </w:t>
      </w:r>
      <w:r w:rsidR="005D0848">
        <w:rPr>
          <w:rFonts w:ascii="Book Antiqua" w:hAnsi="Book Antiqua" w:cs="Arial"/>
          <w:u w:val="single"/>
        </w:rPr>
        <w:t>Boodhoo and A</w:t>
      </w:r>
      <w:r w:rsidRPr="005D0848">
        <w:rPr>
          <w:rFonts w:ascii="Book Antiqua" w:hAnsi="Book Antiqua" w:cs="Arial"/>
          <w:u w:val="single"/>
        </w:rPr>
        <w:t>nother</w:t>
      </w:r>
      <w:r w:rsidRPr="001808BA">
        <w:rPr>
          <w:rFonts w:ascii="Book Antiqua" w:hAnsi="Book Antiqua" w:cs="Arial"/>
          <w:u w:val="single"/>
        </w:rPr>
        <w:t xml:space="preserve"> (EEA Regs: relevant evidence)</w:t>
      </w:r>
      <w:r w:rsidRPr="005D0848">
        <w:rPr>
          <w:rFonts w:ascii="Book Antiqua" w:hAnsi="Book Antiqua" w:cs="Arial"/>
        </w:rPr>
        <w:t xml:space="preserve"> [2013] UKUT 00346 (IAC)</w:t>
      </w:r>
      <w:r>
        <w:rPr>
          <w:rFonts w:ascii="Book Antiqua" w:hAnsi="Book Antiqua" w:cs="Arial"/>
        </w:rPr>
        <w:t xml:space="preserve"> the Tribunal held that neither Section 85A of the Nationality, Immigration and Asylum Act 2002 nor the guidance in </w:t>
      </w:r>
      <w:r w:rsidRPr="005D0848">
        <w:rPr>
          <w:rFonts w:ascii="Book Antiqua" w:hAnsi="Book Antiqua" w:cs="Arial"/>
          <w:u w:val="single"/>
        </w:rPr>
        <w:t>DR</w:t>
      </w:r>
      <w:r w:rsidR="005D0848" w:rsidRPr="001808BA">
        <w:rPr>
          <w:rFonts w:ascii="Book Antiqua" w:hAnsi="Book Antiqua" w:cs="Arial"/>
          <w:u w:val="single"/>
        </w:rPr>
        <w:t xml:space="preserve"> (Morocco)</w:t>
      </w:r>
      <w:r w:rsidR="005D0848">
        <w:rPr>
          <w:rFonts w:ascii="Book Antiqua" w:hAnsi="Book Antiqua" w:cs="Arial"/>
        </w:rPr>
        <w:t xml:space="preserve">* </w:t>
      </w:r>
      <w:r>
        <w:rPr>
          <w:rFonts w:ascii="Book Antiqua" w:hAnsi="Book Antiqua" w:cs="Arial"/>
        </w:rPr>
        <w:t>[2005] UKAIT 38 regarding the previous version of Section 85(5) of that Act had any bearing on an appeal under the Immigration (European Economic Area) Regulations 2006.</w:t>
      </w:r>
      <w:r w:rsidR="0057181C">
        <w:rPr>
          <w:rFonts w:ascii="Book Antiqua" w:hAnsi="Book Antiqua" w:cs="Arial"/>
        </w:rPr>
        <w:t xml:space="preserve"> In such an appeal, a T</w:t>
      </w:r>
      <w:r>
        <w:rPr>
          <w:rFonts w:ascii="Book Antiqua" w:hAnsi="Book Antiqua" w:cs="Arial"/>
        </w:rPr>
        <w:t xml:space="preserve">ribunal has power to consider any evidence which it thinks relevant to the substance of the decision, including evidence </w:t>
      </w:r>
      <w:r w:rsidR="0045658A">
        <w:rPr>
          <w:rFonts w:ascii="Book Antiqua" w:hAnsi="Book Antiqua" w:cs="Arial"/>
        </w:rPr>
        <w:t>concerning</w:t>
      </w:r>
      <w:r>
        <w:rPr>
          <w:rFonts w:ascii="Book Antiqua" w:hAnsi="Book Antiqua" w:cs="Arial"/>
        </w:rPr>
        <w:t xml:space="preserve"> a mater arising after the date of the decis</w:t>
      </w:r>
      <w:r w:rsidR="001D2A08">
        <w:rPr>
          <w:rFonts w:ascii="Book Antiqua" w:hAnsi="Book Antiqua" w:cs="Arial"/>
        </w:rPr>
        <w:t>i</w:t>
      </w:r>
      <w:r>
        <w:rPr>
          <w:rFonts w:ascii="Book Antiqua" w:hAnsi="Book Antiqua" w:cs="Arial"/>
        </w:rPr>
        <w:t xml:space="preserve">on.  </w:t>
      </w:r>
    </w:p>
    <w:p w14:paraId="7C856FC7" w14:textId="7D6AA58E" w:rsidR="00490D9B" w:rsidRDefault="00602E79" w:rsidP="00500016">
      <w:pPr>
        <w:spacing w:before="120" w:after="120"/>
        <w:ind w:left="1701" w:hanging="567"/>
        <w:jc w:val="both"/>
        <w:rPr>
          <w:rFonts w:ascii="Book Antiqua" w:hAnsi="Book Antiqua" w:cs="Arial"/>
        </w:rPr>
      </w:pPr>
      <w:r>
        <w:rPr>
          <w:rFonts w:ascii="Book Antiqua" w:hAnsi="Book Antiqua" w:cs="Arial"/>
        </w:rPr>
        <w:t>6.</w:t>
      </w:r>
      <w:r>
        <w:rPr>
          <w:rFonts w:ascii="Book Antiqua" w:hAnsi="Book Antiqua" w:cs="Arial"/>
        </w:rPr>
        <w:tab/>
        <w:t>Finally, Ground</w:t>
      </w:r>
      <w:r w:rsidR="001808BA">
        <w:rPr>
          <w:rFonts w:ascii="Book Antiqua" w:hAnsi="Book Antiqua" w:cs="Arial"/>
        </w:rPr>
        <w:t xml:space="preserve"> 3(c) has no merit. </w:t>
      </w:r>
      <w:r w:rsidR="0068299C">
        <w:rPr>
          <w:rFonts w:ascii="Book Antiqua" w:hAnsi="Book Antiqua" w:cs="Arial"/>
        </w:rPr>
        <w:t>The judge was entitled to clarify matters and where he felt an adjournment was appropriate the correct a</w:t>
      </w:r>
      <w:r w:rsidR="001808BA">
        <w:rPr>
          <w:rFonts w:ascii="Book Antiqua" w:hAnsi="Book Antiqua" w:cs="Arial"/>
        </w:rPr>
        <w:t xml:space="preserve">pproach would be to offer one. </w:t>
      </w:r>
      <w:r w:rsidR="0068299C">
        <w:rPr>
          <w:rFonts w:ascii="Book Antiqua" w:hAnsi="Book Antiqua" w:cs="Arial"/>
        </w:rPr>
        <w:t xml:space="preserve">This is what the judge did at the beginning of the hearing and the offer was declined by </w:t>
      </w:r>
      <w:r w:rsidR="009545E7">
        <w:rPr>
          <w:rFonts w:ascii="Book Antiqua" w:hAnsi="Book Antiqua" w:cs="Arial"/>
        </w:rPr>
        <w:t>the A</w:t>
      </w:r>
      <w:r w:rsidR="0068299C">
        <w:rPr>
          <w:rFonts w:ascii="Book Antiqua" w:hAnsi="Book Antiqua" w:cs="Arial"/>
        </w:rPr>
        <w:t>ppellant’s representative.</w:t>
      </w:r>
      <w:r w:rsidR="00EE1320">
        <w:rPr>
          <w:rFonts w:ascii="Book Antiqua" w:hAnsi="Book Antiqua" w:cs="Arial"/>
        </w:rPr>
        <w:t>”</w:t>
      </w:r>
    </w:p>
    <w:p w14:paraId="0A91A30B" w14:textId="5C49E7B8" w:rsidR="001808BA" w:rsidRDefault="001808BA" w:rsidP="001808BA">
      <w:pPr>
        <w:tabs>
          <w:tab w:val="left" w:pos="567"/>
        </w:tabs>
        <w:ind w:left="567" w:hanging="567"/>
        <w:jc w:val="both"/>
        <w:rPr>
          <w:rFonts w:ascii="Book Antiqua" w:hAnsi="Book Antiqua" w:cs="Arial"/>
        </w:rPr>
      </w:pPr>
      <w:r>
        <w:rPr>
          <w:rFonts w:ascii="Book Antiqua" w:hAnsi="Book Antiqua" w:cs="Arial"/>
        </w:rPr>
        <w:t>4</w:t>
      </w:r>
      <w:r w:rsidR="00490D9B" w:rsidRPr="008B5901">
        <w:rPr>
          <w:rFonts w:ascii="Book Antiqua" w:hAnsi="Book Antiqua" w:cs="Arial"/>
        </w:rPr>
        <w:t>.</w:t>
      </w:r>
      <w:r w:rsidR="00490D9B" w:rsidRPr="008B5901">
        <w:rPr>
          <w:rFonts w:ascii="Book Antiqua" w:hAnsi="Book Antiqua" w:cs="Arial"/>
        </w:rPr>
        <w:tab/>
      </w:r>
      <w:r w:rsidR="00EE1320">
        <w:rPr>
          <w:rFonts w:ascii="Book Antiqua" w:hAnsi="Book Antiqua" w:cs="Arial"/>
        </w:rPr>
        <w:t xml:space="preserve">Permission was granted by Upper Tribunal Judge Allen on 8 May 2018 on the </w:t>
      </w:r>
      <w:r w:rsidR="005F00BD">
        <w:rPr>
          <w:rFonts w:ascii="Book Antiqua" w:hAnsi="Book Antiqua" w:cs="Arial"/>
        </w:rPr>
        <w:t>grounds that they</w:t>
      </w:r>
      <w:r w:rsidR="00EE1320">
        <w:rPr>
          <w:rFonts w:ascii="Book Antiqua" w:hAnsi="Book Antiqua" w:cs="Arial"/>
        </w:rPr>
        <w:t xml:space="preserve"> were arguable issues in this case concerning the burden of proof.  </w:t>
      </w:r>
    </w:p>
    <w:p w14:paraId="6C2E1DEE" w14:textId="77777777" w:rsidR="001808BA" w:rsidRDefault="001808BA" w:rsidP="00490D9B">
      <w:pPr>
        <w:tabs>
          <w:tab w:val="left" w:pos="567"/>
        </w:tabs>
        <w:ind w:left="567" w:hanging="567"/>
        <w:jc w:val="both"/>
        <w:rPr>
          <w:rFonts w:ascii="Book Antiqua" w:hAnsi="Book Antiqua" w:cs="Arial"/>
        </w:rPr>
      </w:pPr>
    </w:p>
    <w:p w14:paraId="261E1A8F" w14:textId="356F63D3" w:rsidR="00490D9B" w:rsidRPr="008B5901" w:rsidRDefault="001808BA" w:rsidP="00490D9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r>
      <w:r w:rsidR="00EE1320">
        <w:rPr>
          <w:rFonts w:ascii="Book Antiqua" w:hAnsi="Book Antiqua" w:cs="Arial"/>
        </w:rPr>
        <w:t>The Appella</w:t>
      </w:r>
      <w:r>
        <w:rPr>
          <w:rFonts w:ascii="Book Antiqua" w:hAnsi="Book Antiqua" w:cs="Arial"/>
        </w:rPr>
        <w:t xml:space="preserve">nt did not attend the hearing. </w:t>
      </w:r>
      <w:r w:rsidR="00EE1320">
        <w:rPr>
          <w:rFonts w:ascii="Book Antiqua" w:hAnsi="Book Antiqua" w:cs="Arial"/>
        </w:rPr>
        <w:t>I am satisfied that the notice of hearing was properly served at the Appellant’s home address and t</w:t>
      </w:r>
      <w:r w:rsidR="009F0B18">
        <w:rPr>
          <w:rFonts w:ascii="Book Antiqua" w:hAnsi="Book Antiqua" w:cs="Arial"/>
        </w:rPr>
        <w:t>he address that he gave on the n</w:t>
      </w:r>
      <w:r w:rsidR="008F54E9">
        <w:rPr>
          <w:rFonts w:ascii="Book Antiqua" w:hAnsi="Book Antiqua" w:cs="Arial"/>
        </w:rPr>
        <w:t>otice of a</w:t>
      </w:r>
      <w:r>
        <w:rPr>
          <w:rFonts w:ascii="Book Antiqua" w:hAnsi="Book Antiqua" w:cs="Arial"/>
        </w:rPr>
        <w:t xml:space="preserve">ppeal. </w:t>
      </w:r>
      <w:r w:rsidR="00EE1320">
        <w:rPr>
          <w:rFonts w:ascii="Book Antiqua" w:hAnsi="Book Antiqua" w:cs="Arial"/>
        </w:rPr>
        <w:t>It was also served on his representative who has given a home a</w:t>
      </w:r>
      <w:r>
        <w:rPr>
          <w:rFonts w:ascii="Book Antiqua" w:hAnsi="Book Antiqua" w:cs="Arial"/>
        </w:rPr>
        <w:t>ddress in London.</w:t>
      </w:r>
      <w:r w:rsidR="00EE1320">
        <w:rPr>
          <w:rFonts w:ascii="Book Antiqua" w:hAnsi="Book Antiqua" w:cs="Arial"/>
        </w:rPr>
        <w:t xml:space="preserve"> There was no </w:t>
      </w:r>
      <w:r w:rsidR="009F0B18">
        <w:rPr>
          <w:rFonts w:ascii="Book Antiqua" w:hAnsi="Book Antiqua" w:cs="Arial"/>
        </w:rPr>
        <w:t>telephone number stated on the n</w:t>
      </w:r>
      <w:r w:rsidR="008F54E9">
        <w:rPr>
          <w:rFonts w:ascii="Book Antiqua" w:hAnsi="Book Antiqua" w:cs="Arial"/>
        </w:rPr>
        <w:t>otice of a</w:t>
      </w:r>
      <w:r w:rsidR="00EE1320">
        <w:rPr>
          <w:rFonts w:ascii="Book Antiqua" w:hAnsi="Book Antiqua" w:cs="Arial"/>
        </w:rPr>
        <w:t>ppeal and therefore enquiries made on the day failed to establish why there was no attendan</w:t>
      </w:r>
      <w:r>
        <w:rPr>
          <w:rFonts w:ascii="Book Antiqua" w:hAnsi="Book Antiqua" w:cs="Arial"/>
        </w:rPr>
        <w:t xml:space="preserve">ce by the Appellant or his representative. </w:t>
      </w:r>
      <w:r w:rsidR="00EE1320">
        <w:rPr>
          <w:rFonts w:ascii="Book Antiqua" w:hAnsi="Book Antiqua" w:cs="Arial"/>
        </w:rPr>
        <w:t>I am satisfied that the notice of hearing was properly served and in the interests of the overriding objective I proceed</w:t>
      </w:r>
      <w:r>
        <w:rPr>
          <w:rFonts w:ascii="Book Antiqua" w:hAnsi="Book Antiqua" w:cs="Arial"/>
        </w:rPr>
        <w:t>ed</w:t>
      </w:r>
      <w:r w:rsidR="00EE1320">
        <w:rPr>
          <w:rFonts w:ascii="Book Antiqua" w:hAnsi="Book Antiqua" w:cs="Arial"/>
        </w:rPr>
        <w:t xml:space="preserve"> in the Appellant’s absence.  </w:t>
      </w:r>
    </w:p>
    <w:p w14:paraId="6BED9DC3" w14:textId="77777777" w:rsidR="00490D9B" w:rsidRDefault="00490D9B" w:rsidP="00490D9B">
      <w:pPr>
        <w:tabs>
          <w:tab w:val="left" w:pos="567"/>
        </w:tabs>
        <w:ind w:left="567" w:hanging="567"/>
        <w:jc w:val="both"/>
        <w:rPr>
          <w:rFonts w:ascii="Book Antiqua" w:hAnsi="Book Antiqua" w:cs="Arial"/>
        </w:rPr>
      </w:pPr>
    </w:p>
    <w:p w14:paraId="68F91134" w14:textId="2F98B09E" w:rsidR="001808BA" w:rsidRDefault="001808BA" w:rsidP="001808BA">
      <w:pPr>
        <w:ind w:left="567" w:hanging="567"/>
        <w:jc w:val="both"/>
        <w:rPr>
          <w:rFonts w:ascii="Book Antiqua" w:hAnsi="Book Antiqua" w:cs="Arial"/>
        </w:rPr>
      </w:pPr>
      <w:r>
        <w:rPr>
          <w:rFonts w:ascii="Book Antiqua" w:hAnsi="Book Antiqua" w:cs="Arial"/>
        </w:rPr>
        <w:t>6.</w:t>
      </w:r>
      <w:r>
        <w:rPr>
          <w:rFonts w:ascii="Book Antiqua" w:hAnsi="Book Antiqua" w:cs="Arial"/>
        </w:rPr>
        <w:tab/>
        <w:t>The grounds of appeal are lengthy (77 paragraphs). In summary the relevant paragraphs, relating to the burden of proof, are 54 and 58:</w:t>
      </w:r>
    </w:p>
    <w:p w14:paraId="3615DAA6" w14:textId="77777777" w:rsidR="001808BA" w:rsidRDefault="001808BA" w:rsidP="00500016">
      <w:pPr>
        <w:spacing w:before="120" w:after="120"/>
        <w:ind w:left="1701" w:hanging="567"/>
        <w:jc w:val="both"/>
        <w:rPr>
          <w:rFonts w:ascii="Book Antiqua" w:hAnsi="Book Antiqua" w:cs="Arial"/>
        </w:rPr>
      </w:pPr>
      <w:r>
        <w:rPr>
          <w:rFonts w:ascii="Book Antiqua" w:hAnsi="Book Antiqua" w:cs="Arial"/>
        </w:rPr>
        <w:t>“54.</w:t>
      </w:r>
      <w:r>
        <w:rPr>
          <w:rFonts w:ascii="Book Antiqua" w:hAnsi="Book Antiqua" w:cs="Arial"/>
        </w:rPr>
        <w:tab/>
        <w:t>It was not open to First-tier Tribunal Judge Hembrough to require, elicit or probe any evidence on the part of the Appellant. It is submitted that the First-tier Tribunal Judge materially erred in law in requiring evidence from the Appellant, testing such evidence and drawing adverse inference as to lack of evidence.”</w:t>
      </w:r>
    </w:p>
    <w:p w14:paraId="4D0D80B0" w14:textId="77777777" w:rsidR="001808BA" w:rsidRDefault="001808BA" w:rsidP="00500016">
      <w:pPr>
        <w:spacing w:before="120" w:after="120"/>
        <w:ind w:left="1134"/>
        <w:jc w:val="both"/>
        <w:rPr>
          <w:rFonts w:ascii="Book Antiqua" w:hAnsi="Book Antiqua" w:cs="Arial"/>
        </w:rPr>
      </w:pPr>
      <w:r>
        <w:rPr>
          <w:rFonts w:ascii="Book Antiqua" w:hAnsi="Book Antiqua" w:cs="Arial"/>
        </w:rPr>
        <w:t>“58.</w:t>
      </w:r>
      <w:r>
        <w:rPr>
          <w:rFonts w:ascii="Book Antiqua" w:hAnsi="Book Antiqua" w:cs="Arial"/>
        </w:rPr>
        <w:tab/>
        <w:t>In summary First-tier Tribunal Judge Hembrough:</w:t>
      </w:r>
    </w:p>
    <w:p w14:paraId="1A0EB462" w14:textId="77777777" w:rsidR="001808BA" w:rsidRPr="00792B5B" w:rsidRDefault="001808BA" w:rsidP="00500016">
      <w:pPr>
        <w:pStyle w:val="ListParagraph"/>
        <w:numPr>
          <w:ilvl w:val="0"/>
          <w:numId w:val="1"/>
        </w:numPr>
        <w:spacing w:before="120" w:after="120"/>
        <w:ind w:left="2268" w:hanging="567"/>
        <w:contextualSpacing w:val="0"/>
        <w:jc w:val="both"/>
        <w:rPr>
          <w:rFonts w:ascii="Book Antiqua" w:hAnsi="Book Antiqua" w:cs="Arial"/>
        </w:rPr>
      </w:pPr>
      <w:r>
        <w:rPr>
          <w:rFonts w:ascii="Book Antiqua" w:hAnsi="Book Antiqua" w:cs="Arial"/>
        </w:rPr>
        <w:t>misdirected himself as to which party bore the legal burden of proof in relation to the qualified person issue;</w:t>
      </w:r>
    </w:p>
    <w:p w14:paraId="412AE247" w14:textId="77777777" w:rsidR="001808BA" w:rsidRPr="00792B5B" w:rsidRDefault="001808BA" w:rsidP="00500016">
      <w:pPr>
        <w:pStyle w:val="ListParagraph"/>
        <w:numPr>
          <w:ilvl w:val="0"/>
          <w:numId w:val="1"/>
        </w:numPr>
        <w:spacing w:before="120" w:after="120"/>
        <w:ind w:left="2268" w:hanging="567"/>
        <w:contextualSpacing w:val="0"/>
        <w:jc w:val="both"/>
        <w:rPr>
          <w:rFonts w:ascii="Book Antiqua" w:hAnsi="Book Antiqua" w:cs="Arial"/>
        </w:rPr>
      </w:pPr>
      <w:r>
        <w:rPr>
          <w:rFonts w:ascii="Book Antiqua" w:hAnsi="Book Antiqua" w:cs="Arial"/>
        </w:rPr>
        <w:t>wrongly considered the issue of whether the marriage was genuine and subsisting to be discreet from, and fell to be determined separately from, the marriage of convenience issue;</w:t>
      </w:r>
    </w:p>
    <w:p w14:paraId="25378CFE" w14:textId="77777777" w:rsidR="001808BA" w:rsidRPr="00792B5B" w:rsidRDefault="001808BA" w:rsidP="00500016">
      <w:pPr>
        <w:pStyle w:val="ListParagraph"/>
        <w:numPr>
          <w:ilvl w:val="0"/>
          <w:numId w:val="1"/>
        </w:numPr>
        <w:spacing w:before="120" w:after="120"/>
        <w:ind w:left="2268" w:hanging="567"/>
        <w:contextualSpacing w:val="0"/>
        <w:jc w:val="both"/>
        <w:rPr>
          <w:rFonts w:ascii="Book Antiqua" w:hAnsi="Book Antiqua" w:cs="Arial"/>
        </w:rPr>
      </w:pPr>
      <w:r>
        <w:rPr>
          <w:rFonts w:ascii="Book Antiqua" w:hAnsi="Book Antiqua" w:cs="Arial"/>
        </w:rPr>
        <w:lastRenderedPageBreak/>
        <w:t>in the alternative misdirected himself as to which party bore the legal burden of proof in relation to the issue of whether the marriage was genuine and subsisting; and</w:t>
      </w:r>
    </w:p>
    <w:p w14:paraId="5F28C5E3" w14:textId="77777777" w:rsidR="001808BA" w:rsidRPr="005F4FC8" w:rsidRDefault="001808BA" w:rsidP="00500016">
      <w:pPr>
        <w:pStyle w:val="ListParagraph"/>
        <w:numPr>
          <w:ilvl w:val="0"/>
          <w:numId w:val="1"/>
        </w:numPr>
        <w:spacing w:before="120" w:after="120"/>
        <w:ind w:left="2268" w:hanging="567"/>
        <w:contextualSpacing w:val="0"/>
        <w:jc w:val="both"/>
        <w:rPr>
          <w:rFonts w:ascii="Book Antiqua" w:hAnsi="Book Antiqua" w:cs="Arial"/>
        </w:rPr>
      </w:pPr>
      <w:r>
        <w:rPr>
          <w:rFonts w:ascii="Book Antiqua" w:hAnsi="Book Antiqua" w:cs="Arial"/>
        </w:rPr>
        <w:t xml:space="preserve">erred in requiring and testing evidence from the Appellant in the circumstances.” </w:t>
      </w:r>
    </w:p>
    <w:p w14:paraId="5B9B05ED" w14:textId="6BFD83EA" w:rsidR="00127F07" w:rsidRDefault="001808BA" w:rsidP="008265C2">
      <w:pPr>
        <w:tabs>
          <w:tab w:val="left" w:pos="567"/>
        </w:tabs>
        <w:ind w:left="567" w:hanging="567"/>
        <w:jc w:val="both"/>
        <w:rPr>
          <w:rFonts w:ascii="Book Antiqua" w:hAnsi="Book Antiqua" w:cs="Arial"/>
        </w:rPr>
      </w:pPr>
      <w:r>
        <w:rPr>
          <w:rFonts w:ascii="Book Antiqua" w:hAnsi="Book Antiqua" w:cs="Arial"/>
        </w:rPr>
        <w:t>7</w:t>
      </w:r>
      <w:r w:rsidR="00490D9B" w:rsidRPr="008B5901">
        <w:rPr>
          <w:rFonts w:ascii="Book Antiqua" w:hAnsi="Book Antiqua" w:cs="Arial"/>
        </w:rPr>
        <w:t>.</w:t>
      </w:r>
      <w:r w:rsidR="00490D9B" w:rsidRPr="008B5901">
        <w:rPr>
          <w:rFonts w:ascii="Book Antiqua" w:hAnsi="Book Antiqua" w:cs="Arial"/>
        </w:rPr>
        <w:tab/>
      </w:r>
      <w:r w:rsidR="00EE1320">
        <w:rPr>
          <w:rFonts w:ascii="Book Antiqua" w:hAnsi="Book Antiqua" w:cs="Arial"/>
        </w:rPr>
        <w:t>The judge made the following findings</w:t>
      </w:r>
      <w:r w:rsidR="00127F07">
        <w:rPr>
          <w:rFonts w:ascii="Book Antiqua" w:hAnsi="Book Antiqua" w:cs="Arial"/>
        </w:rPr>
        <w:t>:</w:t>
      </w:r>
    </w:p>
    <w:p w14:paraId="72F880B5" w14:textId="7F8B254F" w:rsidR="005E4E6E" w:rsidRDefault="005E4E6E" w:rsidP="00500016">
      <w:pPr>
        <w:spacing w:before="120" w:after="120"/>
        <w:ind w:left="1701" w:hanging="567"/>
        <w:jc w:val="both"/>
        <w:rPr>
          <w:rFonts w:ascii="Book Antiqua" w:hAnsi="Book Antiqua" w:cs="Arial"/>
        </w:rPr>
      </w:pPr>
      <w:r>
        <w:rPr>
          <w:rFonts w:ascii="Book Antiqua" w:hAnsi="Book Antiqua" w:cs="Arial"/>
        </w:rPr>
        <w:t>“12.</w:t>
      </w:r>
      <w:r>
        <w:rPr>
          <w:rFonts w:ascii="Book Antiqua" w:hAnsi="Book Antiqua" w:cs="Arial"/>
        </w:rPr>
        <w:tab/>
        <w:t xml:space="preserve">I noted however that in addition to the question as to whether the marriage was one of convenience issues had also been raised in the reasons for revocation letter as to whether the marriage was subsisting and as to whether the </w:t>
      </w:r>
      <w:r w:rsidR="00127F07">
        <w:rPr>
          <w:rFonts w:ascii="Book Antiqua" w:hAnsi="Book Antiqua" w:cs="Arial"/>
        </w:rPr>
        <w:t>Sponsor was a qualified person.</w:t>
      </w:r>
      <w:r>
        <w:rPr>
          <w:rFonts w:ascii="Book Antiqua" w:hAnsi="Book Antiqua" w:cs="Arial"/>
        </w:rPr>
        <w:t xml:space="preserve"> I also noted that there was no witness statement from the Sponsor who was not in attendance at the hearing and that whilst I had been presented with copies of her P60s for the tax years</w:t>
      </w:r>
      <w:r w:rsidR="00556553">
        <w:rPr>
          <w:rFonts w:ascii="Book Antiqua" w:hAnsi="Book Antiqua" w:cs="Arial"/>
        </w:rPr>
        <w:t xml:space="preserve"> ended</w:t>
      </w:r>
      <w:r w:rsidR="00127F07">
        <w:rPr>
          <w:rFonts w:ascii="Book Antiqua" w:hAnsi="Book Antiqua" w:cs="Arial"/>
        </w:rPr>
        <w:t xml:space="preserve"> 2015 to 2017 i</w:t>
      </w:r>
      <w:r>
        <w:rPr>
          <w:rFonts w:ascii="Book Antiqua" w:hAnsi="Book Antiqua" w:cs="Arial"/>
        </w:rPr>
        <w:t xml:space="preserve">t might be arguable that the level of earnings shown was </w:t>
      </w:r>
      <w:r w:rsidR="00231A2B">
        <w:rPr>
          <w:rFonts w:ascii="Book Antiqua" w:hAnsi="Book Antiqua" w:cs="Arial"/>
        </w:rPr>
        <w:t>‘</w:t>
      </w:r>
      <w:r>
        <w:rPr>
          <w:rFonts w:ascii="Book Antiqua" w:hAnsi="Book Antiqua" w:cs="Arial"/>
        </w:rPr>
        <w:t>marginal or ancillary</w:t>
      </w:r>
      <w:r w:rsidR="00231A2B">
        <w:rPr>
          <w:rFonts w:ascii="Book Antiqua" w:hAnsi="Book Antiqua" w:cs="Arial"/>
        </w:rPr>
        <w:t>’</w:t>
      </w:r>
      <w:r w:rsidR="00127F07">
        <w:rPr>
          <w:rFonts w:ascii="Book Antiqua" w:hAnsi="Book Antiqua" w:cs="Arial"/>
        </w:rPr>
        <w:t xml:space="preserve">. </w:t>
      </w:r>
      <w:r>
        <w:rPr>
          <w:rFonts w:ascii="Book Antiqua" w:hAnsi="Book Antiqua" w:cs="Arial"/>
        </w:rPr>
        <w:t>Her stated earnings for the year ended 2015 were £1,942.40, in 2016 they were £4,303.26 and in 2017 they were £5,980.48.</w:t>
      </w:r>
      <w:r w:rsidR="00127F07">
        <w:rPr>
          <w:rFonts w:ascii="Book Antiqua" w:hAnsi="Book Antiqua" w:cs="Arial"/>
        </w:rPr>
        <w:t>”</w:t>
      </w:r>
    </w:p>
    <w:p w14:paraId="0AA27314" w14:textId="4A47C5D1" w:rsidR="005E4E6E" w:rsidRDefault="00127F07" w:rsidP="00500016">
      <w:pPr>
        <w:spacing w:before="120" w:after="120"/>
        <w:ind w:left="1701" w:hanging="567"/>
        <w:jc w:val="both"/>
        <w:rPr>
          <w:rFonts w:ascii="Book Antiqua" w:hAnsi="Book Antiqua" w:cs="Arial"/>
        </w:rPr>
      </w:pPr>
      <w:r>
        <w:rPr>
          <w:rFonts w:ascii="Book Antiqua" w:hAnsi="Book Antiqua" w:cs="Arial"/>
        </w:rPr>
        <w:t>“</w:t>
      </w:r>
      <w:r w:rsidR="005E4E6E">
        <w:rPr>
          <w:rFonts w:ascii="Book Antiqua" w:hAnsi="Book Antiqua" w:cs="Arial"/>
        </w:rPr>
        <w:t>16.</w:t>
      </w:r>
      <w:r w:rsidR="005E4E6E">
        <w:rPr>
          <w:rFonts w:ascii="Book Antiqua" w:hAnsi="Book Antiqua" w:cs="Arial"/>
        </w:rPr>
        <w:tab/>
        <w:t xml:space="preserve">I indicated that I was prepared to adjourn the hearing in order to give the Appellant the opportunity to gather </w:t>
      </w:r>
      <w:r w:rsidR="00AA34AC">
        <w:rPr>
          <w:rFonts w:ascii="Book Antiqua" w:hAnsi="Book Antiqua" w:cs="Arial"/>
        </w:rPr>
        <w:t>further evidence so as to address</w:t>
      </w:r>
      <w:r w:rsidR="005E4E6E">
        <w:rPr>
          <w:rFonts w:ascii="Book Antiqua" w:hAnsi="Book Antiqua" w:cs="Arial"/>
        </w:rPr>
        <w:t xml:space="preserve"> the issues in relation to the subsistence of the marriage and the continued ex</w:t>
      </w:r>
      <w:r w:rsidR="00614886">
        <w:rPr>
          <w:rFonts w:ascii="Book Antiqua" w:hAnsi="Book Antiqua" w:cs="Arial"/>
        </w:rPr>
        <w:t>ercise of treaty rights by the S</w:t>
      </w:r>
      <w:r w:rsidR="005E4E6E">
        <w:rPr>
          <w:rFonts w:ascii="Book Antiqua" w:hAnsi="Book Antiqua" w:cs="Arial"/>
        </w:rPr>
        <w:t>ponsor proposing that in do</w:t>
      </w:r>
      <w:r w:rsidR="00AA34AC">
        <w:rPr>
          <w:rFonts w:ascii="Book Antiqua" w:hAnsi="Book Antiqua" w:cs="Arial"/>
        </w:rPr>
        <w:t>ing</w:t>
      </w:r>
      <w:r w:rsidR="005E4E6E">
        <w:rPr>
          <w:rFonts w:ascii="Book Antiqua" w:hAnsi="Book Antiqua" w:cs="Arial"/>
        </w:rPr>
        <w:t xml:space="preserve"> so I would</w:t>
      </w:r>
      <w:r>
        <w:rPr>
          <w:rFonts w:ascii="Book Antiqua" w:hAnsi="Book Antiqua" w:cs="Arial"/>
        </w:rPr>
        <w:t xml:space="preserve"> reserve the matter to myself. </w:t>
      </w:r>
      <w:r w:rsidR="005E4E6E">
        <w:rPr>
          <w:rFonts w:ascii="Book Antiqua" w:hAnsi="Book Antiqua" w:cs="Arial"/>
        </w:rPr>
        <w:t>Mr Sobowale then requested a short ad</w:t>
      </w:r>
      <w:r>
        <w:rPr>
          <w:rFonts w:ascii="Book Antiqua" w:hAnsi="Book Antiqua" w:cs="Arial"/>
        </w:rPr>
        <w:t>journment to take instructions.</w:t>
      </w:r>
      <w:r w:rsidR="005E4E6E">
        <w:rPr>
          <w:rFonts w:ascii="Book Antiqua" w:hAnsi="Book Antiqua" w:cs="Arial"/>
        </w:rPr>
        <w:t xml:space="preserve"> On the resumption he indicated that the Appellant did not wish for the hearing to be adjourned and wished to proceed on the basis of the available evidence.</w:t>
      </w:r>
      <w:r>
        <w:rPr>
          <w:rFonts w:ascii="Book Antiqua" w:hAnsi="Book Antiqua" w:cs="Arial"/>
        </w:rPr>
        <w:t>”</w:t>
      </w:r>
    </w:p>
    <w:p w14:paraId="152589A1" w14:textId="77BA89DC" w:rsidR="005E4E6E" w:rsidRDefault="005E4E6E" w:rsidP="00500016">
      <w:pPr>
        <w:spacing w:before="120" w:after="120"/>
        <w:ind w:left="1701" w:hanging="567"/>
        <w:jc w:val="both"/>
        <w:rPr>
          <w:rFonts w:ascii="Book Antiqua" w:hAnsi="Book Antiqua" w:cs="Arial"/>
        </w:rPr>
      </w:pPr>
      <w:r>
        <w:rPr>
          <w:rFonts w:ascii="Book Antiqua" w:hAnsi="Book Antiqua" w:cs="Arial"/>
        </w:rPr>
        <w:t>17.</w:t>
      </w:r>
      <w:r>
        <w:rPr>
          <w:rFonts w:ascii="Book Antiqua" w:hAnsi="Book Antiqua" w:cs="Arial"/>
        </w:rPr>
        <w:tab/>
        <w:t>In resp</w:t>
      </w:r>
      <w:r w:rsidR="00BD6BC1">
        <w:rPr>
          <w:rFonts w:ascii="Book Antiqua" w:hAnsi="Book Antiqua" w:cs="Arial"/>
        </w:rPr>
        <w:t>onse to my enquiry as regards the</w:t>
      </w:r>
      <w:r>
        <w:rPr>
          <w:rFonts w:ascii="Book Antiqua" w:hAnsi="Book Antiqua" w:cs="Arial"/>
        </w:rPr>
        <w:t xml:space="preserve"> Section 120 notice Mr Sobowale said that he was unaware as to whether the Appellant had in fact lodged any separate asylum claim and in the context of this appeal no reliance was placed upon asylum grounds or Article 3 of the ECHR.</w:t>
      </w:r>
      <w:r w:rsidR="00127F07">
        <w:rPr>
          <w:rFonts w:ascii="Book Antiqua" w:hAnsi="Book Antiqua" w:cs="Arial"/>
        </w:rPr>
        <w:t>”</w:t>
      </w:r>
    </w:p>
    <w:p w14:paraId="783419DF" w14:textId="258F4A5E" w:rsidR="006278B4" w:rsidRDefault="00127F07" w:rsidP="00500016">
      <w:pPr>
        <w:spacing w:before="120" w:after="120"/>
        <w:ind w:left="1701" w:hanging="567"/>
        <w:jc w:val="both"/>
        <w:rPr>
          <w:rFonts w:ascii="Book Antiqua" w:hAnsi="Book Antiqua" w:cs="Arial"/>
        </w:rPr>
      </w:pPr>
      <w:r>
        <w:rPr>
          <w:rFonts w:ascii="Book Antiqua" w:hAnsi="Book Antiqua" w:cs="Arial"/>
        </w:rPr>
        <w:t>“</w:t>
      </w:r>
      <w:r w:rsidR="006278B4">
        <w:rPr>
          <w:rFonts w:ascii="Book Antiqua" w:hAnsi="Book Antiqua" w:cs="Arial"/>
        </w:rPr>
        <w:t>29.</w:t>
      </w:r>
      <w:r w:rsidR="006278B4">
        <w:rPr>
          <w:rFonts w:ascii="Book Antiqua" w:hAnsi="Book Antiqua" w:cs="Arial"/>
        </w:rPr>
        <w:tab/>
        <w:t>When the Appellant was cross-examined by Mr Lumb he confirmed that the Sponsor had given up her employment wh</w:t>
      </w:r>
      <w:r>
        <w:rPr>
          <w:rFonts w:ascii="Book Antiqua" w:hAnsi="Book Antiqua" w:cs="Arial"/>
        </w:rPr>
        <w:t>en she travelled to Martinique.</w:t>
      </w:r>
      <w:r w:rsidR="006278B4">
        <w:rPr>
          <w:rFonts w:ascii="Book Antiqua" w:hAnsi="Book Antiqua" w:cs="Arial"/>
        </w:rPr>
        <w:t xml:space="preserve"> A P45 included in the papers submitted showed that she had left on 8</w:t>
      </w:r>
      <w:r w:rsidR="00A72060">
        <w:rPr>
          <w:rFonts w:ascii="Book Antiqua" w:hAnsi="Book Antiqua" w:cs="Arial"/>
        </w:rPr>
        <w:t xml:space="preserve"> </w:t>
      </w:r>
      <w:r w:rsidR="006278B4">
        <w:rPr>
          <w:rFonts w:ascii="Book Antiqua" w:hAnsi="Book Antiqua" w:cs="Arial"/>
        </w:rPr>
        <w:t>May 2017.  It was put to him that the Sponsor’s pay slip for the period 13 March 2017 to 26 March 2017 showed that she had worked 103 hours which was not consistent with his evidence that she worked p</w:t>
      </w:r>
      <w:r>
        <w:rPr>
          <w:rFonts w:ascii="Book Antiqua" w:hAnsi="Book Antiqua" w:cs="Arial"/>
        </w:rPr>
        <w:t xml:space="preserve">art-time. </w:t>
      </w:r>
      <w:r w:rsidR="006278B4">
        <w:rPr>
          <w:rFonts w:ascii="Book Antiqua" w:hAnsi="Book Antiqua" w:cs="Arial"/>
        </w:rPr>
        <w:t>He said that he was busy with his own work and was not always there to monitor what time she left the house and what time she returned.</w:t>
      </w:r>
      <w:r>
        <w:rPr>
          <w:rFonts w:ascii="Book Antiqua" w:hAnsi="Book Antiqua" w:cs="Arial"/>
        </w:rPr>
        <w:t>”</w:t>
      </w:r>
    </w:p>
    <w:p w14:paraId="2DE9A4E9" w14:textId="083B74D3" w:rsidR="008265C2" w:rsidRPr="008265C2" w:rsidRDefault="008265C2" w:rsidP="00500016">
      <w:pPr>
        <w:spacing w:before="120" w:after="120"/>
        <w:ind w:left="1701" w:hanging="567"/>
        <w:jc w:val="both"/>
        <w:rPr>
          <w:rFonts w:ascii="Book Antiqua" w:hAnsi="Book Antiqua" w:cs="Arial"/>
        </w:rPr>
      </w:pPr>
      <w:r>
        <w:rPr>
          <w:rFonts w:ascii="Book Antiqua" w:hAnsi="Book Antiqua" w:cs="Arial"/>
        </w:rPr>
        <w:t>“35.</w:t>
      </w:r>
      <w:r>
        <w:rPr>
          <w:rFonts w:ascii="Book Antiqua" w:hAnsi="Book Antiqua" w:cs="Arial"/>
        </w:rPr>
        <w:tab/>
        <w:t xml:space="preserve">I have found this to be a perplexing appeal in many respects. However as was accepted by Mr Lumb the Respondent has brought forward no documentary (sic) to substantiate the assertion that the marriage between the Appellant and the Sponsor was one of convenience. I agree with the submission made by Mr Sobowale with reference to the decision in </w:t>
      </w:r>
      <w:r>
        <w:rPr>
          <w:rFonts w:ascii="Book Antiqua" w:hAnsi="Book Antiqua" w:cs="Arial"/>
          <w:u w:val="single"/>
        </w:rPr>
        <w:t xml:space="preserve">Papajorgji </w:t>
      </w:r>
      <w:r>
        <w:rPr>
          <w:rFonts w:ascii="Book Antiqua" w:hAnsi="Book Antiqua" w:cs="Arial"/>
        </w:rPr>
        <w:t xml:space="preserve">and </w:t>
      </w:r>
      <w:r>
        <w:rPr>
          <w:rFonts w:ascii="Book Antiqua" w:hAnsi="Book Antiqua" w:cs="Arial"/>
          <w:u w:val="single"/>
        </w:rPr>
        <w:t>Rosa</w:t>
      </w:r>
      <w:r>
        <w:rPr>
          <w:rFonts w:ascii="Book Antiqua" w:hAnsi="Book Antiqua" w:cs="Arial"/>
        </w:rPr>
        <w:t xml:space="preserve"> that the Respondent has not come close to discharging the burden of proof upon her in that regard. In so far as this was relied upon </w:t>
      </w:r>
      <w:r>
        <w:rPr>
          <w:rFonts w:ascii="Book Antiqua" w:hAnsi="Book Antiqua" w:cs="Arial"/>
        </w:rPr>
        <w:lastRenderedPageBreak/>
        <w:t>as a reason for revocation of the residence card issued to the appellant on the 26</w:t>
      </w:r>
      <w:r>
        <w:rPr>
          <w:rFonts w:ascii="Book Antiqua" w:hAnsi="Book Antiqua" w:cs="Arial"/>
          <w:vertAlign w:val="superscript"/>
        </w:rPr>
        <w:t xml:space="preserve"> </w:t>
      </w:r>
      <w:r>
        <w:rPr>
          <w:rFonts w:ascii="Book Antiqua" w:hAnsi="Book Antiqua" w:cs="Arial"/>
        </w:rPr>
        <w:t>February 2015 I find the decision was not in accordance with the 2006 Regulations.</w:t>
      </w:r>
    </w:p>
    <w:p w14:paraId="68489A12" w14:textId="47DA13D4" w:rsidR="00823DDA" w:rsidRDefault="00127F07" w:rsidP="00500016">
      <w:pPr>
        <w:spacing w:before="120" w:after="120"/>
        <w:ind w:left="1701" w:hanging="567"/>
        <w:jc w:val="both"/>
        <w:rPr>
          <w:rFonts w:ascii="Book Antiqua" w:hAnsi="Book Antiqua" w:cs="Arial"/>
        </w:rPr>
      </w:pPr>
      <w:r>
        <w:rPr>
          <w:rFonts w:ascii="Book Antiqua" w:hAnsi="Book Antiqua" w:cs="Arial"/>
        </w:rPr>
        <w:t>“</w:t>
      </w:r>
      <w:r w:rsidR="006278B4">
        <w:rPr>
          <w:rFonts w:ascii="Book Antiqua" w:hAnsi="Book Antiqua" w:cs="Arial"/>
        </w:rPr>
        <w:t>37.</w:t>
      </w:r>
      <w:r w:rsidR="006278B4">
        <w:rPr>
          <w:rFonts w:ascii="Book Antiqua" w:hAnsi="Book Antiqua" w:cs="Arial"/>
        </w:rPr>
        <w:tab/>
        <w:t xml:space="preserve">I found the Appellant’s evidence regarding the subsistence of the marriage to be unconvincing and whist he produced some documentary evidence </w:t>
      </w:r>
      <w:r w:rsidR="00823DDA">
        <w:rPr>
          <w:rFonts w:ascii="Book Antiqua" w:hAnsi="Book Antiqua" w:cs="Arial"/>
        </w:rPr>
        <w:t>which appears to show that the Sponsor has been living and working in the UK and that they have shared the same address.  There was no cogent evidence</w:t>
      </w:r>
      <w:r>
        <w:rPr>
          <w:rFonts w:ascii="Book Antiqua" w:hAnsi="Book Antiqua" w:cs="Arial"/>
        </w:rPr>
        <w:t xml:space="preserve"> of a subsisting relationship. </w:t>
      </w:r>
      <w:r w:rsidR="00823DDA">
        <w:rPr>
          <w:rFonts w:ascii="Book Antiqua" w:hAnsi="Book Antiqua" w:cs="Arial"/>
        </w:rPr>
        <w:t>No personal correspondence, bi</w:t>
      </w:r>
      <w:r w:rsidR="00E61CB4">
        <w:rPr>
          <w:rFonts w:ascii="Book Antiqua" w:hAnsi="Book Antiqua" w:cs="Arial"/>
        </w:rPr>
        <w:t>rthday or anniversary cards, tex</w:t>
      </w:r>
      <w:r w:rsidR="00823DDA">
        <w:rPr>
          <w:rFonts w:ascii="Book Antiqua" w:hAnsi="Book Antiqua" w:cs="Arial"/>
        </w:rPr>
        <w:t>ts or email messages or evidence of a pooling of resources.  There was no joint bank account and the only documents that bear both of their names are the council tax bills (which simply show that they occupied the same address with others) and a letter from Student Finance England the content of which was not explained.  Whilst he submitted evidence of his travel to Belgium in 2013 the ticket was in his sole name for “one young person” as was the associated travel insurance.  There was no documentary evidence to show that</w:t>
      </w:r>
      <w:r w:rsidR="00CE08EB">
        <w:rPr>
          <w:rFonts w:ascii="Book Antiqua" w:hAnsi="Book Antiqua" w:cs="Arial"/>
        </w:rPr>
        <w:t xml:space="preserve"> </w:t>
      </w:r>
      <w:r w:rsidR="00823DDA">
        <w:rPr>
          <w:rFonts w:ascii="Book Antiqua" w:hAnsi="Book Antiqua" w:cs="Arial"/>
        </w:rPr>
        <w:t>he had travelled in the company of the Sponsor.</w:t>
      </w:r>
    </w:p>
    <w:p w14:paraId="200277FD" w14:textId="435EAC44" w:rsidR="00722C5E" w:rsidRDefault="00127F07" w:rsidP="00500016">
      <w:pPr>
        <w:spacing w:before="120" w:after="120"/>
        <w:ind w:left="1694" w:hanging="560"/>
        <w:jc w:val="both"/>
        <w:rPr>
          <w:rFonts w:ascii="Book Antiqua" w:hAnsi="Book Antiqua" w:cs="Arial"/>
        </w:rPr>
      </w:pPr>
      <w:r>
        <w:rPr>
          <w:rFonts w:ascii="Book Antiqua" w:hAnsi="Book Antiqua" w:cs="Arial"/>
        </w:rPr>
        <w:t>38.</w:t>
      </w:r>
      <w:r>
        <w:rPr>
          <w:rFonts w:ascii="Book Antiqua" w:hAnsi="Book Antiqua" w:cs="Arial"/>
        </w:rPr>
        <w:tab/>
      </w:r>
      <w:r w:rsidR="00E26C16">
        <w:rPr>
          <w:rFonts w:ascii="Book Antiqua" w:hAnsi="Book Antiqua" w:cs="Arial"/>
        </w:rPr>
        <w:t>Of perhaps more importance is the absence of any supporting witness statement from the Sponsor who it is said departed the UK on 10</w:t>
      </w:r>
      <w:r>
        <w:rPr>
          <w:rFonts w:ascii="Book Antiqua" w:hAnsi="Book Antiqua" w:cs="Arial"/>
        </w:rPr>
        <w:t xml:space="preserve"> May 2017.</w:t>
      </w:r>
      <w:r w:rsidR="00E26C16">
        <w:rPr>
          <w:rFonts w:ascii="Book Antiqua" w:hAnsi="Book Antiqua" w:cs="Arial"/>
        </w:rPr>
        <w:t xml:space="preserve"> Whilst I appreciate that the Appellant was in detention b</w:t>
      </w:r>
      <w:r w:rsidR="00E0631D">
        <w:rPr>
          <w:rFonts w:ascii="Book Antiqua" w:hAnsi="Book Antiqua" w:cs="Arial"/>
        </w:rPr>
        <w:t xml:space="preserve">etween 9 </w:t>
      </w:r>
      <w:r w:rsidR="00B76302">
        <w:rPr>
          <w:rFonts w:ascii="Book Antiqua" w:hAnsi="Book Antiqua" w:cs="Arial"/>
        </w:rPr>
        <w:t>June 201</w:t>
      </w:r>
      <w:r w:rsidR="00E26C16">
        <w:rPr>
          <w:rFonts w:ascii="Book Antiqua" w:hAnsi="Book Antiqua" w:cs="Arial"/>
        </w:rPr>
        <w:t>7 and 4 July 2017 he and his lawyers had access to e-mail and a telephone.</w:t>
      </w:r>
      <w:r>
        <w:rPr>
          <w:rFonts w:ascii="Book Antiqua" w:hAnsi="Book Antiqua" w:cs="Arial"/>
        </w:rPr>
        <w:t xml:space="preserve"> </w:t>
      </w:r>
      <w:r w:rsidR="00215C2C">
        <w:rPr>
          <w:rFonts w:ascii="Book Antiqua" w:hAnsi="Book Antiqua" w:cs="Arial"/>
        </w:rPr>
        <w:t>It is apparent from the documents before me that the Sponsor ha</w:t>
      </w:r>
      <w:r>
        <w:rPr>
          <w:rFonts w:ascii="Book Antiqua" w:hAnsi="Book Antiqua" w:cs="Arial"/>
        </w:rPr>
        <w:t>s an e-mail account with Yahoo.</w:t>
      </w:r>
      <w:r w:rsidR="00215C2C">
        <w:rPr>
          <w:rFonts w:ascii="Book Antiqua" w:hAnsi="Book Antiqua" w:cs="Arial"/>
        </w:rPr>
        <w:t xml:space="preserve"> It would therefore have been possible to have obtained even a short statement in which she confirmed, the subsistence of the marriage, the reasons for her absence from the U</w:t>
      </w:r>
      <w:r>
        <w:rPr>
          <w:rFonts w:ascii="Book Antiqua" w:hAnsi="Book Antiqua" w:cs="Arial"/>
        </w:rPr>
        <w:t>K and her intention to return. There was nothing.</w:t>
      </w:r>
      <w:r w:rsidR="00215C2C">
        <w:rPr>
          <w:rFonts w:ascii="Book Antiqua" w:hAnsi="Book Antiqua" w:cs="Arial"/>
        </w:rPr>
        <w:t xml:space="preserve"> Not even a copy of h</w:t>
      </w:r>
      <w:r>
        <w:rPr>
          <w:rFonts w:ascii="Book Antiqua" w:hAnsi="Book Antiqua" w:cs="Arial"/>
        </w:rPr>
        <w:t xml:space="preserve">er father’s death certificate. </w:t>
      </w:r>
      <w:r w:rsidR="00215C2C">
        <w:rPr>
          <w:rFonts w:ascii="Book Antiqua" w:hAnsi="Book Antiqua" w:cs="Arial"/>
        </w:rPr>
        <w:t>There was no evidence from the housemates in Norwich who it is to</w:t>
      </w:r>
      <w:r w:rsidR="00B76302">
        <w:rPr>
          <w:rFonts w:ascii="Book Antiqua" w:hAnsi="Book Antiqua" w:cs="Arial"/>
        </w:rPr>
        <w:t xml:space="preserve"> </w:t>
      </w:r>
      <w:r w:rsidR="00215C2C">
        <w:rPr>
          <w:rFonts w:ascii="Book Antiqua" w:hAnsi="Book Antiqua" w:cs="Arial"/>
        </w:rPr>
        <w:t>be anticipated could have confirm</w:t>
      </w:r>
      <w:r w:rsidR="00B76302">
        <w:rPr>
          <w:rFonts w:ascii="Book Antiqua" w:hAnsi="Book Antiqua" w:cs="Arial"/>
        </w:rPr>
        <w:t>e</w:t>
      </w:r>
      <w:r w:rsidR="00215C2C">
        <w:rPr>
          <w:rFonts w:ascii="Book Antiqua" w:hAnsi="Book Antiqua" w:cs="Arial"/>
        </w:rPr>
        <w:t>d the subsistence of the relations</w:t>
      </w:r>
      <w:r>
        <w:rPr>
          <w:rFonts w:ascii="Book Antiqua" w:hAnsi="Book Antiqua" w:cs="Arial"/>
        </w:rPr>
        <w:t>hip at least prior to May 2017.</w:t>
      </w:r>
      <w:r w:rsidR="00215C2C">
        <w:rPr>
          <w:rFonts w:ascii="Book Antiqua" w:hAnsi="Book Antiqua" w:cs="Arial"/>
        </w:rPr>
        <w:t xml:space="preserve"> I also note that my offer</w:t>
      </w:r>
      <w:r w:rsidR="00722C5E">
        <w:rPr>
          <w:rFonts w:ascii="Book Antiqua" w:hAnsi="Book Antiqua" w:cs="Arial"/>
        </w:rPr>
        <w:t xml:space="preserve"> of</w:t>
      </w:r>
      <w:r w:rsidR="00215C2C">
        <w:rPr>
          <w:rFonts w:ascii="Book Antiqua" w:hAnsi="Book Antiqua" w:cs="Arial"/>
        </w:rPr>
        <w:t xml:space="preserve"> an adjournment to allow the Appellant time to obtain documentation to address the issues of subsistence and qualification was declined.</w:t>
      </w:r>
    </w:p>
    <w:p w14:paraId="3FE7197C" w14:textId="7EB55E25" w:rsidR="00064C8B" w:rsidRDefault="00722C5E" w:rsidP="00500016">
      <w:pPr>
        <w:spacing w:before="120" w:after="120"/>
        <w:ind w:left="1701" w:hanging="567"/>
        <w:jc w:val="both"/>
        <w:rPr>
          <w:rFonts w:ascii="Book Antiqua" w:hAnsi="Book Antiqua" w:cs="Arial"/>
        </w:rPr>
      </w:pPr>
      <w:r>
        <w:rPr>
          <w:rFonts w:ascii="Book Antiqua" w:hAnsi="Book Antiqua" w:cs="Arial"/>
        </w:rPr>
        <w:t>39.</w:t>
      </w:r>
      <w:r>
        <w:rPr>
          <w:rFonts w:ascii="Book Antiqua" w:hAnsi="Book Antiqua" w:cs="Arial"/>
        </w:rPr>
        <w:tab/>
        <w:t xml:space="preserve">The Appellant’s evidence was that he did not know when the </w:t>
      </w:r>
      <w:r w:rsidR="00127F07">
        <w:rPr>
          <w:rFonts w:ascii="Book Antiqua" w:hAnsi="Book Antiqua" w:cs="Arial"/>
        </w:rPr>
        <w:t>Appellant was likely to return.</w:t>
      </w:r>
      <w:r>
        <w:rPr>
          <w:rFonts w:ascii="Book Antiqua" w:hAnsi="Book Antiqua" w:cs="Arial"/>
        </w:rPr>
        <w:t xml:space="preserve"> Her P45 shows that she gave up her job on May 2017.  This I find is inconsistent with an intended temporary absence.</w:t>
      </w:r>
    </w:p>
    <w:p w14:paraId="128D395A" w14:textId="40B102BD" w:rsidR="00064C8B" w:rsidRDefault="00064C8B" w:rsidP="00500016">
      <w:pPr>
        <w:spacing w:before="120" w:after="120"/>
        <w:ind w:left="1701" w:hanging="567"/>
        <w:jc w:val="both"/>
        <w:rPr>
          <w:rFonts w:ascii="Book Antiqua" w:hAnsi="Book Antiqua" w:cs="Arial"/>
        </w:rPr>
      </w:pPr>
      <w:r>
        <w:rPr>
          <w:rFonts w:ascii="Book Antiqua" w:hAnsi="Book Antiqua" w:cs="Arial"/>
        </w:rPr>
        <w:t>40.</w:t>
      </w:r>
      <w:r>
        <w:rPr>
          <w:rFonts w:ascii="Book Antiqua" w:hAnsi="Book Antiqua" w:cs="Arial"/>
        </w:rPr>
        <w:tab/>
        <w:t>The Sponsor is not presently exerc</w:t>
      </w:r>
      <w:r w:rsidR="00127F07">
        <w:rPr>
          <w:rFonts w:ascii="Book Antiqua" w:hAnsi="Book Antiqua" w:cs="Arial"/>
        </w:rPr>
        <w:t xml:space="preserve">ising treaty rights in the UK. </w:t>
      </w:r>
      <w:r>
        <w:rPr>
          <w:rFonts w:ascii="Book Antiqua" w:hAnsi="Book Antiqua" w:cs="Arial"/>
        </w:rPr>
        <w:t>There was no evidence before me that she had a permanent right of residence in the UK so as to preserve her rights whilst temporarily absent.</w:t>
      </w:r>
    </w:p>
    <w:p w14:paraId="34DB160F" w14:textId="2E27C76B" w:rsidR="00064C8B" w:rsidRDefault="00064C8B" w:rsidP="00500016">
      <w:pPr>
        <w:spacing w:before="120" w:after="120"/>
        <w:ind w:left="1701" w:hanging="567"/>
        <w:jc w:val="both"/>
        <w:rPr>
          <w:rFonts w:ascii="Book Antiqua" w:hAnsi="Book Antiqua" w:cs="Arial"/>
        </w:rPr>
      </w:pPr>
      <w:r>
        <w:rPr>
          <w:rFonts w:ascii="Book Antiqua" w:hAnsi="Book Antiqua" w:cs="Arial"/>
        </w:rPr>
        <w:t>41.</w:t>
      </w:r>
      <w:r>
        <w:rPr>
          <w:rFonts w:ascii="Book Antiqua" w:hAnsi="Book Antiqua" w:cs="Arial"/>
        </w:rPr>
        <w:tab/>
        <w:t>Looking at the evidence before me in the round I find that I have not been satisfied to the required standard that as at the date of the hearing the marriage between the Appellant and the Sponsor was subsisting or that she was a qualified person within the</w:t>
      </w:r>
      <w:r w:rsidR="00127F07">
        <w:rPr>
          <w:rFonts w:ascii="Book Antiqua" w:hAnsi="Book Antiqua" w:cs="Arial"/>
        </w:rPr>
        <w:t xml:space="preserve"> meaning of Regulation 6. </w:t>
      </w:r>
      <w:r>
        <w:rPr>
          <w:rFonts w:ascii="Book Antiqua" w:hAnsi="Book Antiqua" w:cs="Arial"/>
        </w:rPr>
        <w:t>It follows that I have not been satisfied that the Appellant continues to hav</w:t>
      </w:r>
      <w:r w:rsidR="00127F07">
        <w:rPr>
          <w:rFonts w:ascii="Book Antiqua" w:hAnsi="Book Antiqua" w:cs="Arial"/>
        </w:rPr>
        <w:t xml:space="preserve">e a right to reside in the UK. </w:t>
      </w:r>
      <w:r>
        <w:rPr>
          <w:rFonts w:ascii="Book Antiqua" w:hAnsi="Book Antiqua" w:cs="Arial"/>
        </w:rPr>
        <w:t>I therefore dismiss the appeal under the 2006 Regulations.</w:t>
      </w:r>
    </w:p>
    <w:p w14:paraId="53EA077A" w14:textId="6EA51D97" w:rsidR="00064C8B" w:rsidRDefault="00064C8B" w:rsidP="00500016">
      <w:pPr>
        <w:spacing w:before="120" w:after="120"/>
        <w:ind w:left="1701" w:hanging="567"/>
        <w:jc w:val="both"/>
        <w:rPr>
          <w:rFonts w:ascii="Book Antiqua" w:hAnsi="Book Antiqua" w:cs="Arial"/>
        </w:rPr>
      </w:pPr>
      <w:r>
        <w:rPr>
          <w:rFonts w:ascii="Book Antiqua" w:hAnsi="Book Antiqua" w:cs="Arial"/>
        </w:rPr>
        <w:lastRenderedPageBreak/>
        <w:t>42.</w:t>
      </w:r>
      <w:r>
        <w:rPr>
          <w:rFonts w:ascii="Book Antiqua" w:hAnsi="Book Antiqua" w:cs="Arial"/>
        </w:rPr>
        <w:tab/>
        <w:t xml:space="preserve">The Appellant has been served with notice of intention </w:t>
      </w:r>
      <w:r w:rsidR="00127F07">
        <w:rPr>
          <w:rFonts w:ascii="Book Antiqua" w:hAnsi="Book Antiqua" w:cs="Arial"/>
        </w:rPr>
        <w:t xml:space="preserve">to remove him from the UK. </w:t>
      </w:r>
      <w:r>
        <w:rPr>
          <w:rFonts w:ascii="Book Antiqua" w:hAnsi="Book Antiqua" w:cs="Arial"/>
        </w:rPr>
        <w:t xml:space="preserve">Whilst a Section 120 notice was served placing reliance upon asylum grounds Mr Sobowale placed no reliance upon the same </w:t>
      </w:r>
      <w:r w:rsidR="008265C2">
        <w:rPr>
          <w:rFonts w:ascii="Book Antiqua" w:hAnsi="Book Antiqua" w:cs="Arial"/>
        </w:rPr>
        <w:t xml:space="preserve">in the context of this appeal. </w:t>
      </w:r>
      <w:r>
        <w:rPr>
          <w:rFonts w:ascii="Book Antiqua" w:hAnsi="Book Antiqua" w:cs="Arial"/>
        </w:rPr>
        <w:t>The Article 3 ECHR ground of appeal was not pursued either.</w:t>
      </w:r>
      <w:r w:rsidR="004A1BB2">
        <w:rPr>
          <w:rFonts w:ascii="Book Antiqua" w:hAnsi="Book Antiqua" w:cs="Arial"/>
        </w:rPr>
        <w:t>”</w:t>
      </w:r>
    </w:p>
    <w:p w14:paraId="211168B0" w14:textId="77777777" w:rsidR="008265C2" w:rsidRDefault="00127F07" w:rsidP="008265C2">
      <w:pPr>
        <w:tabs>
          <w:tab w:val="left" w:pos="567"/>
        </w:tabs>
        <w:ind w:left="560" w:hanging="560"/>
        <w:jc w:val="both"/>
        <w:rPr>
          <w:rFonts w:ascii="Book Antiqua" w:hAnsi="Book Antiqua" w:cs="Arial"/>
        </w:rPr>
      </w:pPr>
      <w:r>
        <w:rPr>
          <w:rFonts w:ascii="Book Antiqua" w:hAnsi="Book Antiqua" w:cs="Arial"/>
        </w:rPr>
        <w:t>8.</w:t>
      </w:r>
      <w:r>
        <w:rPr>
          <w:rFonts w:ascii="Book Antiqua" w:hAnsi="Book Antiqua" w:cs="Arial"/>
        </w:rPr>
        <w:tab/>
      </w:r>
      <w:r w:rsidR="004A1BB2">
        <w:rPr>
          <w:rFonts w:ascii="Book Antiqua" w:hAnsi="Book Antiqua" w:cs="Arial"/>
        </w:rPr>
        <w:t>The judge then dealt with the Article 8 claim and dismissed the appeal under the Immigration (EEA) Regulation</w:t>
      </w:r>
      <w:r>
        <w:rPr>
          <w:rFonts w:ascii="Book Antiqua" w:hAnsi="Book Antiqua" w:cs="Arial"/>
        </w:rPr>
        <w:t xml:space="preserve">s 2006 and on Article 8 grounds. </w:t>
      </w:r>
      <w:r w:rsidR="004A1BB2">
        <w:rPr>
          <w:rFonts w:ascii="Book Antiqua" w:hAnsi="Book Antiqua" w:cs="Arial"/>
        </w:rPr>
        <w:t xml:space="preserve">There was no challenge to the judge’s conclusions on Article 8 in the lengthy grounds of appeal.  </w:t>
      </w:r>
    </w:p>
    <w:p w14:paraId="2E11BD7E" w14:textId="77777777" w:rsidR="008265C2" w:rsidRDefault="008265C2" w:rsidP="008265C2">
      <w:pPr>
        <w:tabs>
          <w:tab w:val="left" w:pos="567"/>
        </w:tabs>
        <w:ind w:left="560" w:hanging="560"/>
        <w:jc w:val="both"/>
        <w:rPr>
          <w:rFonts w:ascii="Book Antiqua" w:hAnsi="Book Antiqua" w:cs="Arial"/>
        </w:rPr>
      </w:pPr>
    </w:p>
    <w:p w14:paraId="22617768" w14:textId="33E9DEB6" w:rsidR="00127F07" w:rsidRDefault="00127F07" w:rsidP="008265C2">
      <w:pPr>
        <w:tabs>
          <w:tab w:val="left" w:pos="567"/>
        </w:tabs>
        <w:ind w:left="560" w:hanging="560"/>
        <w:jc w:val="both"/>
        <w:rPr>
          <w:rFonts w:ascii="Book Antiqua" w:hAnsi="Book Antiqua" w:cs="Arial"/>
        </w:rPr>
      </w:pPr>
      <w:r>
        <w:rPr>
          <w:rFonts w:ascii="Book Antiqua" w:hAnsi="Book Antiqua" w:cs="Arial"/>
        </w:rPr>
        <w:t>9</w:t>
      </w:r>
      <w:r w:rsidR="00490D9B" w:rsidRPr="008B5901">
        <w:rPr>
          <w:rFonts w:ascii="Book Antiqua" w:hAnsi="Book Antiqua" w:cs="Arial"/>
        </w:rPr>
        <w:t>.</w:t>
      </w:r>
      <w:r w:rsidR="00490D9B" w:rsidRPr="008B5901">
        <w:rPr>
          <w:rFonts w:ascii="Book Antiqua" w:hAnsi="Book Antiqua" w:cs="Arial"/>
        </w:rPr>
        <w:tab/>
      </w:r>
      <w:r w:rsidR="004A1BB2">
        <w:rPr>
          <w:rFonts w:ascii="Book Antiqua" w:hAnsi="Book Antiqua" w:cs="Arial"/>
        </w:rPr>
        <w:t>Regulation 6 was specifically</w:t>
      </w:r>
      <w:r>
        <w:rPr>
          <w:rFonts w:ascii="Book Antiqua" w:hAnsi="Book Antiqua" w:cs="Arial"/>
        </w:rPr>
        <w:t xml:space="preserve"> raised in the refusal letter. </w:t>
      </w:r>
      <w:r w:rsidR="004A1BB2">
        <w:rPr>
          <w:rFonts w:ascii="Book Antiqua" w:hAnsi="Book Antiqua" w:cs="Arial"/>
        </w:rPr>
        <w:t>The Appellant’s right to reside was dependent on his EEA Spo</w:t>
      </w:r>
      <w:r>
        <w:rPr>
          <w:rFonts w:ascii="Book Antiqua" w:hAnsi="Book Antiqua" w:cs="Arial"/>
        </w:rPr>
        <w:t xml:space="preserve">nsor exercising treaty rights. </w:t>
      </w:r>
      <w:r w:rsidR="004A1BB2">
        <w:rPr>
          <w:rFonts w:ascii="Book Antiqua" w:hAnsi="Book Antiqua" w:cs="Arial"/>
        </w:rPr>
        <w:t>It is clear from the Appellant’s own evidence and the Sponsor’s P45 that</w:t>
      </w:r>
      <w:r w:rsidR="00705D2A">
        <w:rPr>
          <w:rFonts w:ascii="Book Antiqua" w:hAnsi="Book Antiqua" w:cs="Arial"/>
        </w:rPr>
        <w:t xml:space="preserve"> </w:t>
      </w:r>
      <w:r w:rsidR="004A1BB2">
        <w:rPr>
          <w:rFonts w:ascii="Book Antiqua" w:hAnsi="Book Antiqua" w:cs="Arial"/>
        </w:rPr>
        <w:t>at the date of hearing the Sp</w:t>
      </w:r>
      <w:r w:rsidR="00705D2A">
        <w:rPr>
          <w:rFonts w:ascii="Book Antiqua" w:hAnsi="Book Antiqua" w:cs="Arial"/>
        </w:rPr>
        <w:t>onsor had left her employment and</w:t>
      </w:r>
      <w:r w:rsidR="004A1BB2">
        <w:rPr>
          <w:rFonts w:ascii="Book Antiqua" w:hAnsi="Book Antiqua" w:cs="Arial"/>
        </w:rPr>
        <w:t xml:space="preserve"> the UK.  She was not a qualified person.</w:t>
      </w:r>
      <w:r w:rsidR="00705D2A">
        <w:rPr>
          <w:rFonts w:ascii="Book Antiqua" w:hAnsi="Book Antiqua" w:cs="Arial"/>
        </w:rPr>
        <w:t xml:space="preserve"> The Appellant had no right of resid</w:t>
      </w:r>
      <w:r>
        <w:rPr>
          <w:rFonts w:ascii="Book Antiqua" w:hAnsi="Book Antiqua" w:cs="Arial"/>
        </w:rPr>
        <w:t>ence under the EEA Regulations</w:t>
      </w:r>
      <w:r w:rsidR="00441684">
        <w:rPr>
          <w:rFonts w:ascii="Book Antiqua" w:hAnsi="Book Antiqua" w:cs="Arial"/>
        </w:rPr>
        <w:t xml:space="preserve"> 2006</w:t>
      </w:r>
      <w:r>
        <w:rPr>
          <w:rFonts w:ascii="Book Antiqua" w:hAnsi="Book Antiqua" w:cs="Arial"/>
        </w:rPr>
        <w:t>.</w:t>
      </w:r>
      <w:r w:rsidR="00705D2A">
        <w:rPr>
          <w:rFonts w:ascii="Book Antiqua" w:hAnsi="Book Antiqua" w:cs="Arial"/>
        </w:rPr>
        <w:t xml:space="preserve"> Accordingly</w:t>
      </w:r>
      <w:r>
        <w:rPr>
          <w:rFonts w:ascii="Book Antiqua" w:hAnsi="Book Antiqua" w:cs="Arial"/>
        </w:rPr>
        <w:t>,</w:t>
      </w:r>
      <w:r w:rsidR="00705D2A">
        <w:rPr>
          <w:rFonts w:ascii="Book Antiqua" w:hAnsi="Book Antiqua" w:cs="Arial"/>
        </w:rPr>
        <w:t xml:space="preserve"> there was no material error </w:t>
      </w:r>
      <w:r>
        <w:rPr>
          <w:rFonts w:ascii="Book Antiqua" w:hAnsi="Book Antiqua" w:cs="Arial"/>
        </w:rPr>
        <w:t>of law in the judge’s decision.</w:t>
      </w:r>
      <w:r w:rsidR="00705D2A">
        <w:rPr>
          <w:rFonts w:ascii="Book Antiqua" w:hAnsi="Book Antiqua" w:cs="Arial"/>
        </w:rPr>
        <w:t xml:space="preserve"> </w:t>
      </w:r>
    </w:p>
    <w:p w14:paraId="647A9F4D" w14:textId="77777777" w:rsidR="00127F07" w:rsidRDefault="00127F07" w:rsidP="00490D9B">
      <w:pPr>
        <w:tabs>
          <w:tab w:val="left" w:pos="567"/>
        </w:tabs>
        <w:ind w:left="567" w:hanging="567"/>
        <w:jc w:val="both"/>
        <w:rPr>
          <w:rFonts w:ascii="Book Antiqua" w:hAnsi="Book Antiqua" w:cs="Arial"/>
        </w:rPr>
      </w:pPr>
    </w:p>
    <w:p w14:paraId="4CA4C5D8" w14:textId="621A718E" w:rsidR="00441684" w:rsidRDefault="00127F07" w:rsidP="00490D9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r>
      <w:r w:rsidR="00441684">
        <w:rPr>
          <w:rFonts w:ascii="Book Antiqua" w:hAnsi="Book Antiqua" w:cs="Arial"/>
        </w:rPr>
        <w:t xml:space="preserve">Permission was granted only in relation to ground 1: the burden of proof. Permission was properly refused on grounds 2 and 3 for the reasons given by Judge Alis in his decision of 24 December 2017 (see above). There was no error of law in the judge’s application of section 85(4) of the 2002 and no unfairness in the conduct of the appeal. </w:t>
      </w:r>
    </w:p>
    <w:p w14:paraId="00AB1619" w14:textId="77777777" w:rsidR="00441684" w:rsidRDefault="00441684" w:rsidP="00490D9B">
      <w:pPr>
        <w:tabs>
          <w:tab w:val="left" w:pos="567"/>
        </w:tabs>
        <w:ind w:left="567" w:hanging="567"/>
        <w:jc w:val="both"/>
        <w:rPr>
          <w:rFonts w:ascii="Book Antiqua" w:hAnsi="Book Antiqua" w:cs="Arial"/>
        </w:rPr>
      </w:pPr>
    </w:p>
    <w:p w14:paraId="1ED0A294" w14:textId="530175BC" w:rsidR="00441684" w:rsidRDefault="00441684" w:rsidP="00490D9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r>
      <w:r w:rsidR="006C279D">
        <w:rPr>
          <w:rFonts w:ascii="Book Antiqua" w:hAnsi="Book Antiqua" w:cs="Arial"/>
        </w:rPr>
        <w:t>T</w:t>
      </w:r>
      <w:r w:rsidR="00705D2A">
        <w:rPr>
          <w:rFonts w:ascii="Book Antiqua" w:hAnsi="Book Antiqua" w:cs="Arial"/>
        </w:rPr>
        <w:t>here was no material error of law in the judge’s applic</w:t>
      </w:r>
      <w:r w:rsidR="006C279D">
        <w:rPr>
          <w:rFonts w:ascii="Book Antiqua" w:hAnsi="Book Antiqua" w:cs="Arial"/>
        </w:rPr>
        <w:t>ation of</w:t>
      </w:r>
      <w:r w:rsidR="00127F07">
        <w:rPr>
          <w:rFonts w:ascii="Book Antiqua" w:hAnsi="Book Antiqua" w:cs="Arial"/>
        </w:rPr>
        <w:t xml:space="preserve"> the burden of proof. </w:t>
      </w:r>
      <w:r w:rsidR="006C279D">
        <w:rPr>
          <w:rFonts w:ascii="Book Antiqua" w:hAnsi="Book Antiqua" w:cs="Arial"/>
        </w:rPr>
        <w:t xml:space="preserve">It is clear from paragraph 35 of the decision (see above) that the judge found the Respondent had failed to show that the marriage was one of convenience. He then went on the consider whether the Appellant ceased to have a right to reside in the UK for the other reasons given in the revocation letter. His findings that the Sponsor was not a qualified person and the marriage was not genuine and subsisting were open to him on the evidence before him. </w:t>
      </w:r>
      <w:r w:rsidR="00705D2A">
        <w:rPr>
          <w:rFonts w:ascii="Book Antiqua" w:hAnsi="Book Antiqua" w:cs="Arial"/>
        </w:rPr>
        <w:t xml:space="preserve">The judge was obliged to consider the evidence at the date of hearing and the judge gave the Appellant ample opportunity to produce any further evidence.  </w:t>
      </w:r>
    </w:p>
    <w:p w14:paraId="3F06635D" w14:textId="77777777" w:rsidR="00441684" w:rsidRDefault="00441684" w:rsidP="00490D9B">
      <w:pPr>
        <w:tabs>
          <w:tab w:val="left" w:pos="567"/>
        </w:tabs>
        <w:ind w:left="567" w:hanging="567"/>
        <w:jc w:val="both"/>
        <w:rPr>
          <w:rFonts w:ascii="Book Antiqua" w:hAnsi="Book Antiqua" w:cs="Arial"/>
        </w:rPr>
      </w:pPr>
    </w:p>
    <w:p w14:paraId="1E3977C6" w14:textId="424BB707" w:rsidR="00490D9B" w:rsidRPr="008B5901" w:rsidRDefault="00441684" w:rsidP="00490D9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r>
      <w:r w:rsidR="006C279D">
        <w:rPr>
          <w:rFonts w:ascii="Book Antiqua" w:hAnsi="Book Antiqua" w:cs="Arial"/>
        </w:rPr>
        <w:t xml:space="preserve">I find </w:t>
      </w:r>
      <w:r w:rsidR="00705D2A">
        <w:rPr>
          <w:rFonts w:ascii="Book Antiqua" w:hAnsi="Book Antiqua" w:cs="Arial"/>
        </w:rPr>
        <w:t xml:space="preserve">there was no </w:t>
      </w:r>
      <w:r w:rsidR="006C279D">
        <w:rPr>
          <w:rFonts w:ascii="Book Antiqua" w:hAnsi="Book Antiqua" w:cs="Arial"/>
        </w:rPr>
        <w:t xml:space="preserve">material </w:t>
      </w:r>
      <w:r w:rsidR="00705D2A">
        <w:rPr>
          <w:rFonts w:ascii="Book Antiqua" w:hAnsi="Book Antiqua" w:cs="Arial"/>
        </w:rPr>
        <w:t>error of law in the decision dated 14 July 2017.  Accordingly</w:t>
      </w:r>
      <w:r>
        <w:rPr>
          <w:rFonts w:ascii="Book Antiqua" w:hAnsi="Book Antiqua" w:cs="Arial"/>
        </w:rPr>
        <w:t>,</w:t>
      </w:r>
      <w:r w:rsidR="00705D2A">
        <w:rPr>
          <w:rFonts w:ascii="Book Antiqua" w:hAnsi="Book Antiqua" w:cs="Arial"/>
        </w:rPr>
        <w:t xml:space="preserve"> I dismiss the Appellant’s appeal.  </w:t>
      </w:r>
    </w:p>
    <w:p w14:paraId="1DB4B5E8" w14:textId="77777777" w:rsidR="00490D9B" w:rsidRDefault="00490D9B" w:rsidP="00490D9B">
      <w:pPr>
        <w:tabs>
          <w:tab w:val="left" w:pos="567"/>
        </w:tabs>
        <w:ind w:left="567" w:hanging="567"/>
        <w:jc w:val="both"/>
        <w:rPr>
          <w:rFonts w:ascii="Book Antiqua" w:hAnsi="Book Antiqua" w:cs="Arial"/>
        </w:rPr>
      </w:pPr>
    </w:p>
    <w:p w14:paraId="7C266D32" w14:textId="77777777" w:rsidR="00127F07" w:rsidRDefault="00127F07" w:rsidP="00490D9B">
      <w:pPr>
        <w:tabs>
          <w:tab w:val="left" w:pos="567"/>
        </w:tabs>
        <w:ind w:left="567" w:hanging="567"/>
        <w:jc w:val="both"/>
        <w:rPr>
          <w:rFonts w:ascii="Book Antiqua" w:hAnsi="Book Antiqua" w:cs="Arial"/>
        </w:rPr>
      </w:pPr>
    </w:p>
    <w:p w14:paraId="69381F88" w14:textId="487F468A" w:rsidR="00127F07" w:rsidRDefault="00127F07" w:rsidP="00490D9B">
      <w:pPr>
        <w:tabs>
          <w:tab w:val="left" w:pos="567"/>
        </w:tabs>
        <w:ind w:left="567" w:hanging="567"/>
        <w:jc w:val="both"/>
        <w:rPr>
          <w:rFonts w:ascii="Book Antiqua" w:hAnsi="Book Antiqua" w:cs="Arial"/>
          <w:b/>
          <w:u w:val="single"/>
        </w:rPr>
      </w:pPr>
      <w:r>
        <w:rPr>
          <w:rFonts w:ascii="Book Antiqua" w:hAnsi="Book Antiqua" w:cs="Arial"/>
          <w:b/>
          <w:u w:val="single"/>
        </w:rPr>
        <w:t>Notice of decision</w:t>
      </w:r>
    </w:p>
    <w:p w14:paraId="153C61C4" w14:textId="77777777" w:rsidR="00127F07" w:rsidRDefault="00127F07" w:rsidP="00490D9B">
      <w:pPr>
        <w:tabs>
          <w:tab w:val="left" w:pos="567"/>
        </w:tabs>
        <w:ind w:left="567" w:hanging="567"/>
        <w:jc w:val="both"/>
        <w:rPr>
          <w:rFonts w:ascii="Book Antiqua" w:hAnsi="Book Antiqua" w:cs="Arial"/>
          <w:b/>
          <w:u w:val="single"/>
        </w:rPr>
      </w:pPr>
    </w:p>
    <w:p w14:paraId="55C1E7A9" w14:textId="0AE11BD5" w:rsidR="00127F07" w:rsidRPr="00127F07" w:rsidRDefault="00127F07" w:rsidP="00490D9B">
      <w:pPr>
        <w:tabs>
          <w:tab w:val="left" w:pos="567"/>
        </w:tabs>
        <w:ind w:left="567" w:hanging="567"/>
        <w:jc w:val="both"/>
        <w:rPr>
          <w:rFonts w:ascii="Book Antiqua" w:hAnsi="Book Antiqua" w:cs="Arial"/>
          <w:b/>
        </w:rPr>
      </w:pPr>
      <w:r>
        <w:rPr>
          <w:rFonts w:ascii="Book Antiqua" w:hAnsi="Book Antiqua" w:cs="Arial"/>
          <w:b/>
        </w:rPr>
        <w:t>Appeal dismissed</w:t>
      </w:r>
    </w:p>
    <w:p w14:paraId="291E94BA" w14:textId="77777777" w:rsidR="00127F07" w:rsidRPr="008B5901" w:rsidRDefault="00127F07" w:rsidP="00490D9B">
      <w:pPr>
        <w:tabs>
          <w:tab w:val="left" w:pos="567"/>
        </w:tabs>
        <w:ind w:left="567" w:hanging="567"/>
        <w:jc w:val="both"/>
        <w:rPr>
          <w:rFonts w:ascii="Book Antiqua" w:hAnsi="Book Antiqua" w:cs="Arial"/>
        </w:rPr>
      </w:pPr>
    </w:p>
    <w:p w14:paraId="38B349FE" w14:textId="77777777" w:rsidR="00265B39" w:rsidRPr="00127F07" w:rsidRDefault="00265B39" w:rsidP="00265B39">
      <w:pPr>
        <w:jc w:val="both"/>
        <w:rPr>
          <w:rFonts w:ascii="Book Antiqua" w:hAnsi="Book Antiqua" w:cs="Arial"/>
          <w:b/>
        </w:rPr>
      </w:pPr>
      <w:r w:rsidRPr="00127F07">
        <w:rPr>
          <w:rFonts w:ascii="Book Antiqua" w:hAnsi="Book Antiqua" w:cs="Arial"/>
          <w:b/>
        </w:rPr>
        <w:t>No anonymity direction is made.</w:t>
      </w:r>
    </w:p>
    <w:p w14:paraId="512A5E67" w14:textId="77777777" w:rsidR="00265B39" w:rsidRDefault="00265B39" w:rsidP="00265B39">
      <w:pPr>
        <w:jc w:val="both"/>
        <w:rPr>
          <w:rFonts w:ascii="Book Antiqua" w:hAnsi="Book Antiqua" w:cs="Arial"/>
        </w:rPr>
      </w:pPr>
    </w:p>
    <w:p w14:paraId="0C21E79E" w14:textId="77777777" w:rsidR="00441684" w:rsidRDefault="00441684" w:rsidP="00265B39">
      <w:pPr>
        <w:jc w:val="both"/>
        <w:rPr>
          <w:rFonts w:ascii="Book Antiqua" w:hAnsi="Book Antiqua" w:cs="Arial"/>
        </w:rPr>
      </w:pPr>
    </w:p>
    <w:p w14:paraId="0EE12650" w14:textId="73C949D2" w:rsidR="00A509FA" w:rsidRPr="00441684" w:rsidRDefault="00127F07" w:rsidP="00265B3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sidR="00441684" w:rsidRPr="00441684">
        <w:rPr>
          <w:rFonts w:ascii="Lucida Handwriting" w:hAnsi="Lucida Handwriting" w:cs="Arial"/>
          <w:b/>
          <w:sz w:val="28"/>
          <w:szCs w:val="28"/>
        </w:rPr>
        <w:t>J Frances</w:t>
      </w:r>
    </w:p>
    <w:p w14:paraId="0BBF4249" w14:textId="77777777" w:rsidR="00441684" w:rsidRDefault="00441684" w:rsidP="00265B39">
      <w:pPr>
        <w:jc w:val="both"/>
        <w:rPr>
          <w:rFonts w:ascii="Book Antiqua" w:hAnsi="Book Antiqua" w:cs="Arial"/>
        </w:rPr>
      </w:pPr>
    </w:p>
    <w:p w14:paraId="61F10491" w14:textId="26D15EB1"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441684">
        <w:rPr>
          <w:rFonts w:ascii="Book Antiqua" w:hAnsi="Book Antiqua" w:cs="Arial"/>
        </w:rPr>
        <w:t>: 9 August 2018</w:t>
      </w:r>
    </w:p>
    <w:p w14:paraId="6D0BE846" w14:textId="77777777"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p>
    <w:p w14:paraId="45E9EE6C" w14:textId="77777777" w:rsidR="006B578D" w:rsidRDefault="006B578D" w:rsidP="00265B39">
      <w:pPr>
        <w:jc w:val="both"/>
        <w:rPr>
          <w:rFonts w:ascii="Book Antiqua" w:hAnsi="Book Antiqua" w:cs="Arial"/>
          <w:color w:val="000000"/>
        </w:rPr>
      </w:pPr>
    </w:p>
    <w:p w14:paraId="672E841C" w14:textId="77777777" w:rsidR="00265B39" w:rsidRDefault="00265B39" w:rsidP="00FD7AE5">
      <w:pPr>
        <w:jc w:val="both"/>
        <w:rPr>
          <w:rFonts w:ascii="Book Antiqua" w:hAnsi="Book Antiqua" w:cs="Arial"/>
          <w:b/>
          <w:u w:val="single"/>
        </w:rPr>
      </w:pPr>
      <w:r>
        <w:rPr>
          <w:rFonts w:ascii="Book Antiqua" w:hAnsi="Book Antiqua" w:cs="Arial"/>
          <w:b/>
          <w:u w:val="single"/>
        </w:rPr>
        <w:t>TO THE RESPONDENT</w:t>
      </w:r>
    </w:p>
    <w:p w14:paraId="7E8F186F" w14:textId="77777777" w:rsidR="00FD7AE5" w:rsidRDefault="00265B39" w:rsidP="00FD7AE5">
      <w:pPr>
        <w:jc w:val="both"/>
        <w:rPr>
          <w:rFonts w:ascii="Book Antiqua" w:hAnsi="Book Antiqua" w:cs="Arial"/>
        </w:rPr>
      </w:pPr>
      <w:r>
        <w:rPr>
          <w:rFonts w:ascii="Book Antiqua" w:hAnsi="Book Antiqua" w:cs="Arial"/>
          <w:b/>
          <w:u w:val="single"/>
        </w:rPr>
        <w:t>FEE AWARD</w:t>
      </w:r>
    </w:p>
    <w:p w14:paraId="52A95A9A" w14:textId="77777777" w:rsidR="00FD7AE5" w:rsidRDefault="00FD7AE5" w:rsidP="00FD7AE5">
      <w:pPr>
        <w:jc w:val="both"/>
        <w:rPr>
          <w:rFonts w:ascii="Book Antiqua" w:hAnsi="Book Antiqua" w:cs="Arial"/>
        </w:rPr>
      </w:pPr>
    </w:p>
    <w:p w14:paraId="63B56D9A" w14:textId="16786BBF" w:rsidR="00265B39" w:rsidRDefault="00265B39" w:rsidP="00265B39">
      <w:pPr>
        <w:jc w:val="both"/>
        <w:rPr>
          <w:rFonts w:ascii="Book Antiqua" w:hAnsi="Book Antiqua" w:cs="Arial"/>
        </w:rPr>
      </w:pPr>
      <w:r>
        <w:rPr>
          <w:rFonts w:ascii="Book Antiqua" w:hAnsi="Book Antiqua" w:cs="Arial"/>
        </w:rPr>
        <w:t xml:space="preserve">I have dismissed the appeal and therefore </w:t>
      </w:r>
      <w:r w:rsidR="00441684">
        <w:rPr>
          <w:rFonts w:ascii="Book Antiqua" w:hAnsi="Book Antiqua" w:cs="Arial"/>
        </w:rPr>
        <w:t>there can be no fee award.</w:t>
      </w:r>
    </w:p>
    <w:p w14:paraId="099C997D" w14:textId="77777777" w:rsidR="00441684" w:rsidRDefault="00441684" w:rsidP="00441684">
      <w:pPr>
        <w:jc w:val="both"/>
        <w:rPr>
          <w:rFonts w:ascii="Book Antiqua" w:hAnsi="Book Antiqua" w:cs="Arial"/>
        </w:rPr>
      </w:pPr>
    </w:p>
    <w:p w14:paraId="57B9035C" w14:textId="77777777" w:rsidR="00441684" w:rsidRPr="00441684" w:rsidRDefault="00441684" w:rsidP="00441684">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sidRPr="00441684">
        <w:rPr>
          <w:rFonts w:ascii="Lucida Handwriting" w:hAnsi="Lucida Handwriting" w:cs="Arial"/>
          <w:b/>
          <w:sz w:val="28"/>
          <w:szCs w:val="28"/>
        </w:rPr>
        <w:t>J Frances</w:t>
      </w:r>
    </w:p>
    <w:p w14:paraId="6FC2CE0A" w14:textId="77777777" w:rsidR="00441684" w:rsidRDefault="00441684" w:rsidP="00441684">
      <w:pPr>
        <w:jc w:val="both"/>
        <w:rPr>
          <w:rFonts w:ascii="Book Antiqua" w:hAnsi="Book Antiqua" w:cs="Arial"/>
        </w:rPr>
      </w:pPr>
    </w:p>
    <w:p w14:paraId="58D675C3" w14:textId="1566E0F9" w:rsidR="00441684" w:rsidRPr="000704BB" w:rsidRDefault="00441684" w:rsidP="00441684">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Pr>
          <w:rFonts w:ascii="Book Antiqua" w:hAnsi="Book Antiqua" w:cs="Arial"/>
        </w:rPr>
        <w:t>: 9 August 2018</w:t>
      </w:r>
    </w:p>
    <w:p w14:paraId="1B8A4199" w14:textId="77777777" w:rsidR="00441684" w:rsidRDefault="00441684" w:rsidP="00441684">
      <w:pPr>
        <w:jc w:val="both"/>
        <w:rPr>
          <w:rFonts w:ascii="Book Antiqua" w:hAnsi="Book Antiqua" w:cs="Arial"/>
          <w:color w:val="000000"/>
        </w:rPr>
      </w:pPr>
      <w:r w:rsidRPr="00D03807">
        <w:rPr>
          <w:rFonts w:ascii="Book Antiqua" w:hAnsi="Book Antiqua" w:cs="Arial"/>
        </w:rPr>
        <w:t>Upper Tribunal Judge Frances</w:t>
      </w:r>
    </w:p>
    <w:p w14:paraId="5BAA8F2C" w14:textId="77777777" w:rsidR="00265B39" w:rsidRDefault="00265B39" w:rsidP="00265B39">
      <w:pPr>
        <w:jc w:val="both"/>
        <w:rPr>
          <w:rFonts w:ascii="Book Antiqua" w:hAnsi="Book Antiqua" w:cs="Arial"/>
        </w:rPr>
      </w:pPr>
    </w:p>
    <w:sectPr w:rsidR="00265B3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29A8E" w14:textId="77777777" w:rsidR="008265C2" w:rsidRDefault="008265C2">
      <w:r>
        <w:separator/>
      </w:r>
    </w:p>
  </w:endnote>
  <w:endnote w:type="continuationSeparator" w:id="0">
    <w:p w14:paraId="6829F160" w14:textId="77777777" w:rsidR="008265C2" w:rsidRDefault="00826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661855852"/>
      <w:docPartObj>
        <w:docPartGallery w:val="Page Numbers (Bottom of Page)"/>
        <w:docPartUnique/>
      </w:docPartObj>
    </w:sdtPr>
    <w:sdtEndPr>
      <w:rPr>
        <w:noProof/>
      </w:rPr>
    </w:sdtEndPr>
    <w:sdtContent>
      <w:p w14:paraId="6BFAD76A" w14:textId="5C5F3025" w:rsidR="009D7785" w:rsidRPr="006B578D" w:rsidRDefault="009D7785">
        <w:pPr>
          <w:pStyle w:val="Footer"/>
          <w:jc w:val="center"/>
          <w:rPr>
            <w:sz w:val="20"/>
            <w:szCs w:val="20"/>
          </w:rPr>
        </w:pPr>
        <w:r w:rsidRPr="006B578D">
          <w:rPr>
            <w:sz w:val="20"/>
            <w:szCs w:val="20"/>
          </w:rPr>
          <w:fldChar w:fldCharType="begin"/>
        </w:r>
        <w:r w:rsidRPr="006B578D">
          <w:rPr>
            <w:sz w:val="20"/>
            <w:szCs w:val="20"/>
          </w:rPr>
          <w:instrText xml:space="preserve"> PAGE   \* MERGEFORMAT </w:instrText>
        </w:r>
        <w:r w:rsidRPr="006B578D">
          <w:rPr>
            <w:sz w:val="20"/>
            <w:szCs w:val="20"/>
          </w:rPr>
          <w:fldChar w:fldCharType="separate"/>
        </w:r>
        <w:r w:rsidR="0036201A">
          <w:rPr>
            <w:noProof/>
            <w:sz w:val="20"/>
            <w:szCs w:val="20"/>
          </w:rPr>
          <w:t>7</w:t>
        </w:r>
        <w:r w:rsidRPr="006B578D">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B2C08" w14:textId="77777777" w:rsidR="008265C2" w:rsidRPr="006B578D" w:rsidRDefault="008265C2" w:rsidP="00DE5E10">
    <w:pPr>
      <w:jc w:val="center"/>
      <w:rPr>
        <w:rFonts w:ascii="Arial" w:hAnsi="Arial" w:cs="Arial"/>
        <w:b/>
      </w:rPr>
    </w:pPr>
    <w:r w:rsidRPr="006B578D">
      <w:rPr>
        <w:rFonts w:ascii="Arial" w:hAnsi="Arial" w:cs="Arial"/>
        <w:b/>
        <w:spacing w:val="-6"/>
      </w:rPr>
      <w:t>©</w:t>
    </w:r>
    <w:r w:rsidRPr="006B578D">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CF647" w14:textId="77777777" w:rsidR="008265C2" w:rsidRDefault="008265C2">
      <w:r>
        <w:separator/>
      </w:r>
    </w:p>
  </w:footnote>
  <w:footnote w:type="continuationSeparator" w:id="0">
    <w:p w14:paraId="27EF4D4A" w14:textId="77777777" w:rsidR="008265C2" w:rsidRDefault="00826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35F55" w14:textId="77777777" w:rsidR="008265C2" w:rsidRPr="006B578D" w:rsidRDefault="008265C2" w:rsidP="00593795">
    <w:pPr>
      <w:pStyle w:val="Header"/>
      <w:jc w:val="right"/>
      <w:rPr>
        <w:rFonts w:ascii="Book Antiqua" w:hAnsi="Book Antiqua" w:cs="Arial"/>
        <w:sz w:val="20"/>
        <w:szCs w:val="20"/>
      </w:rPr>
    </w:pPr>
    <w:r w:rsidRPr="006B578D">
      <w:rPr>
        <w:rFonts w:ascii="Book Antiqua" w:hAnsi="Book Antiqua" w:cs="Arial"/>
        <w:sz w:val="20"/>
        <w:szCs w:val="20"/>
      </w:rPr>
      <w:t>Appeal Number: EA/05489/2017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46954" w14:textId="77777777" w:rsidR="008265C2" w:rsidRPr="000704BB" w:rsidRDefault="008265C2">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831"/>
    <w:multiLevelType w:val="hybridMultilevel"/>
    <w:tmpl w:val="DFA8C552"/>
    <w:lvl w:ilvl="0" w:tplc="6966C436">
      <w:start w:val="1"/>
      <w:numFmt w:val="lowerLetter"/>
      <w:lvlText w:val="%1."/>
      <w:lvlJc w:val="left"/>
      <w:pPr>
        <w:ind w:left="2049" w:hanging="360"/>
      </w:pPr>
      <w:rPr>
        <w:rFonts w:hint="default"/>
      </w:rPr>
    </w:lvl>
    <w:lvl w:ilvl="1" w:tplc="08090019" w:tentative="1">
      <w:start w:val="1"/>
      <w:numFmt w:val="lowerLetter"/>
      <w:lvlText w:val="%2."/>
      <w:lvlJc w:val="left"/>
      <w:pPr>
        <w:ind w:left="2769" w:hanging="360"/>
      </w:pPr>
    </w:lvl>
    <w:lvl w:ilvl="2" w:tplc="0809001B" w:tentative="1">
      <w:start w:val="1"/>
      <w:numFmt w:val="lowerRoman"/>
      <w:lvlText w:val="%3."/>
      <w:lvlJc w:val="right"/>
      <w:pPr>
        <w:ind w:left="3489" w:hanging="180"/>
      </w:pPr>
    </w:lvl>
    <w:lvl w:ilvl="3" w:tplc="0809000F" w:tentative="1">
      <w:start w:val="1"/>
      <w:numFmt w:val="decimal"/>
      <w:lvlText w:val="%4."/>
      <w:lvlJc w:val="left"/>
      <w:pPr>
        <w:ind w:left="4209" w:hanging="360"/>
      </w:pPr>
    </w:lvl>
    <w:lvl w:ilvl="4" w:tplc="08090019" w:tentative="1">
      <w:start w:val="1"/>
      <w:numFmt w:val="lowerLetter"/>
      <w:lvlText w:val="%5."/>
      <w:lvlJc w:val="left"/>
      <w:pPr>
        <w:ind w:left="4929" w:hanging="360"/>
      </w:pPr>
    </w:lvl>
    <w:lvl w:ilvl="5" w:tplc="0809001B" w:tentative="1">
      <w:start w:val="1"/>
      <w:numFmt w:val="lowerRoman"/>
      <w:lvlText w:val="%6."/>
      <w:lvlJc w:val="right"/>
      <w:pPr>
        <w:ind w:left="5649" w:hanging="180"/>
      </w:pPr>
    </w:lvl>
    <w:lvl w:ilvl="6" w:tplc="0809000F" w:tentative="1">
      <w:start w:val="1"/>
      <w:numFmt w:val="decimal"/>
      <w:lvlText w:val="%7."/>
      <w:lvlJc w:val="left"/>
      <w:pPr>
        <w:ind w:left="6369" w:hanging="360"/>
      </w:pPr>
    </w:lvl>
    <w:lvl w:ilvl="7" w:tplc="08090019" w:tentative="1">
      <w:start w:val="1"/>
      <w:numFmt w:val="lowerLetter"/>
      <w:lvlText w:val="%8."/>
      <w:lvlJc w:val="left"/>
      <w:pPr>
        <w:ind w:left="7089" w:hanging="360"/>
      </w:pPr>
    </w:lvl>
    <w:lvl w:ilvl="8" w:tplc="0809001B" w:tentative="1">
      <w:start w:val="1"/>
      <w:numFmt w:val="lowerRoman"/>
      <w:lvlText w:val="%9."/>
      <w:lvlJc w:val="right"/>
      <w:pPr>
        <w:ind w:left="7809" w:hanging="180"/>
      </w:pPr>
    </w:lvl>
  </w:abstractNum>
  <w:abstractNum w:abstractNumId="1" w15:restartNumberingAfterBreak="0">
    <w:nsid w:val="24F44C7A"/>
    <w:multiLevelType w:val="hybridMultilevel"/>
    <w:tmpl w:val="487AF99C"/>
    <w:lvl w:ilvl="0" w:tplc="C58E7328">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3B"/>
    <w:rsid w:val="00000621"/>
    <w:rsid w:val="000036C2"/>
    <w:rsid w:val="00024D27"/>
    <w:rsid w:val="00033D3D"/>
    <w:rsid w:val="00046259"/>
    <w:rsid w:val="000472AC"/>
    <w:rsid w:val="000553C8"/>
    <w:rsid w:val="00062F02"/>
    <w:rsid w:val="00064C8B"/>
    <w:rsid w:val="000704BB"/>
    <w:rsid w:val="00071A7E"/>
    <w:rsid w:val="000746C0"/>
    <w:rsid w:val="00074D1D"/>
    <w:rsid w:val="00081737"/>
    <w:rsid w:val="00092580"/>
    <w:rsid w:val="00093D4D"/>
    <w:rsid w:val="000A064E"/>
    <w:rsid w:val="000A2B4E"/>
    <w:rsid w:val="000C5435"/>
    <w:rsid w:val="000D5D94"/>
    <w:rsid w:val="000F1A0E"/>
    <w:rsid w:val="00113556"/>
    <w:rsid w:val="001165A7"/>
    <w:rsid w:val="00117E31"/>
    <w:rsid w:val="00127F07"/>
    <w:rsid w:val="001361F9"/>
    <w:rsid w:val="0014065D"/>
    <w:rsid w:val="0014366D"/>
    <w:rsid w:val="00144C70"/>
    <w:rsid w:val="00150C5F"/>
    <w:rsid w:val="00167D3A"/>
    <w:rsid w:val="001808BA"/>
    <w:rsid w:val="00180DEA"/>
    <w:rsid w:val="00185FD1"/>
    <w:rsid w:val="00190911"/>
    <w:rsid w:val="001A07E6"/>
    <w:rsid w:val="001A3082"/>
    <w:rsid w:val="001A68A3"/>
    <w:rsid w:val="001B186A"/>
    <w:rsid w:val="001B2F75"/>
    <w:rsid w:val="001C2D96"/>
    <w:rsid w:val="001C4D02"/>
    <w:rsid w:val="001C5B44"/>
    <w:rsid w:val="001D2A08"/>
    <w:rsid w:val="001F2716"/>
    <w:rsid w:val="00207617"/>
    <w:rsid w:val="00215C2C"/>
    <w:rsid w:val="0021721E"/>
    <w:rsid w:val="0022369D"/>
    <w:rsid w:val="0023134B"/>
    <w:rsid w:val="00231A2B"/>
    <w:rsid w:val="00241C92"/>
    <w:rsid w:val="00265B39"/>
    <w:rsid w:val="002762ED"/>
    <w:rsid w:val="00283659"/>
    <w:rsid w:val="002A0895"/>
    <w:rsid w:val="002A661D"/>
    <w:rsid w:val="002B1D82"/>
    <w:rsid w:val="002C6BD4"/>
    <w:rsid w:val="002D5312"/>
    <w:rsid w:val="002D68BF"/>
    <w:rsid w:val="002F4FF0"/>
    <w:rsid w:val="002F6B98"/>
    <w:rsid w:val="00305E86"/>
    <w:rsid w:val="0033240F"/>
    <w:rsid w:val="00332E85"/>
    <w:rsid w:val="00336CBF"/>
    <w:rsid w:val="00343FE3"/>
    <w:rsid w:val="003546C8"/>
    <w:rsid w:val="00356224"/>
    <w:rsid w:val="0036201A"/>
    <w:rsid w:val="00380A09"/>
    <w:rsid w:val="0039262C"/>
    <w:rsid w:val="003A194F"/>
    <w:rsid w:val="003A3090"/>
    <w:rsid w:val="003A67A4"/>
    <w:rsid w:val="003A7CF2"/>
    <w:rsid w:val="003C5CE5"/>
    <w:rsid w:val="003C64B3"/>
    <w:rsid w:val="003E1E82"/>
    <w:rsid w:val="003E267B"/>
    <w:rsid w:val="003E530F"/>
    <w:rsid w:val="003E7CD1"/>
    <w:rsid w:val="00402B9E"/>
    <w:rsid w:val="004249CB"/>
    <w:rsid w:val="0044127D"/>
    <w:rsid w:val="00441684"/>
    <w:rsid w:val="004448DB"/>
    <w:rsid w:val="00446C9A"/>
    <w:rsid w:val="00452F2B"/>
    <w:rsid w:val="0045658A"/>
    <w:rsid w:val="00462C42"/>
    <w:rsid w:val="00477193"/>
    <w:rsid w:val="0048771C"/>
    <w:rsid w:val="00490D9B"/>
    <w:rsid w:val="00494A12"/>
    <w:rsid w:val="004A107D"/>
    <w:rsid w:val="004A1848"/>
    <w:rsid w:val="004A1BB2"/>
    <w:rsid w:val="004A3A42"/>
    <w:rsid w:val="004A6F4A"/>
    <w:rsid w:val="004C731A"/>
    <w:rsid w:val="004D5558"/>
    <w:rsid w:val="004E0F3D"/>
    <w:rsid w:val="004E4717"/>
    <w:rsid w:val="00500016"/>
    <w:rsid w:val="005011B4"/>
    <w:rsid w:val="00507FEC"/>
    <w:rsid w:val="00510F0E"/>
    <w:rsid w:val="00535861"/>
    <w:rsid w:val="005479E1"/>
    <w:rsid w:val="00553E0A"/>
    <w:rsid w:val="00556553"/>
    <w:rsid w:val="005570FD"/>
    <w:rsid w:val="005575EA"/>
    <w:rsid w:val="0057181C"/>
    <w:rsid w:val="0057790C"/>
    <w:rsid w:val="00580FC5"/>
    <w:rsid w:val="00593795"/>
    <w:rsid w:val="005A75FF"/>
    <w:rsid w:val="005C2522"/>
    <w:rsid w:val="005D0848"/>
    <w:rsid w:val="005D10AB"/>
    <w:rsid w:val="005E031F"/>
    <w:rsid w:val="005E4E6E"/>
    <w:rsid w:val="005E7A82"/>
    <w:rsid w:val="005F00BD"/>
    <w:rsid w:val="005F4FC8"/>
    <w:rsid w:val="00601D8F"/>
    <w:rsid w:val="00602E79"/>
    <w:rsid w:val="00614886"/>
    <w:rsid w:val="0062519A"/>
    <w:rsid w:val="006278B4"/>
    <w:rsid w:val="00643BFC"/>
    <w:rsid w:val="00647A89"/>
    <w:rsid w:val="00653E97"/>
    <w:rsid w:val="006701F7"/>
    <w:rsid w:val="006711AA"/>
    <w:rsid w:val="0068299C"/>
    <w:rsid w:val="00684A74"/>
    <w:rsid w:val="00690B8A"/>
    <w:rsid w:val="006A4038"/>
    <w:rsid w:val="006B578D"/>
    <w:rsid w:val="006C279D"/>
    <w:rsid w:val="006C3363"/>
    <w:rsid w:val="006C74CA"/>
    <w:rsid w:val="006D7E96"/>
    <w:rsid w:val="006F2CF1"/>
    <w:rsid w:val="006F337B"/>
    <w:rsid w:val="007038ED"/>
    <w:rsid w:val="00703BC3"/>
    <w:rsid w:val="00704B61"/>
    <w:rsid w:val="00705D2A"/>
    <w:rsid w:val="0071355E"/>
    <w:rsid w:val="00715828"/>
    <w:rsid w:val="00722C5E"/>
    <w:rsid w:val="00750E2B"/>
    <w:rsid w:val="007552A9"/>
    <w:rsid w:val="00761858"/>
    <w:rsid w:val="00767D59"/>
    <w:rsid w:val="00776E97"/>
    <w:rsid w:val="00780F86"/>
    <w:rsid w:val="007912AD"/>
    <w:rsid w:val="00792B5B"/>
    <w:rsid w:val="007952AC"/>
    <w:rsid w:val="00797649"/>
    <w:rsid w:val="007B0824"/>
    <w:rsid w:val="007B1310"/>
    <w:rsid w:val="007B5D3C"/>
    <w:rsid w:val="007F2A46"/>
    <w:rsid w:val="00806249"/>
    <w:rsid w:val="00821B72"/>
    <w:rsid w:val="00823DDA"/>
    <w:rsid w:val="00823EF2"/>
    <w:rsid w:val="008265C2"/>
    <w:rsid w:val="008303B8"/>
    <w:rsid w:val="00830442"/>
    <w:rsid w:val="00833DCE"/>
    <w:rsid w:val="00847320"/>
    <w:rsid w:val="008616F5"/>
    <w:rsid w:val="00871D34"/>
    <w:rsid w:val="00886A0A"/>
    <w:rsid w:val="008A5D70"/>
    <w:rsid w:val="008B1ACE"/>
    <w:rsid w:val="008B270C"/>
    <w:rsid w:val="008B5078"/>
    <w:rsid w:val="008C3686"/>
    <w:rsid w:val="008C3D3D"/>
    <w:rsid w:val="008C61E2"/>
    <w:rsid w:val="008D4131"/>
    <w:rsid w:val="008E45AC"/>
    <w:rsid w:val="008F1932"/>
    <w:rsid w:val="008F341C"/>
    <w:rsid w:val="008F54E9"/>
    <w:rsid w:val="00900EF6"/>
    <w:rsid w:val="00905F3D"/>
    <w:rsid w:val="00907D16"/>
    <w:rsid w:val="00913820"/>
    <w:rsid w:val="00921062"/>
    <w:rsid w:val="00922C55"/>
    <w:rsid w:val="00951CD0"/>
    <w:rsid w:val="009545E7"/>
    <w:rsid w:val="00963566"/>
    <w:rsid w:val="009722BC"/>
    <w:rsid w:val="009727A3"/>
    <w:rsid w:val="00977FC0"/>
    <w:rsid w:val="00985E2C"/>
    <w:rsid w:val="00987774"/>
    <w:rsid w:val="009A11E8"/>
    <w:rsid w:val="009C16B5"/>
    <w:rsid w:val="009D3D00"/>
    <w:rsid w:val="009D7785"/>
    <w:rsid w:val="009E21C5"/>
    <w:rsid w:val="009E78DF"/>
    <w:rsid w:val="009F0B18"/>
    <w:rsid w:val="009F16FA"/>
    <w:rsid w:val="009F4A7D"/>
    <w:rsid w:val="009F5220"/>
    <w:rsid w:val="00A15234"/>
    <w:rsid w:val="00A201AB"/>
    <w:rsid w:val="00A24F4E"/>
    <w:rsid w:val="00A31C8B"/>
    <w:rsid w:val="00A509FA"/>
    <w:rsid w:val="00A71C11"/>
    <w:rsid w:val="00A72060"/>
    <w:rsid w:val="00A845DC"/>
    <w:rsid w:val="00AA34AC"/>
    <w:rsid w:val="00AD159E"/>
    <w:rsid w:val="00AD750D"/>
    <w:rsid w:val="00B0586D"/>
    <w:rsid w:val="00B1111A"/>
    <w:rsid w:val="00B26AA2"/>
    <w:rsid w:val="00B3524D"/>
    <w:rsid w:val="00B40F69"/>
    <w:rsid w:val="00B46616"/>
    <w:rsid w:val="00B50B64"/>
    <w:rsid w:val="00B65D5C"/>
    <w:rsid w:val="00B7040A"/>
    <w:rsid w:val="00B76302"/>
    <w:rsid w:val="00B83391"/>
    <w:rsid w:val="00B95326"/>
    <w:rsid w:val="00BD02B4"/>
    <w:rsid w:val="00BD4196"/>
    <w:rsid w:val="00BD6BC1"/>
    <w:rsid w:val="00BF22CA"/>
    <w:rsid w:val="00BF23BB"/>
    <w:rsid w:val="00C033F5"/>
    <w:rsid w:val="00C20139"/>
    <w:rsid w:val="00C26032"/>
    <w:rsid w:val="00C30E3C"/>
    <w:rsid w:val="00C31459"/>
    <w:rsid w:val="00C345E1"/>
    <w:rsid w:val="00C43BFD"/>
    <w:rsid w:val="00C50D86"/>
    <w:rsid w:val="00C643A0"/>
    <w:rsid w:val="00C77BDD"/>
    <w:rsid w:val="00C86051"/>
    <w:rsid w:val="00C93A95"/>
    <w:rsid w:val="00CA76FD"/>
    <w:rsid w:val="00CB4A91"/>
    <w:rsid w:val="00CB6E35"/>
    <w:rsid w:val="00CE08EB"/>
    <w:rsid w:val="00CE1A46"/>
    <w:rsid w:val="00CE2D36"/>
    <w:rsid w:val="00D07BEB"/>
    <w:rsid w:val="00D14641"/>
    <w:rsid w:val="00D17CC5"/>
    <w:rsid w:val="00D20757"/>
    <w:rsid w:val="00D22636"/>
    <w:rsid w:val="00D32962"/>
    <w:rsid w:val="00D40FD9"/>
    <w:rsid w:val="00D41C8C"/>
    <w:rsid w:val="00D46EE4"/>
    <w:rsid w:val="00D53769"/>
    <w:rsid w:val="00D6169E"/>
    <w:rsid w:val="00D85C13"/>
    <w:rsid w:val="00D90090"/>
    <w:rsid w:val="00D9111A"/>
    <w:rsid w:val="00D91BE3"/>
    <w:rsid w:val="00D94AFC"/>
    <w:rsid w:val="00D964F8"/>
    <w:rsid w:val="00DB0592"/>
    <w:rsid w:val="00DB70AE"/>
    <w:rsid w:val="00DC4FF6"/>
    <w:rsid w:val="00DD5071"/>
    <w:rsid w:val="00DD5C39"/>
    <w:rsid w:val="00DE2DB7"/>
    <w:rsid w:val="00DE5E10"/>
    <w:rsid w:val="00DE7DB7"/>
    <w:rsid w:val="00E00A0A"/>
    <w:rsid w:val="00E04030"/>
    <w:rsid w:val="00E0631D"/>
    <w:rsid w:val="00E066DE"/>
    <w:rsid w:val="00E07F57"/>
    <w:rsid w:val="00E21F28"/>
    <w:rsid w:val="00E26C16"/>
    <w:rsid w:val="00E30683"/>
    <w:rsid w:val="00E31173"/>
    <w:rsid w:val="00E4234D"/>
    <w:rsid w:val="00E453D8"/>
    <w:rsid w:val="00E458EF"/>
    <w:rsid w:val="00E50813"/>
    <w:rsid w:val="00E50BCE"/>
    <w:rsid w:val="00E574BF"/>
    <w:rsid w:val="00E61292"/>
    <w:rsid w:val="00E61CB4"/>
    <w:rsid w:val="00E65853"/>
    <w:rsid w:val="00E77C4D"/>
    <w:rsid w:val="00E81D01"/>
    <w:rsid w:val="00E8760A"/>
    <w:rsid w:val="00E90A99"/>
    <w:rsid w:val="00EA3675"/>
    <w:rsid w:val="00EB233B"/>
    <w:rsid w:val="00EE1320"/>
    <w:rsid w:val="00EE45D8"/>
    <w:rsid w:val="00EE7591"/>
    <w:rsid w:val="00F22EDA"/>
    <w:rsid w:val="00F517D0"/>
    <w:rsid w:val="00F656AD"/>
    <w:rsid w:val="00F77F3F"/>
    <w:rsid w:val="00F9433B"/>
    <w:rsid w:val="00FA3933"/>
    <w:rsid w:val="00FA6AAF"/>
    <w:rsid w:val="00FB791E"/>
    <w:rsid w:val="00FD7A6B"/>
    <w:rsid w:val="00FD7AE5"/>
    <w:rsid w:val="00FE46AA"/>
    <w:rsid w:val="00FF7B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1677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490D9B"/>
    <w:pPr>
      <w:ind w:left="720"/>
      <w:contextualSpacing/>
    </w:pPr>
  </w:style>
  <w:style w:type="character" w:customStyle="1" w:styleId="FooterChar">
    <w:name w:val="Footer Char"/>
    <w:basedOn w:val="DefaultParagraphFont"/>
    <w:link w:val="Footer"/>
    <w:uiPriority w:val="99"/>
    <w:rsid w:val="009D778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2546</Words>
  <Characters>12312</Characters>
  <Application>Microsoft Office Word</Application>
  <DocSecurity>0</DocSecurity>
  <Lines>102</Lines>
  <Paragraphs>29</Paragraphs>
  <ScaleCrop>false</ScaleCrop>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2018-09-04T13:52:00Z</dcterms:created>
  <dcterms:modified xsi:type="dcterms:W3CDTF">2018-09-04T13:52:00Z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