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6013D" w:rsidP="00C321B5">
      <w:pPr>
        <w:jc w:val="center"/>
        <w:rPr>
          <w:rFonts w:ascii="Book Antiqua" w:hAnsi="Book Antiqua" w:cs="Arial"/>
          <w:sz w:val="16"/>
          <w:szCs w:val="16"/>
        </w:rPr>
      </w:pPr>
      <w:r w:rsidRPr="00240FEC">
        <w:rPr>
          <w:noProof/>
          <w:lang w:val="en-US" w:eastAsia="en-US"/>
        </w:rPr>
        <w:drawing>
          <wp:inline distT="0" distB="0" distL="0" distR="0">
            <wp:extent cx="11880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03362"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F03362">
        <w:rPr>
          <w:rFonts w:ascii="Book Antiqua" w:hAnsi="Book Antiqua" w:cs="Arial"/>
          <w:b/>
        </w:rPr>
        <w:t xml:space="preserve">   </w:t>
      </w:r>
      <w:proofErr w:type="gramEnd"/>
      <w:r w:rsidR="00F03362">
        <w:rPr>
          <w:rFonts w:ascii="Book Antiqua" w:hAnsi="Book Antiqua" w:cs="Arial"/>
          <w:b/>
        </w:rPr>
        <w:t xml:space="preserve">                      </w:t>
      </w:r>
      <w:r w:rsidR="00B3524D" w:rsidRPr="00F03362">
        <w:rPr>
          <w:rFonts w:ascii="Book Antiqua" w:hAnsi="Book Antiqua" w:cs="Arial"/>
          <w:b/>
        </w:rPr>
        <w:t>Appeal Number</w:t>
      </w:r>
      <w:r w:rsidR="00D53769" w:rsidRPr="00F03362">
        <w:rPr>
          <w:rFonts w:ascii="Book Antiqua" w:hAnsi="Book Antiqua" w:cs="Arial"/>
          <w:b/>
        </w:rPr>
        <w:t>:</w:t>
      </w:r>
      <w:r w:rsidR="00B3524D" w:rsidRPr="00F03362">
        <w:rPr>
          <w:rFonts w:ascii="Book Antiqua" w:hAnsi="Book Antiqua" w:cs="Arial"/>
          <w:b/>
        </w:rPr>
        <w:t xml:space="preserve"> </w:t>
      </w:r>
      <w:r w:rsidR="00AA2379" w:rsidRPr="00F03362">
        <w:rPr>
          <w:rFonts w:ascii="Book Antiqua" w:hAnsi="Book Antiqua" w:cs="Arial"/>
          <w:b/>
          <w:caps/>
        </w:rPr>
        <w:t>EA/05520/2016</w:t>
      </w:r>
    </w:p>
    <w:p w:rsidR="00C345E1" w:rsidRPr="00F03362"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6"/>
        <w:gridCol w:w="601"/>
        <w:gridCol w:w="4621"/>
      </w:tblGrid>
      <w:tr w:rsidR="00D22636" w:rsidRPr="00F5664C" w:rsidTr="0076013D">
        <w:tc>
          <w:tcPr>
            <w:tcW w:w="4786" w:type="dxa"/>
            <w:shd w:val="clear" w:color="auto" w:fill="auto"/>
          </w:tcPr>
          <w:p w:rsidR="00D22636" w:rsidRPr="00240FEC" w:rsidRDefault="00D22636" w:rsidP="00240FEC">
            <w:pPr>
              <w:jc w:val="both"/>
              <w:rPr>
                <w:rFonts w:ascii="Book Antiqua" w:hAnsi="Book Antiqua" w:cs="Arial"/>
                <w:b/>
              </w:rPr>
            </w:pPr>
            <w:r w:rsidRPr="00240FEC">
              <w:rPr>
                <w:rFonts w:ascii="Book Antiqua" w:hAnsi="Book Antiqua" w:cs="Arial"/>
                <w:b/>
              </w:rPr>
              <w:t xml:space="preserve">Heard at </w:t>
            </w:r>
            <w:r w:rsidR="00AA2379" w:rsidRPr="00240FEC">
              <w:rPr>
                <w:rFonts w:ascii="Book Antiqua" w:hAnsi="Book Antiqua" w:cs="Arial"/>
                <w:b/>
              </w:rPr>
              <w:t>Field House</w:t>
            </w:r>
          </w:p>
        </w:tc>
        <w:tc>
          <w:tcPr>
            <w:tcW w:w="5222" w:type="dxa"/>
            <w:gridSpan w:val="2"/>
            <w:shd w:val="clear" w:color="auto" w:fill="auto"/>
          </w:tcPr>
          <w:p w:rsidR="00D22636" w:rsidRPr="00240FEC" w:rsidRDefault="00F03362" w:rsidP="00240FEC">
            <w:pPr>
              <w:jc w:val="both"/>
              <w:rPr>
                <w:rFonts w:ascii="Book Antiqua" w:hAnsi="Book Antiqua" w:cs="Arial"/>
                <w:b/>
              </w:rPr>
            </w:pPr>
            <w:r>
              <w:rPr>
                <w:rFonts w:ascii="Book Antiqua" w:hAnsi="Book Antiqua" w:cs="Arial"/>
                <w:b/>
              </w:rPr>
              <w:t xml:space="preserve">          </w:t>
            </w:r>
            <w:r w:rsidR="000E34AA" w:rsidRPr="00240FEC">
              <w:rPr>
                <w:rFonts w:ascii="Book Antiqua" w:hAnsi="Book Antiqua" w:cs="Arial"/>
                <w:b/>
              </w:rPr>
              <w:t>De</w:t>
            </w:r>
            <w:r w:rsidR="0076013D">
              <w:rPr>
                <w:rFonts w:ascii="Book Antiqua" w:hAnsi="Book Antiqua" w:cs="Arial"/>
                <w:b/>
              </w:rPr>
              <w:t>cision</w:t>
            </w:r>
            <w:r w:rsidR="000E34AA" w:rsidRPr="00240FEC">
              <w:rPr>
                <w:rFonts w:ascii="Book Antiqua" w:hAnsi="Book Antiqua" w:cs="Arial"/>
                <w:b/>
              </w:rPr>
              <w:t xml:space="preserve"> &amp; Reasons</w:t>
            </w:r>
            <w:r w:rsidR="00283659" w:rsidRPr="00240FEC">
              <w:rPr>
                <w:rFonts w:ascii="Book Antiqua" w:hAnsi="Book Antiqua" w:cs="Arial"/>
                <w:b/>
              </w:rPr>
              <w:t xml:space="preserve"> Promulgated</w:t>
            </w:r>
          </w:p>
        </w:tc>
      </w:tr>
      <w:tr w:rsidR="00D22636" w:rsidRPr="00F5664C" w:rsidTr="0076013D">
        <w:tc>
          <w:tcPr>
            <w:tcW w:w="4786" w:type="dxa"/>
            <w:shd w:val="clear" w:color="auto" w:fill="auto"/>
          </w:tcPr>
          <w:p w:rsidR="00D22636" w:rsidRPr="00240FEC" w:rsidRDefault="00D22636" w:rsidP="00240FEC">
            <w:pPr>
              <w:jc w:val="both"/>
              <w:rPr>
                <w:rFonts w:ascii="Book Antiqua" w:hAnsi="Book Antiqua" w:cs="Arial"/>
                <w:b/>
              </w:rPr>
            </w:pPr>
            <w:r w:rsidRPr="00240FEC">
              <w:rPr>
                <w:rFonts w:ascii="Book Antiqua" w:hAnsi="Book Antiqua" w:cs="Arial"/>
                <w:b/>
              </w:rPr>
              <w:t xml:space="preserve">On </w:t>
            </w:r>
            <w:r w:rsidR="00AA2379" w:rsidRPr="00240FEC">
              <w:rPr>
                <w:rFonts w:ascii="Book Antiqua" w:hAnsi="Book Antiqua" w:cs="Arial"/>
                <w:b/>
              </w:rPr>
              <w:t>12</w:t>
            </w:r>
            <w:r w:rsidR="00AA2379" w:rsidRPr="00240FEC">
              <w:rPr>
                <w:rFonts w:ascii="Book Antiqua" w:hAnsi="Book Antiqua" w:cs="Arial"/>
                <w:b/>
                <w:vertAlign w:val="superscript"/>
              </w:rPr>
              <w:t>th</w:t>
            </w:r>
            <w:r w:rsidR="00AA2379" w:rsidRPr="00240FEC">
              <w:rPr>
                <w:rFonts w:ascii="Book Antiqua" w:hAnsi="Book Antiqua" w:cs="Arial"/>
                <w:b/>
              </w:rPr>
              <w:t xml:space="preserve"> April 2018</w:t>
            </w:r>
          </w:p>
        </w:tc>
        <w:tc>
          <w:tcPr>
            <w:tcW w:w="5222" w:type="dxa"/>
            <w:gridSpan w:val="2"/>
            <w:shd w:val="clear" w:color="auto" w:fill="auto"/>
          </w:tcPr>
          <w:p w:rsidR="00D22636" w:rsidRPr="00240FEC" w:rsidRDefault="00F03362" w:rsidP="00240FEC">
            <w:pPr>
              <w:jc w:val="both"/>
              <w:rPr>
                <w:rFonts w:ascii="Book Antiqua" w:hAnsi="Book Antiqua" w:cs="Arial"/>
                <w:b/>
              </w:rPr>
            </w:pPr>
            <w:r>
              <w:rPr>
                <w:rFonts w:ascii="Book Antiqua" w:hAnsi="Book Antiqua" w:cs="Arial"/>
                <w:b/>
              </w:rPr>
              <w:t xml:space="preserve">          </w:t>
            </w:r>
            <w:r w:rsidR="0076013D">
              <w:rPr>
                <w:rFonts w:ascii="Book Antiqua" w:hAnsi="Book Antiqua" w:cs="Arial"/>
                <w:b/>
              </w:rPr>
              <w:t>On 17</w:t>
            </w:r>
            <w:r w:rsidR="0076013D" w:rsidRPr="0076013D">
              <w:rPr>
                <w:rFonts w:ascii="Book Antiqua" w:hAnsi="Book Antiqua" w:cs="Arial"/>
                <w:b/>
                <w:vertAlign w:val="superscript"/>
              </w:rPr>
              <w:t>th</w:t>
            </w:r>
            <w:r w:rsidR="0076013D">
              <w:rPr>
                <w:rFonts w:ascii="Book Antiqua" w:hAnsi="Book Antiqua" w:cs="Arial"/>
                <w:b/>
              </w:rPr>
              <w:t xml:space="preserve"> May 2018 </w:t>
            </w:r>
          </w:p>
        </w:tc>
      </w:tr>
      <w:tr w:rsidR="0076013D" w:rsidRPr="00F5664C" w:rsidTr="00240FEC">
        <w:trPr>
          <w:gridAfter w:val="1"/>
          <w:wAfter w:w="4621" w:type="dxa"/>
        </w:trPr>
        <w:tc>
          <w:tcPr>
            <w:tcW w:w="5387" w:type="dxa"/>
            <w:gridSpan w:val="2"/>
            <w:shd w:val="clear" w:color="auto" w:fill="auto"/>
          </w:tcPr>
          <w:p w:rsidR="0076013D" w:rsidRPr="00240FEC" w:rsidRDefault="0076013D" w:rsidP="00240FEC">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AA2379" w:rsidRDefault="00AA2379" w:rsidP="000E34AA">
      <w:pPr>
        <w:jc w:val="center"/>
        <w:rPr>
          <w:rFonts w:ascii="Book Antiqua" w:hAnsi="Book Antiqua" w:cs="Arial"/>
          <w:b/>
          <w:caps/>
        </w:rPr>
      </w:pPr>
      <w:r>
        <w:rPr>
          <w:rFonts w:ascii="Book Antiqua" w:hAnsi="Book Antiqua" w:cs="Arial"/>
          <w:b/>
          <w:caps/>
        </w:rPr>
        <w:t xml:space="preserve">mr </w:t>
      </w:r>
      <w:r w:rsidRPr="00AA2379">
        <w:rPr>
          <w:rFonts w:ascii="Book Antiqua" w:hAnsi="Book Antiqua" w:cs="Arial"/>
          <w:b/>
          <w:caps/>
        </w:rPr>
        <w:t xml:space="preserve">Ronald </w:t>
      </w:r>
      <w:r>
        <w:rPr>
          <w:rFonts w:ascii="Book Antiqua" w:hAnsi="Book Antiqua" w:cs="Arial"/>
          <w:b/>
          <w:caps/>
        </w:rPr>
        <w:t>KUMAR</w:t>
      </w:r>
    </w:p>
    <w:p w:rsidR="000E34AA" w:rsidRPr="00F03362" w:rsidRDefault="000E34AA" w:rsidP="000E34AA">
      <w:pPr>
        <w:jc w:val="center"/>
        <w:rPr>
          <w:rFonts w:ascii="Book Antiqua" w:hAnsi="Book Antiqua" w:cs="Arial"/>
          <w:caps/>
        </w:rPr>
      </w:pPr>
      <w:r w:rsidRPr="00F03362">
        <w:rPr>
          <w:rFonts w:ascii="Book Antiqua" w:hAnsi="Book Antiqua" w:cs="Arial"/>
          <w:caps/>
        </w:rPr>
        <w:t xml:space="preserve">(ANONYMITY DIRECTION </w:t>
      </w:r>
      <w:r w:rsidR="00AA2379" w:rsidRPr="00F03362">
        <w:rPr>
          <w:rFonts w:ascii="Book Antiqua" w:hAnsi="Book Antiqua" w:cs="Arial"/>
          <w:caps/>
        </w:rPr>
        <w:t>not made</w:t>
      </w:r>
      <w:r w:rsidRPr="00F03362">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03362" w:rsidRPr="00F5664C" w:rsidRDefault="00F03362"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A2379">
        <w:rPr>
          <w:rFonts w:ascii="Book Antiqua" w:hAnsi="Book Antiqua" w:cs="Arial"/>
        </w:rPr>
        <w:t>Mr N O’Brian (Counsel)</w:t>
      </w:r>
      <w:r w:rsidR="00735A2A">
        <w:rPr>
          <w:rFonts w:ascii="Book Antiqua" w:hAnsi="Book Antiqua" w:cs="Arial"/>
        </w:rPr>
        <w:t>, Edmans &amp; Co</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735A2A">
        <w:rPr>
          <w:rFonts w:ascii="Book Antiqua" w:hAnsi="Book Antiqua" w:cs="Arial"/>
        </w:rPr>
        <w:t>Mr I Jarvis (Senior Home Office Presenting Officer</w:t>
      </w:r>
      <w:r w:rsidR="00AA2379">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AA2379" w:rsidP="00402B9E">
      <w:pPr>
        <w:tabs>
          <w:tab w:val="left" w:pos="2520"/>
        </w:tabs>
        <w:jc w:val="center"/>
        <w:rPr>
          <w:rFonts w:ascii="Book Antiqua" w:hAnsi="Book Antiqua" w:cs="Arial"/>
        </w:rPr>
      </w:pPr>
      <w:r>
        <w:rPr>
          <w:rFonts w:ascii="Book Antiqua" w:hAnsi="Book Antiqua" w:cs="Arial"/>
          <w:b/>
          <w:u w:val="single"/>
        </w:rPr>
        <w:t>DETERMINATION</w:t>
      </w:r>
      <w:r w:rsidR="000E34AA">
        <w:rPr>
          <w:rFonts w:ascii="Book Antiqua" w:hAnsi="Book Antiqua" w:cs="Arial"/>
          <w:b/>
          <w:u w:val="single"/>
        </w:rPr>
        <w:t xml:space="preserve">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AA2379"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Deborah Clapham, promulgated on 20</w:t>
      </w:r>
      <w:r w:rsidRPr="00AA2379">
        <w:rPr>
          <w:rFonts w:ascii="Book Antiqua" w:hAnsi="Book Antiqua" w:cs="Arial"/>
          <w:vertAlign w:val="superscript"/>
        </w:rPr>
        <w:t>th</w:t>
      </w:r>
      <w:r>
        <w:rPr>
          <w:rFonts w:ascii="Book Antiqua" w:hAnsi="Book Antiqua" w:cs="Arial"/>
        </w:rPr>
        <w:t xml:space="preserve"> November 2017, following a hearing at Taylor House on 20</w:t>
      </w:r>
      <w:r w:rsidRPr="00AA2379">
        <w:rPr>
          <w:rFonts w:ascii="Book Antiqua" w:hAnsi="Book Antiqua" w:cs="Arial"/>
          <w:vertAlign w:val="superscript"/>
        </w:rPr>
        <w:t>th</w:t>
      </w:r>
      <w:r>
        <w:rPr>
          <w:rFonts w:ascii="Book Antiqua" w:hAnsi="Book Antiqua" w:cs="Arial"/>
        </w:rPr>
        <w:t xml:space="preserve"> October 2017.  In the determination, the judge dismissed the appeal of the Appellant, whereupon the Appellant subsequently applied for, and was granted, permission to appeal to the Upper Tribunal, and thus the matter comes before me.  </w:t>
      </w:r>
    </w:p>
    <w:p w:rsidR="00AA2379" w:rsidRPr="00AA2379" w:rsidRDefault="00AA2379" w:rsidP="00AA2379">
      <w:pPr>
        <w:spacing w:before="240"/>
        <w:jc w:val="both"/>
        <w:rPr>
          <w:rFonts w:ascii="Book Antiqua" w:hAnsi="Book Antiqua" w:cs="Arial"/>
          <w:b/>
          <w:u w:val="single"/>
        </w:rPr>
      </w:pPr>
      <w:r w:rsidRPr="00AA2379">
        <w:rPr>
          <w:rFonts w:ascii="Book Antiqua" w:hAnsi="Book Antiqua" w:cs="Arial"/>
          <w:b/>
          <w:u w:val="single"/>
        </w:rPr>
        <w:t>The Appellant</w:t>
      </w:r>
    </w:p>
    <w:p w:rsidR="00AA2379" w:rsidRDefault="00AA2379" w:rsidP="00D33B16">
      <w:pPr>
        <w:numPr>
          <w:ilvl w:val="0"/>
          <w:numId w:val="3"/>
        </w:numPr>
        <w:spacing w:before="240"/>
        <w:jc w:val="both"/>
        <w:rPr>
          <w:rFonts w:ascii="Book Antiqua" w:hAnsi="Book Antiqua" w:cs="Arial"/>
        </w:rPr>
      </w:pPr>
      <w:r>
        <w:rPr>
          <w:rFonts w:ascii="Book Antiqua" w:hAnsi="Book Antiqua" w:cs="Arial"/>
        </w:rPr>
        <w:t>The Appellant is a male, a citizen of India, who was born on 12</w:t>
      </w:r>
      <w:r w:rsidRPr="00AA2379">
        <w:rPr>
          <w:rFonts w:ascii="Book Antiqua" w:hAnsi="Book Antiqua" w:cs="Arial"/>
          <w:vertAlign w:val="superscript"/>
        </w:rPr>
        <w:t>th</w:t>
      </w:r>
      <w:r>
        <w:rPr>
          <w:rFonts w:ascii="Book Antiqua" w:hAnsi="Book Antiqua" w:cs="Arial"/>
        </w:rPr>
        <w:t xml:space="preserve"> December 1985.  He appealed against the decision of the Respondent Secretary of State, dated 21</w:t>
      </w:r>
      <w:r w:rsidRPr="00AA2379">
        <w:rPr>
          <w:rFonts w:ascii="Book Antiqua" w:hAnsi="Book Antiqua" w:cs="Arial"/>
          <w:vertAlign w:val="superscript"/>
        </w:rPr>
        <w:t>st</w:t>
      </w:r>
      <w:r>
        <w:rPr>
          <w:rFonts w:ascii="Book Antiqua" w:hAnsi="Book Antiqua" w:cs="Arial"/>
        </w:rPr>
        <w:t xml:space="preserve"> April 2016, refusing his application for a permanent residence card, following his divorce </w:t>
      </w:r>
      <w:r>
        <w:rPr>
          <w:rFonts w:ascii="Book Antiqua" w:hAnsi="Book Antiqua" w:cs="Arial"/>
        </w:rPr>
        <w:lastRenderedPageBreak/>
        <w:t xml:space="preserve">from his former EEA national spouse, on the basis that he had resided in the UK for a continuous period of five years under the EEA Regulations.  </w:t>
      </w:r>
    </w:p>
    <w:p w:rsidR="00AA2379" w:rsidRPr="00AA2379" w:rsidRDefault="00AA2379" w:rsidP="00AA2379">
      <w:pPr>
        <w:spacing w:before="240"/>
        <w:jc w:val="both"/>
        <w:rPr>
          <w:rFonts w:ascii="Book Antiqua" w:hAnsi="Book Antiqua" w:cs="Arial"/>
          <w:b/>
          <w:u w:val="single"/>
        </w:rPr>
      </w:pPr>
      <w:r w:rsidRPr="00AA2379">
        <w:rPr>
          <w:rFonts w:ascii="Book Antiqua" w:hAnsi="Book Antiqua" w:cs="Arial"/>
          <w:b/>
          <w:u w:val="single"/>
        </w:rPr>
        <w:t>The Appellant’s Claim</w:t>
      </w:r>
    </w:p>
    <w:p w:rsidR="00AA2379" w:rsidRDefault="00AA2379" w:rsidP="00D33B16">
      <w:pPr>
        <w:numPr>
          <w:ilvl w:val="0"/>
          <w:numId w:val="3"/>
        </w:numPr>
        <w:spacing w:before="240"/>
        <w:jc w:val="both"/>
        <w:rPr>
          <w:rFonts w:ascii="Book Antiqua" w:hAnsi="Book Antiqua" w:cs="Arial"/>
        </w:rPr>
      </w:pPr>
      <w:r>
        <w:rPr>
          <w:rFonts w:ascii="Book Antiqua" w:hAnsi="Book Antiqua" w:cs="Arial"/>
        </w:rPr>
        <w:t xml:space="preserve">The Appellant’s claim in this matter was that he had been having difficulty obtaining information from his ex-wife, but that it was clear that she had been working for the </w:t>
      </w:r>
      <w:r w:rsidR="00020A7F">
        <w:rPr>
          <w:rFonts w:ascii="Book Antiqua" w:hAnsi="Book Antiqua" w:cs="Arial"/>
        </w:rPr>
        <w:t>same employer, namely, the F</w:t>
      </w:r>
      <w:r>
        <w:rPr>
          <w:rFonts w:ascii="Book Antiqua" w:hAnsi="Book Antiqua" w:cs="Arial"/>
        </w:rPr>
        <w:t xml:space="preserve">inancial </w:t>
      </w:r>
      <w:r w:rsidR="00020A7F">
        <w:rPr>
          <w:rFonts w:ascii="Book Antiqua" w:hAnsi="Book Antiqua" w:cs="Arial"/>
        </w:rPr>
        <w:t>O</w:t>
      </w:r>
      <w:r>
        <w:rPr>
          <w:rFonts w:ascii="Book Antiqua" w:hAnsi="Book Antiqua" w:cs="Arial"/>
        </w:rPr>
        <w:t xml:space="preserve">mbudsman </w:t>
      </w:r>
      <w:r w:rsidR="00020A7F">
        <w:rPr>
          <w:rFonts w:ascii="Book Antiqua" w:hAnsi="Book Antiqua" w:cs="Arial"/>
        </w:rPr>
        <w:t>S</w:t>
      </w:r>
      <w:r>
        <w:rPr>
          <w:rFonts w:ascii="Book Antiqua" w:hAnsi="Book Antiqua" w:cs="Arial"/>
        </w:rPr>
        <w:t>ervice, continuously for six years, and before Judge Deborah Clapham below, submissions were made that there is a guidance issued by the Home Office which gives information about what to do when an applicant is unable to provide evidence of the EEA Sponsor to support that application, such that the Home Office itself can make further enquiries, where every effort has been made by the Applicant himself to provide the necessary information.  The Appellant also claimed that he himself had been in employment since 7</w:t>
      </w:r>
      <w:r w:rsidRPr="00AA2379">
        <w:rPr>
          <w:rFonts w:ascii="Book Antiqua" w:hAnsi="Book Antiqua" w:cs="Arial"/>
          <w:vertAlign w:val="superscript"/>
        </w:rPr>
        <w:t>th</w:t>
      </w:r>
      <w:r>
        <w:rPr>
          <w:rFonts w:ascii="Book Antiqua" w:hAnsi="Book Antiqua" w:cs="Arial"/>
        </w:rPr>
        <w:t xml:space="preserve"> April 2010, and the judge’s attention was drawn to page 13 of the bundle </w:t>
      </w:r>
      <w:proofErr w:type="gramStart"/>
      <w:r>
        <w:rPr>
          <w:rFonts w:ascii="Book Antiqua" w:hAnsi="Book Antiqua" w:cs="Arial"/>
        </w:rPr>
        <w:t>and also</w:t>
      </w:r>
      <w:proofErr w:type="gramEnd"/>
      <w:r>
        <w:rPr>
          <w:rFonts w:ascii="Book Antiqua" w:hAnsi="Book Antiqua" w:cs="Arial"/>
        </w:rPr>
        <w:t xml:space="preserve"> page 59 which deals with the employment from 7</w:t>
      </w:r>
      <w:r w:rsidRPr="00AA2379">
        <w:rPr>
          <w:rFonts w:ascii="Book Antiqua" w:hAnsi="Book Antiqua" w:cs="Arial"/>
          <w:vertAlign w:val="superscript"/>
        </w:rPr>
        <w:t>th</w:t>
      </w:r>
      <w:r>
        <w:rPr>
          <w:rFonts w:ascii="Book Antiqua" w:hAnsi="Book Antiqua" w:cs="Arial"/>
        </w:rPr>
        <w:t xml:space="preserve"> April 2010 until 13</w:t>
      </w:r>
      <w:r w:rsidRPr="00AA2379">
        <w:rPr>
          <w:rFonts w:ascii="Book Antiqua" w:hAnsi="Book Antiqua" w:cs="Arial"/>
          <w:vertAlign w:val="superscript"/>
        </w:rPr>
        <w:t>th</w:t>
      </w:r>
      <w:r>
        <w:rPr>
          <w:rFonts w:ascii="Book Antiqua" w:hAnsi="Book Antiqua" w:cs="Arial"/>
        </w:rPr>
        <w:t xml:space="preserve"> March 2015.  Moreover, there was also a tax calculation provided at page 59, which shows that the Appellant had overpaid tax.  All in all, it was clear, it was submitted, that the Appellant had worked for the relevant </w:t>
      </w:r>
      <w:proofErr w:type="gramStart"/>
      <w:r>
        <w:rPr>
          <w:rFonts w:ascii="Book Antiqua" w:hAnsi="Book Antiqua" w:cs="Arial"/>
        </w:rPr>
        <w:t>five year</w:t>
      </w:r>
      <w:proofErr w:type="gramEnd"/>
      <w:r>
        <w:rPr>
          <w:rFonts w:ascii="Book Antiqua" w:hAnsi="Book Antiqua" w:cs="Arial"/>
        </w:rPr>
        <w:t xml:space="preserve"> period and accordingly was entitled to indefinite leave (see paragraph 17 and</w:t>
      </w:r>
      <w:r w:rsidR="00020A7F">
        <w:rPr>
          <w:rFonts w:ascii="Book Antiqua" w:hAnsi="Book Antiqua" w:cs="Arial"/>
        </w:rPr>
        <w:t xml:space="preserve"> paragraph</w:t>
      </w:r>
      <w:r>
        <w:rPr>
          <w:rFonts w:ascii="Book Antiqua" w:hAnsi="Book Antiqua" w:cs="Arial"/>
        </w:rPr>
        <w:t xml:space="preserve"> 15).  </w:t>
      </w:r>
    </w:p>
    <w:p w:rsidR="00AA2379" w:rsidRPr="00AA2379" w:rsidRDefault="00AA2379" w:rsidP="00AA2379">
      <w:pPr>
        <w:spacing w:before="240"/>
        <w:jc w:val="both"/>
        <w:rPr>
          <w:rFonts w:ascii="Book Antiqua" w:hAnsi="Book Antiqua" w:cs="Arial"/>
          <w:b/>
          <w:u w:val="single"/>
        </w:rPr>
      </w:pPr>
      <w:r w:rsidRPr="00AA2379">
        <w:rPr>
          <w:rFonts w:ascii="Book Antiqua" w:hAnsi="Book Antiqua" w:cs="Arial"/>
          <w:b/>
          <w:u w:val="single"/>
        </w:rPr>
        <w:t>The Judge’s Findings</w:t>
      </w:r>
    </w:p>
    <w:p w:rsidR="00A81917" w:rsidRDefault="00AA2379" w:rsidP="00A81917">
      <w:pPr>
        <w:numPr>
          <w:ilvl w:val="0"/>
          <w:numId w:val="3"/>
        </w:numPr>
        <w:spacing w:before="240"/>
        <w:jc w:val="both"/>
        <w:rPr>
          <w:rFonts w:ascii="Book Antiqua" w:hAnsi="Book Antiqua" w:cs="Arial"/>
        </w:rPr>
      </w:pPr>
      <w:r>
        <w:rPr>
          <w:rFonts w:ascii="Book Antiqua" w:hAnsi="Book Antiqua" w:cs="Arial"/>
        </w:rPr>
        <w:t xml:space="preserve">The judge recognised that the issue before the Tribunal was </w:t>
      </w:r>
      <w:r w:rsidR="00A81917">
        <w:rPr>
          <w:rFonts w:ascii="Book Antiqua" w:hAnsi="Book Antiqua" w:cs="Arial"/>
        </w:rPr>
        <w:t>whether the Appellant had a retained right of residence, and there was no dispute that the marriage between the Appellant and his ex-wife</w:t>
      </w:r>
      <w:r w:rsidR="00020A7F">
        <w:rPr>
          <w:rFonts w:ascii="Book Antiqua" w:hAnsi="Book Antiqua" w:cs="Arial"/>
        </w:rPr>
        <w:t>,</w:t>
      </w:r>
      <w:r w:rsidR="00A81917">
        <w:rPr>
          <w:rFonts w:ascii="Book Antiqua" w:hAnsi="Book Antiqua" w:cs="Arial"/>
        </w:rPr>
        <w:t xml:space="preserve"> the EU Sponsor</w:t>
      </w:r>
      <w:r w:rsidR="00020A7F">
        <w:rPr>
          <w:rFonts w:ascii="Book Antiqua" w:hAnsi="Book Antiqua" w:cs="Arial"/>
        </w:rPr>
        <w:t>,</w:t>
      </w:r>
      <w:r w:rsidR="00A81917">
        <w:rPr>
          <w:rFonts w:ascii="Book Antiqua" w:hAnsi="Book Antiqua" w:cs="Arial"/>
        </w:rPr>
        <w:t xml:space="preserve"> had subsisted for three years (paragraph 14).  The judge concluded, however, that she could not be satisfied that the wife’s employment had been made out, and the Home Office guidance was discretionary, and not mandatory.  </w:t>
      </w:r>
      <w:r w:rsidR="00FA0E35">
        <w:rPr>
          <w:rFonts w:ascii="Book Antiqua" w:hAnsi="Book Antiqua" w:cs="Arial"/>
        </w:rPr>
        <w:t xml:space="preserve">He </w:t>
      </w:r>
      <w:r w:rsidR="00A81917">
        <w:rPr>
          <w:rFonts w:ascii="Book Antiqua" w:hAnsi="Book Antiqua" w:cs="Arial"/>
        </w:rPr>
        <w:t xml:space="preserve">went on to record that, </w:t>
      </w:r>
    </w:p>
    <w:p w:rsidR="00A81917" w:rsidRDefault="00A81917" w:rsidP="00A81917">
      <w:pPr>
        <w:spacing w:before="240"/>
        <w:ind w:left="1134"/>
        <w:jc w:val="both"/>
        <w:rPr>
          <w:rFonts w:ascii="Book Antiqua" w:hAnsi="Book Antiqua" w:cs="Arial"/>
        </w:rPr>
      </w:pPr>
      <w:r>
        <w:rPr>
          <w:rFonts w:ascii="Book Antiqua" w:hAnsi="Book Antiqua" w:cs="Arial"/>
        </w:rPr>
        <w:t xml:space="preserve">“The Appellant has now produced an email trail between his ex-wife and his solicitors but as the Home Office representative pointed out to me this provides an explanation as to her reluctance to provide the documents, not the actual documents themselves or specific dates” (paragraph 19).  </w:t>
      </w:r>
    </w:p>
    <w:p w:rsidR="00A81917" w:rsidRDefault="00FA0E35" w:rsidP="00A81917">
      <w:pPr>
        <w:spacing w:before="240"/>
        <w:ind w:left="567"/>
        <w:jc w:val="both"/>
        <w:rPr>
          <w:rFonts w:ascii="Book Antiqua" w:hAnsi="Book Antiqua" w:cs="Arial"/>
        </w:rPr>
      </w:pPr>
      <w:proofErr w:type="gramStart"/>
      <w:r>
        <w:rPr>
          <w:rFonts w:ascii="Book Antiqua" w:hAnsi="Book Antiqua" w:cs="Arial"/>
        </w:rPr>
        <w:t xml:space="preserve">Moreover, </w:t>
      </w:r>
      <w:r w:rsidR="00A81917">
        <w:rPr>
          <w:rFonts w:ascii="Book Antiqua" w:hAnsi="Book Antiqua" w:cs="Arial"/>
        </w:rPr>
        <w:t xml:space="preserve"> </w:t>
      </w:r>
      <w:r>
        <w:rPr>
          <w:rFonts w:ascii="Book Antiqua" w:hAnsi="Book Antiqua" w:cs="Arial"/>
        </w:rPr>
        <w:t>it</w:t>
      </w:r>
      <w:proofErr w:type="gramEnd"/>
      <w:r>
        <w:rPr>
          <w:rFonts w:ascii="Book Antiqua" w:hAnsi="Book Antiqua" w:cs="Arial"/>
        </w:rPr>
        <w:t xml:space="preserve"> was </w:t>
      </w:r>
      <w:r w:rsidR="00A81917">
        <w:rPr>
          <w:rFonts w:ascii="Book Antiqua" w:hAnsi="Book Antiqua" w:cs="Arial"/>
        </w:rPr>
        <w:t xml:space="preserve">observed </w:t>
      </w:r>
      <w:r>
        <w:rPr>
          <w:rFonts w:ascii="Book Antiqua" w:hAnsi="Book Antiqua" w:cs="Arial"/>
        </w:rPr>
        <w:t xml:space="preserve">by the judge </w:t>
      </w:r>
      <w:r w:rsidR="00A81917">
        <w:rPr>
          <w:rFonts w:ascii="Book Antiqua" w:hAnsi="Book Antiqua" w:cs="Arial"/>
        </w:rPr>
        <w:t>that, “the letter from his ex-wife simply says that her employer for t</w:t>
      </w:r>
      <w:r w:rsidR="00020A7F">
        <w:rPr>
          <w:rFonts w:ascii="Book Antiqua" w:hAnsi="Book Antiqua" w:cs="Arial"/>
        </w:rPr>
        <w:t>he last six years has been the F</w:t>
      </w:r>
      <w:r w:rsidR="00A81917">
        <w:rPr>
          <w:rFonts w:ascii="Book Antiqua" w:hAnsi="Book Antiqua" w:cs="Arial"/>
        </w:rPr>
        <w:t xml:space="preserve">inancial </w:t>
      </w:r>
      <w:r w:rsidR="00020A7F">
        <w:rPr>
          <w:rFonts w:ascii="Book Antiqua" w:hAnsi="Book Antiqua" w:cs="Arial"/>
        </w:rPr>
        <w:t>Services O</w:t>
      </w:r>
      <w:r w:rsidR="00A81917">
        <w:rPr>
          <w:rFonts w:ascii="Book Antiqua" w:hAnsi="Book Antiqua" w:cs="Arial"/>
        </w:rPr>
        <w:t>mbudsman” (paragraph 19).  On this basis, the judge went on to conclude that, “as no evidence of his ex-wife’s employment has been provided</w:t>
      </w:r>
      <w:r>
        <w:rPr>
          <w:rFonts w:ascii="Book Antiqua" w:hAnsi="Book Antiqua" w:cs="Arial"/>
        </w:rPr>
        <w:t>” that he had no option but to dismiss the appeal</w:t>
      </w:r>
      <w:r w:rsidR="00A81917">
        <w:rPr>
          <w:rFonts w:ascii="Book Antiqua" w:hAnsi="Book Antiqua" w:cs="Arial"/>
        </w:rPr>
        <w:t xml:space="preserve"> (paragraph 19). </w:t>
      </w:r>
    </w:p>
    <w:p w:rsidR="00A81917" w:rsidRPr="00A81917" w:rsidRDefault="00A81917" w:rsidP="00A81917">
      <w:pPr>
        <w:spacing w:before="240"/>
        <w:jc w:val="both"/>
        <w:rPr>
          <w:rFonts w:ascii="Book Antiqua" w:hAnsi="Book Antiqua" w:cs="Arial"/>
          <w:b/>
          <w:u w:val="single"/>
        </w:rPr>
      </w:pPr>
      <w:r w:rsidRPr="00A81917">
        <w:rPr>
          <w:rFonts w:ascii="Book Antiqua" w:hAnsi="Book Antiqua" w:cs="Arial"/>
          <w:b/>
          <w:u w:val="single"/>
        </w:rPr>
        <w:t>The Hearing</w:t>
      </w:r>
    </w:p>
    <w:p w:rsidR="00FA0E35" w:rsidRDefault="00A81917" w:rsidP="00A81917">
      <w:pPr>
        <w:numPr>
          <w:ilvl w:val="0"/>
          <w:numId w:val="3"/>
        </w:numPr>
        <w:spacing w:before="240"/>
        <w:jc w:val="both"/>
        <w:rPr>
          <w:rFonts w:ascii="Book Antiqua" w:hAnsi="Book Antiqua" w:cs="Arial"/>
        </w:rPr>
      </w:pPr>
      <w:r>
        <w:rPr>
          <w:rFonts w:ascii="Book Antiqua" w:hAnsi="Book Antiqua" w:cs="Arial"/>
        </w:rPr>
        <w:t xml:space="preserve">At the hearing before me, Mr Jarvis, appearing on behalf of the Respondent Secretary of State conceded that the judge was wrong to have dismissed the appeal.  This was a case where the Appellant’s divorce occurred in May 2012.  Therefore, he had retained rights from that period on.  The </w:t>
      </w:r>
      <w:proofErr w:type="gramStart"/>
      <w:r>
        <w:rPr>
          <w:rFonts w:ascii="Book Antiqua" w:hAnsi="Book Antiqua" w:cs="Arial"/>
        </w:rPr>
        <w:t>five year</w:t>
      </w:r>
      <w:proofErr w:type="gramEnd"/>
      <w:r>
        <w:rPr>
          <w:rFonts w:ascii="Book Antiqua" w:hAnsi="Book Antiqua" w:cs="Arial"/>
        </w:rPr>
        <w:t xml:space="preserve"> period that one is concerned with has to relate to back to October 2012.  Mr Jarvis submitted that the last sentence of the judge’s determination (at paragraph 19) was wrong to have concluded that there was “no evidence of his ex-wife’s employment” because the letter of 15</w:t>
      </w:r>
      <w:r w:rsidRPr="00A81917">
        <w:rPr>
          <w:rFonts w:ascii="Book Antiqua" w:hAnsi="Book Antiqua" w:cs="Arial"/>
          <w:vertAlign w:val="superscript"/>
        </w:rPr>
        <w:t>th</w:t>
      </w:r>
      <w:r>
        <w:rPr>
          <w:rFonts w:ascii="Book Antiqua" w:hAnsi="Book Antiqua" w:cs="Arial"/>
        </w:rPr>
        <w:t xml:space="preserve"> October 2015 </w:t>
      </w:r>
      <w:r>
        <w:rPr>
          <w:rFonts w:ascii="Book Antiqua" w:hAnsi="Book Antiqua" w:cs="Arial"/>
        </w:rPr>
        <w:lastRenderedPageBreak/>
        <w:t>confirmed that the employment for the la</w:t>
      </w:r>
      <w:r w:rsidR="00020A7F">
        <w:rPr>
          <w:rFonts w:ascii="Book Antiqua" w:hAnsi="Book Antiqua" w:cs="Arial"/>
        </w:rPr>
        <w:t>st six years had been with the F</w:t>
      </w:r>
      <w:r>
        <w:rPr>
          <w:rFonts w:ascii="Book Antiqua" w:hAnsi="Book Antiqua" w:cs="Arial"/>
        </w:rPr>
        <w:t xml:space="preserve">inancial </w:t>
      </w:r>
      <w:r w:rsidR="00020A7F">
        <w:rPr>
          <w:rFonts w:ascii="Book Antiqua" w:hAnsi="Book Antiqua" w:cs="Arial"/>
        </w:rPr>
        <w:t>S</w:t>
      </w:r>
      <w:r>
        <w:rPr>
          <w:rFonts w:ascii="Book Antiqua" w:hAnsi="Book Antiqua" w:cs="Arial"/>
        </w:rPr>
        <w:t xml:space="preserve">ervices </w:t>
      </w:r>
      <w:r w:rsidR="00020A7F">
        <w:rPr>
          <w:rFonts w:ascii="Book Antiqua" w:hAnsi="Book Antiqua" w:cs="Arial"/>
        </w:rPr>
        <w:t>O</w:t>
      </w:r>
      <w:r>
        <w:rPr>
          <w:rFonts w:ascii="Book Antiqua" w:hAnsi="Book Antiqua" w:cs="Arial"/>
        </w:rPr>
        <w:t xml:space="preserve">mbudsman.  </w:t>
      </w:r>
    </w:p>
    <w:p w:rsidR="00A81917" w:rsidRDefault="00A81917" w:rsidP="00A81917">
      <w:pPr>
        <w:numPr>
          <w:ilvl w:val="0"/>
          <w:numId w:val="3"/>
        </w:numPr>
        <w:spacing w:before="240"/>
        <w:jc w:val="both"/>
        <w:rPr>
          <w:rFonts w:ascii="Book Antiqua" w:hAnsi="Book Antiqua" w:cs="Arial"/>
        </w:rPr>
      </w:pPr>
      <w:r>
        <w:rPr>
          <w:rFonts w:ascii="Book Antiqua" w:hAnsi="Book Antiqua" w:cs="Arial"/>
        </w:rPr>
        <w:t xml:space="preserve">Secondly, there has been an email exchange from the Appellant’s solicitors with his ex-wife and she had made it quite clear that she was not prepared to assist any further.  The judge, submitted Mr Jarvis, could not lawfully have </w:t>
      </w:r>
      <w:proofErr w:type="gramStart"/>
      <w:r>
        <w:rPr>
          <w:rFonts w:ascii="Book Antiqua" w:hAnsi="Book Antiqua" w:cs="Arial"/>
        </w:rPr>
        <w:t>come to the conclusion</w:t>
      </w:r>
      <w:proofErr w:type="gramEnd"/>
      <w:r>
        <w:rPr>
          <w:rFonts w:ascii="Book Antiqua" w:hAnsi="Book Antiqua" w:cs="Arial"/>
        </w:rPr>
        <w:t xml:space="preserve"> that there was no evidence, because there was, and the </w:t>
      </w:r>
      <w:r w:rsidR="00771D65">
        <w:rPr>
          <w:rFonts w:ascii="Book Antiqua" w:hAnsi="Book Antiqua" w:cs="Arial"/>
        </w:rPr>
        <w:t xml:space="preserve">only question </w:t>
      </w:r>
      <w:r w:rsidR="00020A7F">
        <w:rPr>
          <w:rFonts w:ascii="Book Antiqua" w:hAnsi="Book Antiqua" w:cs="Arial"/>
        </w:rPr>
        <w:t xml:space="preserve">was </w:t>
      </w:r>
      <w:r w:rsidR="00771D65">
        <w:rPr>
          <w:rFonts w:ascii="Book Antiqua" w:hAnsi="Book Antiqua" w:cs="Arial"/>
        </w:rPr>
        <w:t xml:space="preserve">whether it was reliable.  </w:t>
      </w:r>
    </w:p>
    <w:p w:rsidR="00FA0E35" w:rsidRDefault="00771D65" w:rsidP="00A81917">
      <w:pPr>
        <w:numPr>
          <w:ilvl w:val="0"/>
          <w:numId w:val="3"/>
        </w:numPr>
        <w:spacing w:before="240"/>
        <w:jc w:val="both"/>
        <w:rPr>
          <w:rFonts w:ascii="Book Antiqua" w:hAnsi="Book Antiqua" w:cs="Arial"/>
        </w:rPr>
      </w:pPr>
      <w:r>
        <w:rPr>
          <w:rFonts w:ascii="Book Antiqua" w:hAnsi="Book Antiqua" w:cs="Arial"/>
        </w:rPr>
        <w:t xml:space="preserve">For his part, Mr O’Brian handed up the decisions in </w:t>
      </w:r>
      <w:bookmarkStart w:id="0" w:name="_Hlk513554414"/>
      <w:r w:rsidRPr="00771D65">
        <w:rPr>
          <w:rFonts w:ascii="Book Antiqua" w:hAnsi="Book Antiqua" w:cs="Arial"/>
          <w:b/>
          <w:u w:val="single"/>
        </w:rPr>
        <w:t>Samson</w:t>
      </w:r>
      <w:r w:rsidRPr="00771D65">
        <w:rPr>
          <w:rFonts w:ascii="Book Antiqua" w:hAnsi="Book Antiqua" w:cs="Arial"/>
          <w:b/>
        </w:rPr>
        <w:t xml:space="preserve"> [2011] UKUT 165 </w:t>
      </w:r>
      <w:bookmarkEnd w:id="0"/>
      <w:r>
        <w:rPr>
          <w:rFonts w:ascii="Book Antiqua" w:hAnsi="Book Antiqua" w:cs="Arial"/>
        </w:rPr>
        <w:t xml:space="preserve">and in </w:t>
      </w:r>
      <w:r w:rsidRPr="00771D65">
        <w:rPr>
          <w:rFonts w:ascii="Book Antiqua" w:hAnsi="Book Antiqua" w:cs="Arial"/>
          <w:b/>
          <w:u w:val="single"/>
        </w:rPr>
        <w:t>Amos</w:t>
      </w:r>
      <w:r w:rsidRPr="00771D65">
        <w:rPr>
          <w:rFonts w:ascii="Book Antiqua" w:hAnsi="Book Antiqua" w:cs="Arial"/>
          <w:b/>
        </w:rPr>
        <w:t xml:space="preserve"> [2011] EWCA </w:t>
      </w:r>
      <w:proofErr w:type="spellStart"/>
      <w:r w:rsidRPr="00771D65">
        <w:rPr>
          <w:rFonts w:ascii="Book Antiqua" w:hAnsi="Book Antiqua" w:cs="Arial"/>
          <w:b/>
        </w:rPr>
        <w:t>Civ</w:t>
      </w:r>
      <w:proofErr w:type="spellEnd"/>
      <w:r w:rsidRPr="00771D65">
        <w:rPr>
          <w:rFonts w:ascii="Book Antiqua" w:hAnsi="Book Antiqua" w:cs="Arial"/>
          <w:b/>
        </w:rPr>
        <w:t xml:space="preserve"> 552</w:t>
      </w:r>
      <w:r>
        <w:rPr>
          <w:rFonts w:ascii="Book Antiqua" w:hAnsi="Book Antiqua" w:cs="Arial"/>
        </w:rPr>
        <w:t xml:space="preserve"> and made the following submissions.  First, as far as the case of </w:t>
      </w:r>
      <w:r w:rsidRPr="00771D65">
        <w:rPr>
          <w:rFonts w:ascii="Book Antiqua" w:hAnsi="Book Antiqua" w:cs="Arial"/>
          <w:b/>
          <w:u w:val="single"/>
        </w:rPr>
        <w:t>Amos</w:t>
      </w:r>
      <w:r>
        <w:rPr>
          <w:rFonts w:ascii="Book Antiqua" w:hAnsi="Book Antiqua" w:cs="Arial"/>
        </w:rPr>
        <w:t xml:space="preserve"> was concerned, this established that the Secretary of State was not required to assist an applicant with his or her case.  This is because “the procedure in appearance before the Tribunal are essentially adversarial” (paragraph 34).  The proposition </w:t>
      </w:r>
      <w:r w:rsidR="00020A7F">
        <w:rPr>
          <w:rFonts w:ascii="Book Antiqua" w:hAnsi="Book Antiqua" w:cs="Arial"/>
        </w:rPr>
        <w:t xml:space="preserve">that </w:t>
      </w:r>
      <w:r>
        <w:rPr>
          <w:rFonts w:ascii="Book Antiqua" w:hAnsi="Book Antiqua" w:cs="Arial"/>
        </w:rPr>
        <w:t xml:space="preserve">“it was for the Home Secretary to produce the documentation available to Her Majesties Revenue &amp; Customs and the Department for Work and Pensions” (paragraph 41) was rejected in </w:t>
      </w:r>
      <w:r w:rsidRPr="00771D65">
        <w:rPr>
          <w:rFonts w:ascii="Book Antiqua" w:hAnsi="Book Antiqua" w:cs="Arial"/>
          <w:b/>
          <w:u w:val="single"/>
        </w:rPr>
        <w:t>Amos</w:t>
      </w:r>
      <w:r>
        <w:rPr>
          <w:rFonts w:ascii="Book Antiqua" w:hAnsi="Book Antiqua" w:cs="Arial"/>
        </w:rPr>
        <w:t xml:space="preserve">.  </w:t>
      </w:r>
    </w:p>
    <w:p w:rsidR="00020A7F" w:rsidRDefault="00771D65" w:rsidP="00A81917">
      <w:pPr>
        <w:numPr>
          <w:ilvl w:val="0"/>
          <w:numId w:val="3"/>
        </w:numPr>
        <w:spacing w:before="240"/>
        <w:jc w:val="both"/>
        <w:rPr>
          <w:rFonts w:ascii="Book Antiqua" w:hAnsi="Book Antiqua" w:cs="Arial"/>
        </w:rPr>
      </w:pPr>
      <w:r>
        <w:rPr>
          <w:rFonts w:ascii="Book Antiqua" w:hAnsi="Book Antiqua" w:cs="Arial"/>
        </w:rPr>
        <w:t xml:space="preserve">Second, however, </w:t>
      </w:r>
      <w:r w:rsidRPr="00771D65">
        <w:rPr>
          <w:rFonts w:ascii="Book Antiqua" w:hAnsi="Book Antiqua" w:cs="Arial"/>
          <w:b/>
          <w:u w:val="single"/>
        </w:rPr>
        <w:t>Samson</w:t>
      </w:r>
      <w:r w:rsidRPr="00771D65">
        <w:rPr>
          <w:rFonts w:ascii="Book Antiqua" w:hAnsi="Book Antiqua" w:cs="Arial"/>
          <w:b/>
        </w:rPr>
        <w:t xml:space="preserve"> [2011] UKUT 165</w:t>
      </w:r>
      <w:r>
        <w:rPr>
          <w:rFonts w:ascii="Book Antiqua" w:hAnsi="Book Antiqua" w:cs="Arial"/>
        </w:rPr>
        <w:t>, on the other hand</w:t>
      </w:r>
      <w:r w:rsidR="00020A7F">
        <w:rPr>
          <w:rFonts w:ascii="Book Antiqua" w:hAnsi="Book Antiqua" w:cs="Arial"/>
        </w:rPr>
        <w:t>,</w:t>
      </w:r>
      <w:r>
        <w:rPr>
          <w:rFonts w:ascii="Book Antiqua" w:hAnsi="Book Antiqua" w:cs="Arial"/>
        </w:rPr>
        <w:t xml:space="preserve"> established the contrary.  Mr O’Brian submitted that one could not escape the fact in this matter that the Home Office was not telling us what the status of the Appellant’s ex-wife was.  This was addressed in </w:t>
      </w:r>
      <w:r w:rsidRPr="00771D65">
        <w:rPr>
          <w:rFonts w:ascii="Book Antiqua" w:hAnsi="Book Antiqua" w:cs="Arial"/>
          <w:b/>
          <w:u w:val="single"/>
        </w:rPr>
        <w:t>Samson</w:t>
      </w:r>
      <w:r>
        <w:rPr>
          <w:rFonts w:ascii="Book Antiqua" w:hAnsi="Book Antiqua" w:cs="Arial"/>
        </w:rPr>
        <w:t>.  T</w:t>
      </w:r>
      <w:r w:rsidR="003F0596">
        <w:rPr>
          <w:rFonts w:ascii="Book Antiqua" w:hAnsi="Book Antiqua" w:cs="Arial"/>
        </w:rPr>
        <w:t>h</w:t>
      </w:r>
      <w:r w:rsidR="00020A7F">
        <w:rPr>
          <w:rFonts w:ascii="Book Antiqua" w:hAnsi="Book Antiqua" w:cs="Arial"/>
        </w:rPr>
        <w:t>eir</w:t>
      </w:r>
      <w:r>
        <w:rPr>
          <w:rFonts w:ascii="Book Antiqua" w:hAnsi="Book Antiqua" w:cs="Arial"/>
        </w:rPr>
        <w:t xml:space="preserve"> attention was drawn to the</w:t>
      </w:r>
      <w:r w:rsidR="00020A7F">
        <w:rPr>
          <w:rFonts w:ascii="Book Antiqua" w:hAnsi="Book Antiqua" w:cs="Arial"/>
        </w:rPr>
        <w:t>:</w:t>
      </w:r>
      <w:r>
        <w:rPr>
          <w:rFonts w:ascii="Book Antiqua" w:hAnsi="Book Antiqua" w:cs="Arial"/>
        </w:rPr>
        <w:t xml:space="preserve"> </w:t>
      </w:r>
    </w:p>
    <w:p w:rsidR="00020A7F" w:rsidRDefault="00771D65" w:rsidP="00020A7F">
      <w:pPr>
        <w:spacing w:before="240"/>
        <w:ind w:left="1134"/>
        <w:jc w:val="both"/>
        <w:rPr>
          <w:rFonts w:ascii="Book Antiqua" w:hAnsi="Book Antiqua" w:cs="Arial"/>
        </w:rPr>
      </w:pPr>
      <w:r>
        <w:rPr>
          <w:rFonts w:ascii="Book Antiqua" w:hAnsi="Book Antiqua" w:cs="Arial"/>
        </w:rPr>
        <w:t>“</w:t>
      </w:r>
      <w:r w:rsidR="00020A7F">
        <w:rPr>
          <w:rFonts w:ascii="Book Antiqua" w:hAnsi="Book Antiqua" w:cs="Arial"/>
        </w:rPr>
        <w:t>T</w:t>
      </w:r>
      <w:r>
        <w:rPr>
          <w:rFonts w:ascii="Book Antiqua" w:hAnsi="Book Antiqua" w:cs="Arial"/>
        </w:rPr>
        <w:t xml:space="preserve">he different question of the evidential value of the possession of a residence permit when a person seeks to renew it or obtain permanent residence on the strength of it.  </w:t>
      </w:r>
      <w:proofErr w:type="gramStart"/>
      <w:r>
        <w:rPr>
          <w:rFonts w:ascii="Book Antiqua" w:hAnsi="Book Antiqua" w:cs="Arial"/>
        </w:rPr>
        <w:t>It is plain that if</w:t>
      </w:r>
      <w:proofErr w:type="gramEnd"/>
      <w:r>
        <w:rPr>
          <w:rFonts w:ascii="Book Antiqua" w:hAnsi="Book Antiqua" w:cs="Arial"/>
        </w:rPr>
        <w:t xml:space="preserve"> the facts revealed that a person was not exercising treaty rights then the existence of a residence card cannot assist.  It is not conclusive proof.  It may, however, be some evidence of past lawful status if there is some evidence to support the exercise of treaty rights, nothing</w:t>
      </w:r>
      <w:r w:rsidR="00FA0E35">
        <w:rPr>
          <w:rFonts w:ascii="Book Antiqua" w:hAnsi="Book Antiqua" w:cs="Arial"/>
        </w:rPr>
        <w:t xml:space="preserve"> to contradict </w:t>
      </w:r>
      <w:r>
        <w:rPr>
          <w:rFonts w:ascii="Book Antiqua" w:hAnsi="Book Antiqua" w:cs="Arial"/>
        </w:rPr>
        <w:t>historic position can longer be established with precision</w:t>
      </w:r>
      <w:r w:rsidR="00020A7F">
        <w:rPr>
          <w:rFonts w:ascii="Book Antiqua" w:hAnsi="Book Antiqua" w:cs="Arial"/>
        </w:rPr>
        <w:t>”</w:t>
      </w:r>
      <w:r>
        <w:rPr>
          <w:rFonts w:ascii="Book Antiqua" w:hAnsi="Book Antiqua" w:cs="Arial"/>
        </w:rPr>
        <w:t xml:space="preserve"> (paragraph 29).  </w:t>
      </w:r>
    </w:p>
    <w:p w:rsidR="00456E1E" w:rsidRDefault="00771D65" w:rsidP="00456E1E">
      <w:pPr>
        <w:spacing w:before="240"/>
        <w:ind w:left="567"/>
        <w:jc w:val="both"/>
        <w:rPr>
          <w:rFonts w:ascii="Book Antiqua" w:hAnsi="Book Antiqua" w:cs="Arial"/>
        </w:rPr>
      </w:pPr>
      <w:r>
        <w:rPr>
          <w:rFonts w:ascii="Book Antiqua" w:hAnsi="Book Antiqua" w:cs="Arial"/>
        </w:rPr>
        <w:t xml:space="preserve">In relation to the Appellant’s ex-wife, Mr O’Brian submitted that there was relevance in the suggestion that, </w:t>
      </w:r>
    </w:p>
    <w:p w:rsidR="00771D65" w:rsidRDefault="00771D65" w:rsidP="00456E1E">
      <w:pPr>
        <w:spacing w:before="240"/>
        <w:ind w:left="1134"/>
        <w:jc w:val="both"/>
        <w:rPr>
          <w:rFonts w:ascii="Book Antiqua" w:hAnsi="Book Antiqua" w:cs="Arial"/>
        </w:rPr>
      </w:pPr>
      <w:r>
        <w:rPr>
          <w:rFonts w:ascii="Book Antiqua" w:hAnsi="Book Antiqua" w:cs="Arial"/>
        </w:rPr>
        <w:t>“</w:t>
      </w:r>
      <w:r w:rsidR="00456E1E">
        <w:rPr>
          <w:rFonts w:ascii="Book Antiqua" w:hAnsi="Book Antiqua" w:cs="Arial"/>
        </w:rPr>
        <w:t>R</w:t>
      </w:r>
      <w:r>
        <w:rPr>
          <w:rFonts w:ascii="Book Antiqua" w:hAnsi="Book Antiqua" w:cs="Arial"/>
        </w:rPr>
        <w:t>etaining the status of worker is not the same thing as actually working and there is no requirement on a person claiming a reta</w:t>
      </w:r>
      <w:r w:rsidR="00456E1E">
        <w:rPr>
          <w:rFonts w:ascii="Book Antiqua" w:hAnsi="Book Antiqua" w:cs="Arial"/>
        </w:rPr>
        <w:t>ined right</w:t>
      </w:r>
      <w:r>
        <w:rPr>
          <w:rFonts w:ascii="Book Antiqua" w:hAnsi="Book Antiqua" w:cs="Arial"/>
        </w:rPr>
        <w:t xml:space="preserve"> of residence which respectively supply wage slips and related documentation throughout the marriage.  If the Home Office have reason to believe that the wife </w:t>
      </w:r>
      <w:r w:rsidR="00456E1E">
        <w:rPr>
          <w:rFonts w:ascii="Book Antiqua" w:hAnsi="Book Antiqua" w:cs="Arial"/>
        </w:rPr>
        <w:t>has been voluntarily unemployed</w:t>
      </w:r>
      <w:r>
        <w:rPr>
          <w:rFonts w:ascii="Book Antiqua" w:hAnsi="Book Antiqua" w:cs="Arial"/>
        </w:rPr>
        <w:t xml:space="preserve"> and not exercising other treaty right of residence in the United Kingdom and this was relevant to the grant of a residence card, then it can raise the issue from its own enquiries.  There was no reason h</w:t>
      </w:r>
      <w:r w:rsidR="00456E1E">
        <w:rPr>
          <w:rFonts w:ascii="Book Antiqua" w:hAnsi="Book Antiqua" w:cs="Arial"/>
        </w:rPr>
        <w:t>ere to believe that the wife</w:t>
      </w:r>
      <w:r w:rsidR="00FA0E35">
        <w:rPr>
          <w:rFonts w:ascii="Book Antiqua" w:hAnsi="Book Antiqua" w:cs="Arial"/>
        </w:rPr>
        <w:t xml:space="preserve"> was not </w:t>
      </w:r>
      <w:r>
        <w:rPr>
          <w:rFonts w:ascii="Book Antiqua" w:hAnsi="Book Antiqua" w:cs="Arial"/>
        </w:rPr>
        <w:t xml:space="preserve">exercising treaty rights during the currency of the Appellant’s residence card …” (paragraph 45).  </w:t>
      </w:r>
    </w:p>
    <w:p w:rsidR="00771D65" w:rsidRDefault="00771D65" w:rsidP="00771D65">
      <w:pPr>
        <w:spacing w:before="240"/>
        <w:jc w:val="both"/>
        <w:rPr>
          <w:rFonts w:ascii="Book Antiqua" w:hAnsi="Book Antiqua" w:cs="Arial"/>
          <w:b/>
          <w:u w:val="single"/>
        </w:rPr>
      </w:pPr>
      <w:r w:rsidRPr="00771D65">
        <w:rPr>
          <w:rFonts w:ascii="Book Antiqua" w:hAnsi="Book Antiqua" w:cs="Arial"/>
          <w:b/>
          <w:u w:val="single"/>
        </w:rPr>
        <w:t>Error of Law</w:t>
      </w:r>
    </w:p>
    <w:p w:rsidR="00240FEC" w:rsidRDefault="00771D65" w:rsidP="00A81917">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(see Section 12(1) of TCEA 2007) such that I should set aside the decision and remake the decision.  </w:t>
      </w:r>
    </w:p>
    <w:p w:rsidR="00240FEC" w:rsidRDefault="00771D65" w:rsidP="00A81917">
      <w:pPr>
        <w:numPr>
          <w:ilvl w:val="0"/>
          <w:numId w:val="3"/>
        </w:numPr>
        <w:spacing w:before="240"/>
        <w:jc w:val="both"/>
        <w:rPr>
          <w:rFonts w:ascii="Book Antiqua" w:hAnsi="Book Antiqua" w:cs="Arial"/>
        </w:rPr>
      </w:pPr>
      <w:r>
        <w:rPr>
          <w:rFonts w:ascii="Book Antiqua" w:hAnsi="Book Antiqua" w:cs="Arial"/>
        </w:rPr>
        <w:lastRenderedPageBreak/>
        <w:t>My reasons are that there was a letter dated 15</w:t>
      </w:r>
      <w:r w:rsidRPr="00771D65">
        <w:rPr>
          <w:rFonts w:ascii="Book Antiqua" w:hAnsi="Book Antiqua" w:cs="Arial"/>
          <w:vertAlign w:val="superscript"/>
        </w:rPr>
        <w:t>th</w:t>
      </w:r>
      <w:r>
        <w:rPr>
          <w:rFonts w:ascii="Book Antiqua" w:hAnsi="Book Antiqua" w:cs="Arial"/>
        </w:rPr>
        <w:t xml:space="preserve"> October 2015 between the Appellant’s ex-wife and his current solicitors confirming her employment.  The judge </w:t>
      </w:r>
      <w:proofErr w:type="gramStart"/>
      <w:r>
        <w:rPr>
          <w:rFonts w:ascii="Book Antiqua" w:hAnsi="Book Antiqua" w:cs="Arial"/>
        </w:rPr>
        <w:t>actually referred</w:t>
      </w:r>
      <w:proofErr w:type="gramEnd"/>
      <w:r>
        <w:rPr>
          <w:rFonts w:ascii="Book Antiqua" w:hAnsi="Book Antiqua" w:cs="Arial"/>
        </w:rPr>
        <w:t xml:space="preserve"> to the fact that the Appellant’s ex-wife had stated that “her employer f</w:t>
      </w:r>
      <w:r w:rsidR="00020A7F">
        <w:rPr>
          <w:rFonts w:ascii="Book Antiqua" w:hAnsi="Book Antiqua" w:cs="Arial"/>
        </w:rPr>
        <w:t>or the last six years has been Financial Se</w:t>
      </w:r>
      <w:r>
        <w:rPr>
          <w:rFonts w:ascii="Book Antiqua" w:hAnsi="Book Antiqua" w:cs="Arial"/>
        </w:rPr>
        <w:t xml:space="preserve">rvices </w:t>
      </w:r>
      <w:r w:rsidR="00020A7F">
        <w:rPr>
          <w:rFonts w:ascii="Book Antiqua" w:hAnsi="Book Antiqua" w:cs="Arial"/>
        </w:rPr>
        <w:t>O</w:t>
      </w:r>
      <w:r>
        <w:rPr>
          <w:rFonts w:ascii="Book Antiqua" w:hAnsi="Book Antiqua" w:cs="Arial"/>
        </w:rPr>
        <w:t xml:space="preserve">mbudsman” (paragraph 19).  </w:t>
      </w:r>
    </w:p>
    <w:p w:rsidR="00240FEC" w:rsidRDefault="003F0596" w:rsidP="00A81917">
      <w:pPr>
        <w:numPr>
          <w:ilvl w:val="0"/>
          <w:numId w:val="3"/>
        </w:numPr>
        <w:spacing w:before="240"/>
        <w:jc w:val="both"/>
        <w:rPr>
          <w:rFonts w:ascii="Book Antiqua" w:hAnsi="Book Antiqua" w:cs="Arial"/>
        </w:rPr>
      </w:pPr>
      <w:r>
        <w:rPr>
          <w:rFonts w:ascii="Book Antiqua" w:hAnsi="Book Antiqua" w:cs="Arial"/>
        </w:rPr>
        <w:t xml:space="preserve">There is no reason, and no explanation given, as to why the Appellant’s ex-wife’s status should be any different in terms of her working here in accordance with the EEA Regulations.  </w:t>
      </w:r>
    </w:p>
    <w:p w:rsidR="00771D65" w:rsidRDefault="003F0596" w:rsidP="00A81917">
      <w:pPr>
        <w:numPr>
          <w:ilvl w:val="0"/>
          <w:numId w:val="3"/>
        </w:numPr>
        <w:spacing w:before="240"/>
        <w:jc w:val="both"/>
        <w:rPr>
          <w:rFonts w:ascii="Book Antiqua" w:hAnsi="Book Antiqua" w:cs="Arial"/>
        </w:rPr>
      </w:pPr>
      <w:r>
        <w:rPr>
          <w:rFonts w:ascii="Book Antiqua" w:hAnsi="Book Antiqua" w:cs="Arial"/>
        </w:rPr>
        <w:t xml:space="preserve">The Appellant himself has been working for the relevant </w:t>
      </w:r>
      <w:proofErr w:type="gramStart"/>
      <w:r>
        <w:rPr>
          <w:rFonts w:ascii="Book Antiqua" w:hAnsi="Book Antiqua" w:cs="Arial"/>
        </w:rPr>
        <w:t>five year</w:t>
      </w:r>
      <w:proofErr w:type="gramEnd"/>
      <w:r>
        <w:rPr>
          <w:rFonts w:ascii="Book Antiqua" w:hAnsi="Book Antiqua" w:cs="Arial"/>
        </w:rPr>
        <w:t xml:space="preserve"> period back to October 2012.  In the circumstances, the judge erred in stating that there was “no evidence of his ex-wife’s employment” (paragraph 19).  </w:t>
      </w:r>
    </w:p>
    <w:p w:rsidR="003F0596" w:rsidRPr="003F0596" w:rsidRDefault="003F0596" w:rsidP="003F0596">
      <w:pPr>
        <w:spacing w:before="240"/>
        <w:jc w:val="both"/>
        <w:rPr>
          <w:rFonts w:ascii="Book Antiqua" w:hAnsi="Book Antiqua" w:cs="Arial"/>
          <w:b/>
          <w:u w:val="single"/>
        </w:rPr>
      </w:pPr>
      <w:r>
        <w:rPr>
          <w:rFonts w:ascii="Book Antiqua" w:hAnsi="Book Antiqua" w:cs="Arial"/>
          <w:b/>
          <w:u w:val="single"/>
        </w:rPr>
        <w:t>Rem</w:t>
      </w:r>
      <w:r w:rsidRPr="003F0596">
        <w:rPr>
          <w:rFonts w:ascii="Book Antiqua" w:hAnsi="Book Antiqua" w:cs="Arial"/>
          <w:b/>
          <w:u w:val="single"/>
        </w:rPr>
        <w:t>aking the Decision</w:t>
      </w:r>
    </w:p>
    <w:p w:rsidR="003F0596" w:rsidRPr="00A81917" w:rsidRDefault="003F0596" w:rsidP="00A81917">
      <w:pPr>
        <w:numPr>
          <w:ilvl w:val="0"/>
          <w:numId w:val="3"/>
        </w:numPr>
        <w:spacing w:before="240"/>
        <w:jc w:val="both"/>
        <w:rPr>
          <w:rFonts w:ascii="Book Antiqua" w:hAnsi="Book Antiqua" w:cs="Arial"/>
        </w:rPr>
      </w:pPr>
      <w:r>
        <w:rPr>
          <w:rFonts w:ascii="Book Antiqua" w:hAnsi="Book Antiqua" w:cs="Arial"/>
        </w:rPr>
        <w:t xml:space="preserve">I have remade the decision </w:t>
      </w:r>
      <w:proofErr w:type="gramStart"/>
      <w:r>
        <w:rPr>
          <w:rFonts w:ascii="Book Antiqua" w:hAnsi="Book Antiqua" w:cs="Arial"/>
        </w:rPr>
        <w:t>on the basis of</w:t>
      </w:r>
      <w:proofErr w:type="gramEnd"/>
      <w:r>
        <w:rPr>
          <w:rFonts w:ascii="Book Antiqua" w:hAnsi="Book Antiqua" w:cs="Arial"/>
        </w:rPr>
        <w:t xml:space="preserve"> the evidence before the original judge, the findings made by her, and the submissions that I have heard today.  I am allowing this appeal </w:t>
      </w:r>
      <w:proofErr w:type="gramStart"/>
      <w:r>
        <w:rPr>
          <w:rFonts w:ascii="Book Antiqua" w:hAnsi="Book Antiqua" w:cs="Arial"/>
        </w:rPr>
        <w:t>for the reasons that</w:t>
      </w:r>
      <w:proofErr w:type="gramEnd"/>
      <w:r>
        <w:rPr>
          <w:rFonts w:ascii="Book Antiqua" w:hAnsi="Book Antiqua" w:cs="Arial"/>
        </w:rPr>
        <w:t xml:space="preserve"> I have set out above.  </w:t>
      </w:r>
    </w:p>
    <w:p w:rsidR="000B68E5" w:rsidRDefault="000B68E5" w:rsidP="000B68E5">
      <w:pPr>
        <w:jc w:val="both"/>
        <w:rPr>
          <w:rFonts w:ascii="Book Antiqua" w:hAnsi="Book Antiqua" w:cs="Arial"/>
          <w:b/>
          <w:u w:val="single"/>
        </w:rPr>
      </w:pP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 xml:space="preserve">The </w:t>
      </w:r>
      <w:r w:rsidR="003F0596">
        <w:rPr>
          <w:rFonts w:ascii="Book Antiqua" w:hAnsi="Book Antiqua" w:cs="Arial"/>
        </w:rPr>
        <w:t>decision of the First-tier Tribunal involved the making of an error of law such that it falls to be set aside.  I set aside the decision of the original judge.  I remake the decision as follows.  This appeal is allowed.</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rPr>
        <w:t>No anonymity direction is made.</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240FEC">
        <w:rPr>
          <w:rFonts w:ascii="Book Antiqua" w:hAnsi="Book Antiqua" w:cs="Arial"/>
        </w:rPr>
        <w:tab/>
      </w:r>
      <w:r w:rsidR="00240FEC">
        <w:rPr>
          <w:rFonts w:ascii="Book Antiqua" w:hAnsi="Book Antiqua" w:cs="Arial"/>
        </w:rPr>
        <w:tab/>
      </w:r>
      <w:r w:rsidR="00240FEC">
        <w:rPr>
          <w:rFonts w:ascii="Book Antiqua" w:hAnsi="Book Antiqua" w:cs="Arial"/>
        </w:rPr>
        <w:tab/>
      </w:r>
      <w:r w:rsidR="00240FEC">
        <w:rPr>
          <w:rFonts w:ascii="Book Antiqua" w:hAnsi="Book Antiqua" w:cs="Arial"/>
        </w:rPr>
        <w:tab/>
        <w:t>14</w:t>
      </w:r>
      <w:r w:rsidR="00240FEC" w:rsidRPr="00240FEC">
        <w:rPr>
          <w:rFonts w:ascii="Book Antiqua" w:hAnsi="Book Antiqua" w:cs="Arial"/>
          <w:vertAlign w:val="superscript"/>
        </w:rPr>
        <w:t>th</w:t>
      </w:r>
      <w:r w:rsidR="00240FEC">
        <w:rPr>
          <w:rFonts w:ascii="Book Antiqua" w:hAnsi="Book Antiqua" w:cs="Arial"/>
        </w:rPr>
        <w:t xml:space="preserve"> May 2018</w:t>
      </w:r>
    </w:p>
    <w:p w:rsidR="0076013D" w:rsidRDefault="0076013D" w:rsidP="000369F5">
      <w:pPr>
        <w:tabs>
          <w:tab w:val="left" w:pos="2520"/>
        </w:tabs>
        <w:jc w:val="both"/>
        <w:rPr>
          <w:rFonts w:ascii="Book Antiqua" w:hAnsi="Book Antiqua" w:cs="Arial"/>
        </w:rPr>
      </w:pPr>
    </w:p>
    <w:p w:rsidR="0076013D" w:rsidRDefault="0076013D" w:rsidP="000369F5">
      <w:pPr>
        <w:tabs>
          <w:tab w:val="left" w:pos="2520"/>
        </w:tabs>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bookmarkStart w:id="1" w:name="_GoBack"/>
      <w:bookmarkEnd w:id="1"/>
    </w:p>
    <w:sectPr w:rsidR="005B7789" w:rsidRPr="00F5664C" w:rsidSect="007F16C4">
      <w:headerReference w:type="default" r:id="rId8"/>
      <w:footerReference w:type="default" r:id="rId9"/>
      <w:headerReference w:type="first" r:id="rId10"/>
      <w:footerReference w:type="first" r:id="rId11"/>
      <w:pgSz w:w="11906" w:h="16838"/>
      <w:pgMar w:top="568"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2825" w:rsidRDefault="00C82825">
      <w:r>
        <w:separator/>
      </w:r>
    </w:p>
  </w:endnote>
  <w:endnote w:type="continuationSeparator" w:id="0">
    <w:p w:rsidR="00C82825" w:rsidRDefault="00C8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E35" w:rsidRPr="009549C3" w:rsidRDefault="00FA0E35" w:rsidP="00593795">
    <w:pPr>
      <w:pStyle w:val="Footer"/>
      <w:jc w:val="center"/>
      <w:rPr>
        <w:rFonts w:ascii="Book Antiqua" w:hAnsi="Book Antiqua" w:cs="Arial"/>
      </w:rPr>
    </w:pPr>
    <w:r w:rsidRPr="009549C3">
      <w:rPr>
        <w:rStyle w:val="PageNumber"/>
        <w:rFonts w:ascii="Book Antiqua" w:hAnsi="Book Antiqua" w:cs="Arial"/>
      </w:rPr>
      <w:fldChar w:fldCharType="begin"/>
    </w:r>
    <w:r w:rsidRPr="009549C3">
      <w:rPr>
        <w:rStyle w:val="PageNumber"/>
        <w:rFonts w:ascii="Book Antiqua" w:hAnsi="Book Antiqua" w:cs="Arial"/>
      </w:rPr>
      <w:instrText xml:space="preserve"> PAGE </w:instrText>
    </w:r>
    <w:r w:rsidRPr="009549C3">
      <w:rPr>
        <w:rStyle w:val="PageNumber"/>
        <w:rFonts w:ascii="Book Antiqua" w:hAnsi="Book Antiqua" w:cs="Arial"/>
      </w:rPr>
      <w:fldChar w:fldCharType="separate"/>
    </w:r>
    <w:r w:rsidR="00F46F1A">
      <w:rPr>
        <w:rStyle w:val="PageNumber"/>
        <w:rFonts w:ascii="Book Antiqua" w:hAnsi="Book Antiqua" w:cs="Arial"/>
        <w:noProof/>
      </w:rPr>
      <w:t>4</w:t>
    </w:r>
    <w:r w:rsidRPr="009549C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E35" w:rsidRPr="00F5664C" w:rsidRDefault="00FA0E35"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2825" w:rsidRDefault="00C82825">
      <w:r>
        <w:separator/>
      </w:r>
    </w:p>
  </w:footnote>
  <w:footnote w:type="continuationSeparator" w:id="0">
    <w:p w:rsidR="00C82825" w:rsidRDefault="00C8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E35" w:rsidRDefault="00FA0E35" w:rsidP="000369F5">
    <w:pPr>
      <w:pStyle w:val="Header"/>
      <w:tabs>
        <w:tab w:val="clear" w:pos="4153"/>
        <w:tab w:val="clear" w:pos="8306"/>
        <w:tab w:val="right" w:pos="9639"/>
      </w:tabs>
      <w:jc w:val="right"/>
      <w:rPr>
        <w:rFonts w:ascii="Book Antiqua" w:hAnsi="Book Antiqua" w:cs="Arial"/>
        <w:caps/>
        <w:sz w:val="16"/>
        <w:szCs w:val="16"/>
      </w:rPr>
    </w:pPr>
    <w:r w:rsidRPr="00A81917">
      <w:rPr>
        <w:rFonts w:ascii="Book Antiqua" w:hAnsi="Book Antiqua" w:cs="Arial"/>
        <w:sz w:val="16"/>
        <w:szCs w:val="16"/>
      </w:rPr>
      <w:t xml:space="preserve">Appeal Number: </w:t>
    </w:r>
    <w:r w:rsidRPr="00A81917">
      <w:rPr>
        <w:rFonts w:ascii="Book Antiqua" w:hAnsi="Book Antiqua" w:cs="Arial"/>
        <w:caps/>
        <w:sz w:val="16"/>
        <w:szCs w:val="16"/>
      </w:rPr>
      <w:t>EA/05520/2016</w:t>
    </w:r>
  </w:p>
  <w:p w:rsidR="009549C3" w:rsidRPr="00A81917" w:rsidRDefault="009549C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E35" w:rsidRPr="00F5664C" w:rsidRDefault="00FA0E3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BB"/>
    <w:rsid w:val="00000621"/>
    <w:rsid w:val="000036C2"/>
    <w:rsid w:val="00020A7F"/>
    <w:rsid w:val="00033D3D"/>
    <w:rsid w:val="000369F5"/>
    <w:rsid w:val="00071A7E"/>
    <w:rsid w:val="000746C0"/>
    <w:rsid w:val="00074D1D"/>
    <w:rsid w:val="00092580"/>
    <w:rsid w:val="000B68E5"/>
    <w:rsid w:val="000D4112"/>
    <w:rsid w:val="000D5D94"/>
    <w:rsid w:val="000E34AA"/>
    <w:rsid w:val="001165A7"/>
    <w:rsid w:val="00151BB7"/>
    <w:rsid w:val="00167D3A"/>
    <w:rsid w:val="001A1E2C"/>
    <w:rsid w:val="001E6CAB"/>
    <w:rsid w:val="001F2716"/>
    <w:rsid w:val="0020133A"/>
    <w:rsid w:val="00207617"/>
    <w:rsid w:val="00240FEC"/>
    <w:rsid w:val="00250AF7"/>
    <w:rsid w:val="00283659"/>
    <w:rsid w:val="002A5518"/>
    <w:rsid w:val="002C4E73"/>
    <w:rsid w:val="002D68BF"/>
    <w:rsid w:val="002E10BD"/>
    <w:rsid w:val="00336CBF"/>
    <w:rsid w:val="00341014"/>
    <w:rsid w:val="003546C8"/>
    <w:rsid w:val="003A7CF2"/>
    <w:rsid w:val="003C3633"/>
    <w:rsid w:val="003C5CE5"/>
    <w:rsid w:val="003E267B"/>
    <w:rsid w:val="003E7CD1"/>
    <w:rsid w:val="003F0596"/>
    <w:rsid w:val="00402B9E"/>
    <w:rsid w:val="00423932"/>
    <w:rsid w:val="004249CB"/>
    <w:rsid w:val="004276AD"/>
    <w:rsid w:val="0043698F"/>
    <w:rsid w:val="0044127D"/>
    <w:rsid w:val="004448DB"/>
    <w:rsid w:val="00446C9A"/>
    <w:rsid w:val="00454D28"/>
    <w:rsid w:val="00456E1E"/>
    <w:rsid w:val="00477193"/>
    <w:rsid w:val="00481EE1"/>
    <w:rsid w:val="004937DC"/>
    <w:rsid w:val="004948B3"/>
    <w:rsid w:val="004A1848"/>
    <w:rsid w:val="004F2E90"/>
    <w:rsid w:val="004F50BF"/>
    <w:rsid w:val="00507FEC"/>
    <w:rsid w:val="00510F0E"/>
    <w:rsid w:val="005479E1"/>
    <w:rsid w:val="005570FD"/>
    <w:rsid w:val="005575EA"/>
    <w:rsid w:val="0057790C"/>
    <w:rsid w:val="00593795"/>
    <w:rsid w:val="005968F3"/>
    <w:rsid w:val="005A75FF"/>
    <w:rsid w:val="005B4408"/>
    <w:rsid w:val="005B7789"/>
    <w:rsid w:val="00600570"/>
    <w:rsid w:val="006219C2"/>
    <w:rsid w:val="0065791C"/>
    <w:rsid w:val="00670D4A"/>
    <w:rsid w:val="00690B8A"/>
    <w:rsid w:val="006A31E2"/>
    <w:rsid w:val="006D1DFA"/>
    <w:rsid w:val="006D506B"/>
    <w:rsid w:val="006E3C90"/>
    <w:rsid w:val="00704B61"/>
    <w:rsid w:val="00713F5E"/>
    <w:rsid w:val="00735A2A"/>
    <w:rsid w:val="00742A8D"/>
    <w:rsid w:val="007552A9"/>
    <w:rsid w:val="0076013D"/>
    <w:rsid w:val="00761858"/>
    <w:rsid w:val="00767D59"/>
    <w:rsid w:val="00771D65"/>
    <w:rsid w:val="00776E97"/>
    <w:rsid w:val="00780FD7"/>
    <w:rsid w:val="007912AD"/>
    <w:rsid w:val="007A1F28"/>
    <w:rsid w:val="007B0824"/>
    <w:rsid w:val="007F16C4"/>
    <w:rsid w:val="008303B8"/>
    <w:rsid w:val="00833DCE"/>
    <w:rsid w:val="00842418"/>
    <w:rsid w:val="00871D34"/>
    <w:rsid w:val="008B270C"/>
    <w:rsid w:val="008C3D3D"/>
    <w:rsid w:val="008D4131"/>
    <w:rsid w:val="008F1932"/>
    <w:rsid w:val="008F294D"/>
    <w:rsid w:val="008F5E87"/>
    <w:rsid w:val="00920C76"/>
    <w:rsid w:val="00921062"/>
    <w:rsid w:val="0093083E"/>
    <w:rsid w:val="009549C3"/>
    <w:rsid w:val="00966ECF"/>
    <w:rsid w:val="009727A3"/>
    <w:rsid w:val="00987774"/>
    <w:rsid w:val="009A11E8"/>
    <w:rsid w:val="009E4E62"/>
    <w:rsid w:val="009F5220"/>
    <w:rsid w:val="009F7C4D"/>
    <w:rsid w:val="00A00716"/>
    <w:rsid w:val="00A15234"/>
    <w:rsid w:val="00A201AB"/>
    <w:rsid w:val="00A31C8B"/>
    <w:rsid w:val="00A44E24"/>
    <w:rsid w:val="00A50361"/>
    <w:rsid w:val="00A81917"/>
    <w:rsid w:val="00A845DC"/>
    <w:rsid w:val="00A97355"/>
    <w:rsid w:val="00A97AEE"/>
    <w:rsid w:val="00AA2379"/>
    <w:rsid w:val="00AC5CF6"/>
    <w:rsid w:val="00B144FA"/>
    <w:rsid w:val="00B16F58"/>
    <w:rsid w:val="00B2116E"/>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1072D"/>
    <w:rsid w:val="00C26032"/>
    <w:rsid w:val="00C265B0"/>
    <w:rsid w:val="00C321B5"/>
    <w:rsid w:val="00C345E1"/>
    <w:rsid w:val="00C40EBB"/>
    <w:rsid w:val="00C82825"/>
    <w:rsid w:val="00C977BA"/>
    <w:rsid w:val="00CA763C"/>
    <w:rsid w:val="00CB6E35"/>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BCE"/>
    <w:rsid w:val="00E61292"/>
    <w:rsid w:val="00E76309"/>
    <w:rsid w:val="00E77C4D"/>
    <w:rsid w:val="00E81D01"/>
    <w:rsid w:val="00ED2D16"/>
    <w:rsid w:val="00EE45D8"/>
    <w:rsid w:val="00F004CD"/>
    <w:rsid w:val="00F03362"/>
    <w:rsid w:val="00F10D45"/>
    <w:rsid w:val="00F22EDA"/>
    <w:rsid w:val="00F3224D"/>
    <w:rsid w:val="00F33E0E"/>
    <w:rsid w:val="00F36B20"/>
    <w:rsid w:val="00F42469"/>
    <w:rsid w:val="00F46F1A"/>
    <w:rsid w:val="00F5664C"/>
    <w:rsid w:val="00FA0BC6"/>
    <w:rsid w:val="00FA0E35"/>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3848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1443</Words>
  <Characters>7243</Characters>
  <Application>Microsoft Office Word</Application>
  <DocSecurity>0</DocSecurity>
  <Lines>60</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2018-06-07T12:37:00Z</dcterms:created>
  <dcterms:modified xsi:type="dcterms:W3CDTF">2018-06-07T12:37:00Z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