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0B2" w:rsidRPr="00B57D66" w:rsidRDefault="00F14566" w:rsidP="00E500B2">
      <w:pPr>
        <w:jc w:val="center"/>
        <w:rPr>
          <w:rFonts w:ascii="Book Antiqua" w:hAnsi="Book Antiqua" w:cs="Arial"/>
          <w:caps/>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B57D66" w:rsidRDefault="00D94AFC">
      <w:pPr>
        <w:rPr>
          <w:rFonts w:ascii="Book Antiqua" w:hAnsi="Book Antiqua" w:cs="Arial"/>
          <w:color w:val="000000"/>
        </w:rPr>
      </w:pPr>
    </w:p>
    <w:p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rsidR="007B0824" w:rsidRPr="00064D11" w:rsidRDefault="00E500B2" w:rsidP="00780F86">
      <w:pPr>
        <w:tabs>
          <w:tab w:val="right" w:pos="9720"/>
        </w:tabs>
        <w:ind w:right="-82"/>
        <w:rPr>
          <w:rFonts w:ascii="Book Antiqua" w:hAnsi="Book Antiqua" w:cs="Arial"/>
          <w:caps/>
          <w:color w:val="000000"/>
        </w:rPr>
      </w:pPr>
      <w:r w:rsidRPr="00B57D66">
        <w:rPr>
          <w:rFonts w:ascii="Book Antiqua" w:hAnsi="Book Antiqua" w:cs="Arial"/>
          <w:b/>
          <w:color w:val="000000"/>
        </w:rPr>
        <w:t>(Immigration and Asylum Chamber)</w:t>
      </w:r>
      <w:r w:rsidR="00DB70AE" w:rsidRPr="00B57D66">
        <w:rPr>
          <w:rFonts w:ascii="Book Antiqua" w:hAnsi="Book Antiqua" w:cs="Arial"/>
          <w:b/>
          <w:color w:val="000000"/>
        </w:rPr>
        <w:tab/>
      </w:r>
      <w:r w:rsidR="00B3524D" w:rsidRPr="00B57D66">
        <w:rPr>
          <w:rFonts w:ascii="Book Antiqua" w:hAnsi="Book Antiqua" w:cs="Arial"/>
          <w:color w:val="000000"/>
        </w:rPr>
        <w:t>Appeal Number</w:t>
      </w:r>
      <w:r w:rsidR="00D53769" w:rsidRPr="00B57D66">
        <w:rPr>
          <w:rFonts w:ascii="Book Antiqua" w:hAnsi="Book Antiqua" w:cs="Arial"/>
          <w:color w:val="000000"/>
        </w:rPr>
        <w:t>:</w:t>
      </w:r>
      <w:r w:rsidR="00B3524D" w:rsidRPr="00B57D66">
        <w:rPr>
          <w:rFonts w:ascii="Book Antiqua" w:hAnsi="Book Antiqua" w:cs="Arial"/>
          <w:color w:val="000000"/>
        </w:rPr>
        <w:t xml:space="preserve"> </w:t>
      </w:r>
      <w:bookmarkStart w:id="0" w:name="_GoBack"/>
      <w:r w:rsidR="00064D11" w:rsidRPr="00064D11">
        <w:rPr>
          <w:rFonts w:ascii="Book Antiqua" w:hAnsi="Book Antiqua" w:cs="Arial"/>
          <w:caps/>
          <w:color w:val="000000"/>
        </w:rPr>
        <w:t>EA/05606/2017</w:t>
      </w:r>
      <w:bookmarkEnd w:id="0"/>
    </w:p>
    <w:p w:rsidR="00C345E1" w:rsidRPr="00B57D66" w:rsidRDefault="00C345E1" w:rsidP="00C345E1">
      <w:pPr>
        <w:jc w:val="center"/>
        <w:rPr>
          <w:rFonts w:ascii="Book Antiqua" w:hAnsi="Book Antiqua" w:cs="Arial"/>
          <w:color w:val="000000"/>
        </w:rPr>
      </w:pPr>
    </w:p>
    <w:p w:rsidR="00C345E1" w:rsidRPr="00B57D66" w:rsidRDefault="00C345E1" w:rsidP="00C345E1">
      <w:pPr>
        <w:jc w:val="center"/>
        <w:rPr>
          <w:rFonts w:ascii="Book Antiqua" w:hAnsi="Book Antiqua" w:cs="Arial"/>
          <w:color w:val="000000"/>
        </w:rPr>
      </w:pPr>
    </w:p>
    <w:p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rsidR="00C345E1" w:rsidRPr="00B57D66"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163540" w:rsidTr="00163540">
        <w:tc>
          <w:tcPr>
            <w:tcW w:w="6048" w:type="dxa"/>
            <w:shd w:val="clear" w:color="auto" w:fill="auto"/>
          </w:tcPr>
          <w:p w:rsidR="00D22636" w:rsidRPr="00163540" w:rsidRDefault="00D22636" w:rsidP="00163540">
            <w:pPr>
              <w:jc w:val="both"/>
              <w:rPr>
                <w:rFonts w:ascii="Book Antiqua" w:hAnsi="Book Antiqua" w:cs="Arial"/>
                <w:b/>
              </w:rPr>
            </w:pPr>
            <w:r w:rsidRPr="00163540">
              <w:rPr>
                <w:rFonts w:ascii="Book Antiqua" w:hAnsi="Book Antiqua" w:cs="Arial"/>
                <w:b/>
              </w:rPr>
              <w:t xml:space="preserve">Heard at </w:t>
            </w:r>
            <w:r w:rsidR="00064D11" w:rsidRPr="00163540">
              <w:rPr>
                <w:rFonts w:ascii="Book Antiqua" w:hAnsi="Book Antiqua" w:cs="Arial"/>
                <w:b/>
              </w:rPr>
              <w:t xml:space="preserve">Field House </w:t>
            </w:r>
          </w:p>
        </w:tc>
        <w:tc>
          <w:tcPr>
            <w:tcW w:w="3960" w:type="dxa"/>
            <w:shd w:val="clear" w:color="auto" w:fill="auto"/>
          </w:tcPr>
          <w:p w:rsidR="00D22636" w:rsidRPr="00163540" w:rsidRDefault="00173CC6" w:rsidP="00163540">
            <w:pPr>
              <w:jc w:val="both"/>
              <w:rPr>
                <w:rFonts w:ascii="Book Antiqua" w:hAnsi="Book Antiqua" w:cs="Arial"/>
                <w:b/>
                <w:color w:val="000000"/>
              </w:rPr>
            </w:pPr>
            <w:r w:rsidRPr="00163540">
              <w:rPr>
                <w:rFonts w:ascii="Book Antiqua" w:hAnsi="Book Antiqua" w:cs="Arial"/>
                <w:b/>
                <w:color w:val="000000"/>
              </w:rPr>
              <w:t>Decision &amp; Reasons</w:t>
            </w:r>
            <w:r w:rsidR="00283659" w:rsidRPr="00163540">
              <w:rPr>
                <w:rFonts w:ascii="Book Antiqua" w:hAnsi="Book Antiqua" w:cs="Arial"/>
                <w:b/>
                <w:color w:val="000000"/>
              </w:rPr>
              <w:t xml:space="preserve"> Promulgated</w:t>
            </w:r>
          </w:p>
        </w:tc>
      </w:tr>
      <w:tr w:rsidR="00D22636" w:rsidRPr="00163540" w:rsidTr="00163540">
        <w:tc>
          <w:tcPr>
            <w:tcW w:w="6048" w:type="dxa"/>
            <w:shd w:val="clear" w:color="auto" w:fill="auto"/>
          </w:tcPr>
          <w:p w:rsidR="00D22636" w:rsidRPr="00163540" w:rsidRDefault="00D22636" w:rsidP="00163540">
            <w:pPr>
              <w:jc w:val="both"/>
              <w:rPr>
                <w:rFonts w:ascii="Book Antiqua" w:hAnsi="Book Antiqua" w:cs="Arial"/>
                <w:b/>
              </w:rPr>
            </w:pPr>
            <w:r w:rsidRPr="00163540">
              <w:rPr>
                <w:rFonts w:ascii="Book Antiqua" w:hAnsi="Book Antiqua" w:cs="Arial"/>
                <w:b/>
              </w:rPr>
              <w:t xml:space="preserve">On </w:t>
            </w:r>
            <w:r w:rsidR="00064D11" w:rsidRPr="00163540">
              <w:rPr>
                <w:rFonts w:ascii="Book Antiqua" w:hAnsi="Book Antiqua" w:cs="Arial"/>
                <w:b/>
              </w:rPr>
              <w:t xml:space="preserve">8 June 2018 </w:t>
            </w:r>
          </w:p>
        </w:tc>
        <w:tc>
          <w:tcPr>
            <w:tcW w:w="3960" w:type="dxa"/>
            <w:shd w:val="clear" w:color="auto" w:fill="auto"/>
          </w:tcPr>
          <w:p w:rsidR="00D22636" w:rsidRPr="00163540" w:rsidRDefault="00A22967" w:rsidP="00163540">
            <w:pPr>
              <w:jc w:val="both"/>
              <w:rPr>
                <w:rFonts w:ascii="Book Antiqua" w:hAnsi="Book Antiqua" w:cs="Arial"/>
                <w:b/>
              </w:rPr>
            </w:pPr>
            <w:r>
              <w:rPr>
                <w:rFonts w:ascii="Book Antiqua" w:hAnsi="Book Antiqua" w:cs="Arial"/>
                <w:b/>
              </w:rPr>
              <w:t>On 18 June 2018</w:t>
            </w:r>
          </w:p>
        </w:tc>
      </w:tr>
    </w:tbl>
    <w:p w:rsidR="00A15234" w:rsidRPr="00B57D66" w:rsidRDefault="00A15234" w:rsidP="00A15234">
      <w:pPr>
        <w:jc w:val="center"/>
        <w:rPr>
          <w:rFonts w:ascii="Book Antiqua" w:hAnsi="Book Antiqua" w:cs="Arial"/>
        </w:rPr>
      </w:pPr>
    </w:p>
    <w:p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rsidR="00A15234" w:rsidRPr="00B57D66" w:rsidRDefault="00A15234" w:rsidP="00A15234">
      <w:pPr>
        <w:jc w:val="center"/>
        <w:rPr>
          <w:rFonts w:ascii="Book Antiqua" w:hAnsi="Book Antiqua" w:cs="Arial"/>
          <w:b/>
        </w:rPr>
      </w:pPr>
    </w:p>
    <w:p w:rsidR="00D20757" w:rsidRDefault="00D7040C" w:rsidP="00A15234">
      <w:pPr>
        <w:jc w:val="center"/>
        <w:rPr>
          <w:rFonts w:ascii="Book Antiqua" w:hAnsi="Book Antiqua" w:cs="Arial"/>
          <w:b/>
          <w:color w:val="000000"/>
        </w:rPr>
      </w:pPr>
      <w:r>
        <w:rPr>
          <w:rFonts w:ascii="Book Antiqua" w:hAnsi="Book Antiqua" w:cs="Arial"/>
          <w:b/>
          <w:color w:val="000000"/>
        </w:rPr>
        <w:t xml:space="preserve">DR H </w:t>
      </w:r>
      <w:proofErr w:type="spellStart"/>
      <w:r>
        <w:rPr>
          <w:rFonts w:ascii="Book Antiqua" w:hAnsi="Book Antiqua" w:cs="Arial"/>
          <w:b/>
          <w:color w:val="000000"/>
        </w:rPr>
        <w:t>H</w:t>
      </w:r>
      <w:proofErr w:type="spellEnd"/>
      <w:r>
        <w:rPr>
          <w:rFonts w:ascii="Book Antiqua" w:hAnsi="Book Antiqua" w:cs="Arial"/>
          <w:b/>
          <w:color w:val="000000"/>
        </w:rPr>
        <w:t xml:space="preserve"> </w:t>
      </w:r>
      <w:r w:rsidR="008B4F43" w:rsidRPr="00B57D66">
        <w:rPr>
          <w:rFonts w:ascii="Book Antiqua" w:hAnsi="Book Antiqua" w:cs="Arial"/>
          <w:b/>
          <w:color w:val="000000"/>
        </w:rPr>
        <w:t>STOREY</w:t>
      </w:r>
    </w:p>
    <w:p w:rsidR="00D7040C" w:rsidRPr="00B57D66" w:rsidRDefault="00D7040C" w:rsidP="00A15234">
      <w:pPr>
        <w:jc w:val="center"/>
        <w:rPr>
          <w:rFonts w:ascii="Book Antiqua" w:hAnsi="Book Antiqua" w:cs="Arial"/>
          <w:b/>
          <w:color w:val="000000"/>
        </w:rPr>
      </w:pPr>
      <w:r>
        <w:rPr>
          <w:rFonts w:ascii="Book Antiqua" w:hAnsi="Book Antiqua" w:cs="Arial"/>
          <w:b/>
          <w:color w:val="000000"/>
        </w:rPr>
        <w:t>JUDGE OF THE UPPER TRIBUNAL</w:t>
      </w:r>
    </w:p>
    <w:p w:rsidR="001B186A" w:rsidRPr="00B57D66" w:rsidRDefault="001B186A" w:rsidP="00A15234">
      <w:pPr>
        <w:jc w:val="center"/>
        <w:rPr>
          <w:rFonts w:ascii="Book Antiqua" w:hAnsi="Book Antiqua" w:cs="Arial"/>
          <w:b/>
          <w:color w:val="000000"/>
        </w:rPr>
      </w:pPr>
    </w:p>
    <w:p w:rsidR="00A845DC" w:rsidRPr="00B57D66" w:rsidRDefault="00A845DC" w:rsidP="00A15234">
      <w:pPr>
        <w:jc w:val="center"/>
        <w:rPr>
          <w:rFonts w:ascii="Book Antiqua" w:hAnsi="Book Antiqua" w:cs="Arial"/>
          <w:b/>
        </w:rPr>
      </w:pPr>
      <w:r w:rsidRPr="00B57D66">
        <w:rPr>
          <w:rFonts w:ascii="Book Antiqua" w:hAnsi="Book Antiqua" w:cs="Arial"/>
          <w:b/>
        </w:rPr>
        <w:t>Between</w:t>
      </w:r>
    </w:p>
    <w:p w:rsidR="00A845DC" w:rsidRPr="00B57D66" w:rsidRDefault="00A845DC" w:rsidP="00A15234">
      <w:pPr>
        <w:jc w:val="center"/>
        <w:rPr>
          <w:rFonts w:ascii="Book Antiqua" w:hAnsi="Book Antiqua" w:cs="Arial"/>
          <w:b/>
        </w:rPr>
      </w:pPr>
    </w:p>
    <w:p w:rsidR="00A845DC" w:rsidRPr="00064D11" w:rsidRDefault="00064D11" w:rsidP="00A15234">
      <w:pPr>
        <w:jc w:val="center"/>
        <w:rPr>
          <w:rFonts w:ascii="Book Antiqua" w:hAnsi="Book Antiqua" w:cs="Arial"/>
          <w:b/>
          <w:caps/>
        </w:rPr>
      </w:pPr>
      <w:r w:rsidRPr="00064D11">
        <w:rPr>
          <w:rFonts w:ascii="Book Antiqua" w:hAnsi="Book Antiqua" w:cs="Arial"/>
          <w:b/>
          <w:caps/>
        </w:rPr>
        <w:t>Rukhsar</w:t>
      </w:r>
      <w:r>
        <w:rPr>
          <w:rFonts w:ascii="Book Antiqua" w:hAnsi="Book Antiqua" w:cs="Arial"/>
          <w:b/>
          <w:caps/>
        </w:rPr>
        <w:t xml:space="preserve"> </w:t>
      </w:r>
      <w:r w:rsidRPr="00064D11">
        <w:rPr>
          <w:rFonts w:ascii="Book Antiqua" w:hAnsi="Book Antiqua" w:cs="Arial"/>
          <w:b/>
          <w:caps/>
        </w:rPr>
        <w:t>Fayyaz</w:t>
      </w:r>
    </w:p>
    <w:p w:rsidR="00173CC6" w:rsidRDefault="00173CC6" w:rsidP="00173CC6">
      <w:pPr>
        <w:jc w:val="center"/>
        <w:rPr>
          <w:rFonts w:ascii="Book Antiqua" w:hAnsi="Book Antiqua" w:cs="Arial"/>
          <w:b/>
          <w:caps/>
        </w:rPr>
      </w:pPr>
      <w:r w:rsidRPr="00173CC6">
        <w:rPr>
          <w:rFonts w:ascii="Book Antiqua" w:hAnsi="Book Antiqua" w:cs="Arial"/>
          <w:b/>
          <w:caps/>
        </w:rPr>
        <w:t xml:space="preserve">(ANONYMITY DIRECTION </w:t>
      </w:r>
      <w:r w:rsidR="00064D11">
        <w:rPr>
          <w:rFonts w:ascii="Book Antiqua" w:hAnsi="Book Antiqua" w:cs="Arial"/>
          <w:b/>
          <w:caps/>
        </w:rPr>
        <w:t>not made</w:t>
      </w:r>
      <w:r w:rsidRPr="00173CC6">
        <w:rPr>
          <w:rFonts w:ascii="Book Antiqua" w:hAnsi="Book Antiqua" w:cs="Arial"/>
          <w:b/>
          <w:caps/>
        </w:rPr>
        <w:t>)</w:t>
      </w:r>
    </w:p>
    <w:p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rsidR="00704B61" w:rsidRPr="00B57D66" w:rsidRDefault="00DD5071" w:rsidP="00704B61">
      <w:pPr>
        <w:jc w:val="center"/>
        <w:rPr>
          <w:rFonts w:ascii="Book Antiqua" w:hAnsi="Book Antiqua" w:cs="Arial"/>
          <w:b/>
        </w:rPr>
      </w:pPr>
      <w:r w:rsidRPr="00B57D66">
        <w:rPr>
          <w:rFonts w:ascii="Book Antiqua" w:hAnsi="Book Antiqua" w:cs="Arial"/>
          <w:b/>
        </w:rPr>
        <w:t>and</w:t>
      </w:r>
    </w:p>
    <w:p w:rsidR="00DD5071" w:rsidRPr="00B57D66" w:rsidRDefault="00DD5071" w:rsidP="00704B61">
      <w:pPr>
        <w:jc w:val="center"/>
        <w:rPr>
          <w:rFonts w:ascii="Book Antiqua" w:hAnsi="Book Antiqua" w:cs="Arial"/>
          <w:b/>
        </w:rPr>
      </w:pPr>
    </w:p>
    <w:p w:rsidR="00DD5071" w:rsidRPr="00B57D66" w:rsidRDefault="00DD5071" w:rsidP="00704B61">
      <w:pPr>
        <w:jc w:val="center"/>
        <w:rPr>
          <w:rFonts w:ascii="Book Antiqua" w:hAnsi="Book Antiqua" w:cs="Arial"/>
          <w:b/>
        </w:rPr>
      </w:pPr>
      <w:r w:rsidRPr="00B57D66">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B57D66">
        <w:rPr>
          <w:rFonts w:ascii="Book Antiqua" w:hAnsi="Book Antiqua" w:cs="Arial"/>
          <w:b/>
        </w:rPr>
        <w:instrText xml:space="preserve"> FORMTEXT </w:instrText>
      </w:r>
      <w:r w:rsidRPr="00B57D66">
        <w:rPr>
          <w:rFonts w:ascii="Book Antiqua" w:hAnsi="Book Antiqua" w:cs="Arial"/>
          <w:b/>
        </w:rPr>
      </w:r>
      <w:r w:rsidRPr="00B57D66">
        <w:rPr>
          <w:rFonts w:ascii="Book Antiqua" w:hAnsi="Book Antiqua" w:cs="Arial"/>
          <w:b/>
        </w:rPr>
        <w:fldChar w:fldCharType="separate"/>
      </w:r>
      <w:r w:rsidRPr="00B57D66">
        <w:rPr>
          <w:rFonts w:ascii="Book Antiqua" w:hAnsi="Book Antiqua" w:cs="Arial"/>
          <w:b/>
          <w:noProof/>
        </w:rPr>
        <w:t>THE SECRETARY OF STATE FOR THE HOME DEPARTMENT</w:t>
      </w:r>
      <w:r w:rsidRPr="00B57D66">
        <w:rPr>
          <w:rFonts w:ascii="Book Antiqua" w:hAnsi="Book Antiqua" w:cs="Arial"/>
          <w:b/>
        </w:rPr>
        <w:fldChar w:fldCharType="end"/>
      </w:r>
      <w:bookmarkEnd w:id="1"/>
    </w:p>
    <w:p w:rsidR="00DD5071" w:rsidRPr="00B57D66" w:rsidRDefault="00DD5071" w:rsidP="00704B61">
      <w:pPr>
        <w:jc w:val="center"/>
        <w:rPr>
          <w:rFonts w:ascii="Book Antiqua" w:hAnsi="Book Antiqua" w:cs="Arial"/>
          <w:b/>
        </w:rPr>
      </w:pPr>
    </w:p>
    <w:p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rsidR="00DD5071" w:rsidRPr="00B57D66" w:rsidRDefault="00DD5071" w:rsidP="00DD5071">
      <w:pPr>
        <w:rPr>
          <w:rFonts w:ascii="Book Antiqua" w:hAnsi="Book Antiqua" w:cs="Arial"/>
          <w:u w:val="single"/>
        </w:rPr>
      </w:pPr>
    </w:p>
    <w:p w:rsidR="00DD5071" w:rsidRPr="00B57D66" w:rsidRDefault="00DD5071" w:rsidP="00DD5071">
      <w:pPr>
        <w:rPr>
          <w:rFonts w:ascii="Book Antiqua" w:hAnsi="Book Antiqua" w:cs="Arial"/>
          <w:u w:val="single"/>
        </w:rPr>
      </w:pPr>
    </w:p>
    <w:p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rsidR="00DE7DB7" w:rsidRPr="00B57D66" w:rsidRDefault="00DE7DB7" w:rsidP="00DD5071">
      <w:pPr>
        <w:rPr>
          <w:rFonts w:ascii="Book Antiqua" w:hAnsi="Book Antiqua" w:cs="Arial"/>
        </w:rPr>
      </w:pPr>
    </w:p>
    <w:p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064D11">
        <w:rPr>
          <w:rFonts w:ascii="Book Antiqua" w:hAnsi="Book Antiqua" w:cs="Arial"/>
        </w:rPr>
        <w:t xml:space="preserve">Mr S Khan, Counsel </w:t>
      </w:r>
    </w:p>
    <w:p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064D11">
        <w:rPr>
          <w:rFonts w:ascii="Book Antiqua" w:hAnsi="Book Antiqua" w:cs="Arial"/>
        </w:rPr>
        <w:t xml:space="preserve">Mr S Walker, Home Office Presenting Officer </w:t>
      </w:r>
    </w:p>
    <w:p w:rsidR="00DE7DB7" w:rsidRPr="00B57D66" w:rsidRDefault="00DE7DB7" w:rsidP="00402B9E">
      <w:pPr>
        <w:tabs>
          <w:tab w:val="left" w:pos="2520"/>
        </w:tabs>
        <w:jc w:val="center"/>
        <w:rPr>
          <w:rFonts w:ascii="Book Antiqua" w:hAnsi="Book Antiqua" w:cs="Arial"/>
        </w:rPr>
      </w:pPr>
    </w:p>
    <w:p w:rsidR="00DE7DB7" w:rsidRPr="00B57D66" w:rsidRDefault="00DE7DB7" w:rsidP="00402B9E">
      <w:pPr>
        <w:tabs>
          <w:tab w:val="left" w:pos="2520"/>
        </w:tabs>
        <w:jc w:val="center"/>
        <w:rPr>
          <w:rFonts w:ascii="Book Antiqua" w:hAnsi="Book Antiqua" w:cs="Arial"/>
        </w:rPr>
      </w:pPr>
    </w:p>
    <w:p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AND REASONS</w:t>
      </w:r>
    </w:p>
    <w:p w:rsidR="00402B9E" w:rsidRPr="00B57D66" w:rsidRDefault="00402B9E" w:rsidP="00402B9E">
      <w:pPr>
        <w:tabs>
          <w:tab w:val="left" w:pos="2520"/>
        </w:tabs>
        <w:jc w:val="both"/>
        <w:rPr>
          <w:rFonts w:ascii="Book Antiqua" w:hAnsi="Book Antiqua" w:cs="Arial"/>
        </w:rPr>
      </w:pPr>
    </w:p>
    <w:p w:rsidR="004B5AEF" w:rsidRDefault="004B5AEF" w:rsidP="00BF23BB">
      <w:pPr>
        <w:tabs>
          <w:tab w:val="left" w:pos="567"/>
        </w:tabs>
        <w:ind w:left="567" w:hanging="567"/>
        <w:jc w:val="both"/>
        <w:rPr>
          <w:rFonts w:ascii="Book Antiqua" w:hAnsi="Book Antiqua" w:cs="Arial"/>
        </w:rPr>
      </w:pPr>
    </w:p>
    <w:p w:rsidR="00BF23BB" w:rsidRDefault="00322140" w:rsidP="00BF23BB">
      <w:pPr>
        <w:tabs>
          <w:tab w:val="left" w:pos="567"/>
        </w:tabs>
        <w:ind w:left="567" w:hanging="567"/>
        <w:jc w:val="both"/>
        <w:rPr>
          <w:rFonts w:ascii="Book Antiqua" w:hAnsi="Book Antiqua" w:cs="Arial"/>
        </w:rPr>
      </w:pPr>
      <w:r>
        <w:rPr>
          <w:rFonts w:ascii="Book Antiqua" w:hAnsi="Book Antiqua" w:cs="Arial"/>
        </w:rPr>
        <w:t>1</w:t>
      </w:r>
      <w:r w:rsidR="00402B9E" w:rsidRPr="00B57D66">
        <w:rPr>
          <w:rFonts w:ascii="Book Antiqua" w:hAnsi="Book Antiqua" w:cs="Arial"/>
        </w:rPr>
        <w:t>.</w:t>
      </w:r>
      <w:r w:rsidR="00402B9E" w:rsidRPr="00B57D66">
        <w:rPr>
          <w:rFonts w:ascii="Book Antiqua" w:hAnsi="Book Antiqua" w:cs="Arial"/>
        </w:rPr>
        <w:tab/>
      </w:r>
      <w:r w:rsidR="00812BD6">
        <w:rPr>
          <w:rFonts w:ascii="Book Antiqua" w:hAnsi="Book Antiqua" w:cs="Arial"/>
        </w:rPr>
        <w:t>The appellant, a citizen of Pakistan, has permission to challenge the decision of Judge Barrowclough of the First-tier Tribunal (</w:t>
      </w:r>
      <w:proofErr w:type="spellStart"/>
      <w:r w:rsidR="00812BD6">
        <w:rPr>
          <w:rFonts w:ascii="Book Antiqua" w:hAnsi="Book Antiqua" w:cs="Arial"/>
        </w:rPr>
        <w:t>FtT</w:t>
      </w:r>
      <w:proofErr w:type="spellEnd"/>
      <w:r w:rsidR="00812BD6">
        <w:rPr>
          <w:rFonts w:ascii="Book Antiqua" w:hAnsi="Book Antiqua" w:cs="Arial"/>
        </w:rPr>
        <w:t>) sent on 27 February 2018 dismissing his appeal against the decision made by the respondent on 1 June 2017 refusing to issue him a residence card.  The appellant had claimed that he was entitled to a residence card as he had acquired retained rights following his divorce fr</w:t>
      </w:r>
      <w:r w:rsidR="002D074B">
        <w:rPr>
          <w:rFonts w:ascii="Book Antiqua" w:hAnsi="Book Antiqua" w:cs="Arial"/>
        </w:rPr>
        <w:t>o</w:t>
      </w:r>
      <w:r w:rsidR="00812BD6">
        <w:rPr>
          <w:rFonts w:ascii="Book Antiqua" w:hAnsi="Book Antiqua" w:cs="Arial"/>
        </w:rPr>
        <w:t xml:space="preserve">m a Hungarian spouse on 5 December 2016.  The respondent had </w:t>
      </w:r>
      <w:r w:rsidR="00C84506">
        <w:rPr>
          <w:rFonts w:ascii="Book Antiqua" w:hAnsi="Book Antiqua" w:cs="Arial"/>
        </w:rPr>
        <w:t xml:space="preserve">earlier </w:t>
      </w:r>
      <w:r w:rsidR="00812BD6">
        <w:rPr>
          <w:rFonts w:ascii="Book Antiqua" w:hAnsi="Book Antiqua" w:cs="Arial"/>
        </w:rPr>
        <w:t xml:space="preserve">refused the appellant a residence </w:t>
      </w:r>
      <w:r w:rsidR="00812BD6">
        <w:rPr>
          <w:rFonts w:ascii="Book Antiqua" w:hAnsi="Book Antiqua" w:cs="Arial"/>
        </w:rPr>
        <w:lastRenderedPageBreak/>
        <w:t>card when he was still a spouse, on 7 June 2013 and 15 April 2015, on both occasions because it was considered his marriage was one of convenience.</w:t>
      </w:r>
    </w:p>
    <w:p w:rsidR="00812BD6" w:rsidRDefault="00812BD6" w:rsidP="00BF23BB">
      <w:pPr>
        <w:tabs>
          <w:tab w:val="left" w:pos="567"/>
        </w:tabs>
        <w:ind w:left="567" w:hanging="567"/>
        <w:jc w:val="both"/>
        <w:rPr>
          <w:rFonts w:ascii="Book Antiqua" w:hAnsi="Book Antiqua" w:cs="Arial"/>
        </w:rPr>
      </w:pPr>
    </w:p>
    <w:p w:rsidR="00812BD6" w:rsidRDefault="00322140" w:rsidP="00BF23BB">
      <w:pPr>
        <w:tabs>
          <w:tab w:val="left" w:pos="567"/>
        </w:tabs>
        <w:ind w:left="567" w:hanging="567"/>
        <w:jc w:val="both"/>
        <w:rPr>
          <w:rFonts w:ascii="Book Antiqua" w:hAnsi="Book Antiqua" w:cs="Arial"/>
        </w:rPr>
      </w:pPr>
      <w:r>
        <w:rPr>
          <w:rFonts w:ascii="Book Antiqua" w:hAnsi="Book Antiqua" w:cs="Arial"/>
        </w:rPr>
        <w:t>2</w:t>
      </w:r>
      <w:r w:rsidR="00812BD6">
        <w:rPr>
          <w:rFonts w:ascii="Book Antiqua" w:hAnsi="Book Antiqua" w:cs="Arial"/>
        </w:rPr>
        <w:t>.</w:t>
      </w:r>
      <w:r w:rsidR="00812BD6">
        <w:rPr>
          <w:rFonts w:ascii="Book Antiqua" w:hAnsi="Book Antiqua" w:cs="Arial"/>
        </w:rPr>
        <w:tab/>
        <w:t xml:space="preserve">The written grounds of appeal raised six points.  The last three are misconceived since they take issue with the judge’s failure to deal properly with Article 8, whereas in an EEA appeal of this type human rights cannot be considered: see </w:t>
      </w:r>
      <w:proofErr w:type="spellStart"/>
      <w:r w:rsidR="00812BD6" w:rsidRPr="00812BD6">
        <w:rPr>
          <w:rFonts w:ascii="Book Antiqua" w:hAnsi="Book Antiqua" w:cs="Arial"/>
          <w:b/>
          <w:u w:val="single"/>
        </w:rPr>
        <w:t>Amirteymour</w:t>
      </w:r>
      <w:proofErr w:type="spellEnd"/>
      <w:r w:rsidR="00812BD6" w:rsidRPr="00812BD6">
        <w:rPr>
          <w:rFonts w:ascii="Book Antiqua" w:hAnsi="Book Antiqua" w:cs="Arial"/>
          <w:b/>
        </w:rPr>
        <w:t xml:space="preserve"> and others (EEA appeals; human rights) </w:t>
      </w:r>
      <w:r w:rsidR="00812BD6" w:rsidRPr="00C84506">
        <w:rPr>
          <w:rFonts w:ascii="Book Antiqua" w:hAnsi="Book Antiqua" w:cs="Arial"/>
        </w:rPr>
        <w:t>[2015] UKUT 466 (IAC)</w:t>
      </w:r>
      <w:r w:rsidR="00905BC2">
        <w:rPr>
          <w:rFonts w:ascii="Book Antiqua" w:hAnsi="Book Antiqua" w:cs="Arial"/>
        </w:rPr>
        <w:t xml:space="preserve">; upheld by the Court of Appeal in </w:t>
      </w:r>
      <w:proofErr w:type="spellStart"/>
      <w:r w:rsidR="00905BC2" w:rsidRPr="00905BC2">
        <w:rPr>
          <w:rFonts w:ascii="Book Antiqua" w:hAnsi="Book Antiqua" w:cs="Arial"/>
          <w:b/>
        </w:rPr>
        <w:t>Amirteymour</w:t>
      </w:r>
      <w:proofErr w:type="spellEnd"/>
      <w:r w:rsidR="00905BC2" w:rsidRPr="00905BC2">
        <w:rPr>
          <w:rFonts w:ascii="Book Antiqua" w:hAnsi="Book Antiqua" w:cs="Arial"/>
          <w:b/>
        </w:rPr>
        <w:t xml:space="preserve"> v SSHD</w:t>
      </w:r>
      <w:r w:rsidR="00905BC2">
        <w:rPr>
          <w:rFonts w:ascii="Book Antiqua" w:hAnsi="Book Antiqua" w:cs="Arial"/>
        </w:rPr>
        <w:t xml:space="preserve"> [2017] EWCA </w:t>
      </w:r>
      <w:proofErr w:type="spellStart"/>
      <w:r w:rsidR="00905BC2">
        <w:rPr>
          <w:rFonts w:ascii="Book Antiqua" w:hAnsi="Book Antiqua" w:cs="Arial"/>
        </w:rPr>
        <w:t>Civ</w:t>
      </w:r>
      <w:proofErr w:type="spellEnd"/>
      <w:r w:rsidR="00905BC2">
        <w:rPr>
          <w:rFonts w:ascii="Book Antiqua" w:hAnsi="Book Antiqua" w:cs="Arial"/>
        </w:rPr>
        <w:t xml:space="preserve"> 353</w:t>
      </w:r>
      <w:r w:rsidR="00812BD6" w:rsidRPr="00C84506">
        <w:rPr>
          <w:rFonts w:ascii="Book Antiqua" w:hAnsi="Book Antiqua" w:cs="Arial"/>
        </w:rPr>
        <w:t xml:space="preserve">.  </w:t>
      </w:r>
      <w:r w:rsidR="00812BD6">
        <w:rPr>
          <w:rFonts w:ascii="Book Antiqua" w:hAnsi="Book Antiqua" w:cs="Arial"/>
        </w:rPr>
        <w:t xml:space="preserve">The appellant’s first point </w:t>
      </w:r>
      <w:r>
        <w:rPr>
          <w:rFonts w:ascii="Book Antiqua" w:hAnsi="Book Antiqua" w:cs="Arial"/>
        </w:rPr>
        <w:t>simply</w:t>
      </w:r>
      <w:r w:rsidR="00812BD6">
        <w:rPr>
          <w:rFonts w:ascii="Book Antiqua" w:hAnsi="Book Antiqua" w:cs="Arial"/>
        </w:rPr>
        <w:t xml:space="preserve"> alleges that the </w:t>
      </w:r>
      <w:proofErr w:type="spellStart"/>
      <w:r w:rsidR="00812BD6">
        <w:rPr>
          <w:rFonts w:ascii="Book Antiqua" w:hAnsi="Book Antiqua" w:cs="Arial"/>
        </w:rPr>
        <w:t>FtT</w:t>
      </w:r>
      <w:proofErr w:type="spellEnd"/>
      <w:r w:rsidR="00812BD6">
        <w:rPr>
          <w:rFonts w:ascii="Book Antiqua" w:hAnsi="Book Antiqua" w:cs="Arial"/>
        </w:rPr>
        <w:t xml:space="preserve"> decision was flawed.  The second point contends that the </w:t>
      </w:r>
      <w:proofErr w:type="spellStart"/>
      <w:r w:rsidR="00812BD6">
        <w:rPr>
          <w:rFonts w:ascii="Book Antiqua" w:hAnsi="Book Antiqua" w:cs="Arial"/>
        </w:rPr>
        <w:t>FtT</w:t>
      </w:r>
      <w:proofErr w:type="spellEnd"/>
      <w:r w:rsidR="00812BD6">
        <w:rPr>
          <w:rFonts w:ascii="Book Antiqua" w:hAnsi="Book Antiqua" w:cs="Arial"/>
        </w:rPr>
        <w:t xml:space="preserve"> failed to ascribe </w:t>
      </w:r>
      <w:r>
        <w:rPr>
          <w:rFonts w:ascii="Book Antiqua" w:hAnsi="Book Antiqua" w:cs="Arial"/>
        </w:rPr>
        <w:t>appropriate</w:t>
      </w:r>
      <w:r w:rsidR="00812BD6">
        <w:rPr>
          <w:rFonts w:ascii="Book Antiqua" w:hAnsi="Book Antiqua" w:cs="Arial"/>
        </w:rPr>
        <w:t xml:space="preserve"> weight to the evidence before the Tribunal.  The third submits that the </w:t>
      </w:r>
      <w:r w:rsidR="006C150B">
        <w:rPr>
          <w:rFonts w:ascii="Book Antiqua" w:hAnsi="Book Antiqua" w:cs="Arial"/>
        </w:rPr>
        <w:t xml:space="preserve">reasoning </w:t>
      </w:r>
      <w:r w:rsidR="00812BD6">
        <w:rPr>
          <w:rFonts w:ascii="Book Antiqua" w:hAnsi="Book Antiqua" w:cs="Arial"/>
        </w:rPr>
        <w:t xml:space="preserve">of the </w:t>
      </w:r>
      <w:proofErr w:type="spellStart"/>
      <w:r w:rsidR="00812BD6">
        <w:rPr>
          <w:rFonts w:ascii="Book Antiqua" w:hAnsi="Book Antiqua" w:cs="Arial"/>
        </w:rPr>
        <w:t>FtT</w:t>
      </w:r>
      <w:proofErr w:type="spellEnd"/>
      <w:r w:rsidR="00812BD6">
        <w:rPr>
          <w:rFonts w:ascii="Book Antiqua" w:hAnsi="Book Antiqua" w:cs="Arial"/>
        </w:rPr>
        <w:t xml:space="preserve"> in finding that the marriage </w:t>
      </w:r>
      <w:r w:rsidR="006C150B">
        <w:rPr>
          <w:rFonts w:ascii="Book Antiqua" w:hAnsi="Book Antiqua" w:cs="Arial"/>
        </w:rPr>
        <w:t>was one of convenience was inadequate/insufficient.</w:t>
      </w:r>
    </w:p>
    <w:p w:rsidR="006C150B" w:rsidRDefault="006C150B" w:rsidP="00BF23BB">
      <w:pPr>
        <w:tabs>
          <w:tab w:val="left" w:pos="567"/>
        </w:tabs>
        <w:ind w:left="567" w:hanging="567"/>
        <w:jc w:val="both"/>
        <w:rPr>
          <w:rFonts w:ascii="Book Antiqua" w:hAnsi="Book Antiqua" w:cs="Arial"/>
        </w:rPr>
      </w:pPr>
    </w:p>
    <w:p w:rsidR="006C150B" w:rsidRDefault="00322140" w:rsidP="00BF23BB">
      <w:pPr>
        <w:tabs>
          <w:tab w:val="left" w:pos="567"/>
        </w:tabs>
        <w:ind w:left="567" w:hanging="567"/>
        <w:jc w:val="both"/>
        <w:rPr>
          <w:rFonts w:ascii="Book Antiqua" w:hAnsi="Book Antiqua" w:cs="Arial"/>
        </w:rPr>
      </w:pPr>
      <w:r>
        <w:rPr>
          <w:rFonts w:ascii="Book Antiqua" w:hAnsi="Book Antiqua" w:cs="Arial"/>
        </w:rPr>
        <w:t>3</w:t>
      </w:r>
      <w:r w:rsidR="006C150B">
        <w:rPr>
          <w:rFonts w:ascii="Book Antiqua" w:hAnsi="Book Antiqua" w:cs="Arial"/>
        </w:rPr>
        <w:t>.</w:t>
      </w:r>
      <w:r w:rsidR="006C150B">
        <w:rPr>
          <w:rFonts w:ascii="Book Antiqua" w:hAnsi="Book Antiqua" w:cs="Arial"/>
        </w:rPr>
        <w:tab/>
        <w:t xml:space="preserve">The judge who granted </w:t>
      </w:r>
      <w:r>
        <w:rPr>
          <w:rFonts w:ascii="Book Antiqua" w:hAnsi="Book Antiqua" w:cs="Arial"/>
        </w:rPr>
        <w:t>permission</w:t>
      </w:r>
      <w:r w:rsidR="006C150B">
        <w:rPr>
          <w:rFonts w:ascii="Book Antiqua" w:hAnsi="Book Antiqua" w:cs="Arial"/>
        </w:rPr>
        <w:t xml:space="preserve"> for the above grounds to be argued also </w:t>
      </w:r>
      <w:r>
        <w:rPr>
          <w:rFonts w:ascii="Book Antiqua" w:hAnsi="Book Antiqua" w:cs="Arial"/>
        </w:rPr>
        <w:t>identified</w:t>
      </w:r>
      <w:r w:rsidR="006C150B">
        <w:rPr>
          <w:rFonts w:ascii="Book Antiqua" w:hAnsi="Book Antiqua" w:cs="Arial"/>
        </w:rPr>
        <w:t xml:space="preserve"> three other arguable errors: that the judge erred in stating he could only take into accounts facts in existence at the date of decision; in </w:t>
      </w:r>
      <w:r>
        <w:rPr>
          <w:rFonts w:ascii="Book Antiqua" w:hAnsi="Book Antiqua" w:cs="Arial"/>
        </w:rPr>
        <w:t>failing</w:t>
      </w:r>
      <w:r w:rsidR="006C150B">
        <w:rPr>
          <w:rFonts w:ascii="Book Antiqua" w:hAnsi="Book Antiqua" w:cs="Arial"/>
        </w:rPr>
        <w:t xml:space="preserve"> to treat the burden of proving marriage of convenience</w:t>
      </w:r>
      <w:r>
        <w:rPr>
          <w:rFonts w:ascii="Book Antiqua" w:hAnsi="Book Antiqua" w:cs="Arial"/>
        </w:rPr>
        <w:t xml:space="preserve"> </w:t>
      </w:r>
      <w:r w:rsidR="00905BC2">
        <w:rPr>
          <w:rFonts w:ascii="Book Antiqua" w:hAnsi="Book Antiqua" w:cs="Arial"/>
        </w:rPr>
        <w:t>as</w:t>
      </w:r>
      <w:r>
        <w:rPr>
          <w:rFonts w:ascii="Book Antiqua" w:hAnsi="Book Antiqua" w:cs="Arial"/>
        </w:rPr>
        <w:t xml:space="preserve"> rest</w:t>
      </w:r>
      <w:r w:rsidR="00905BC2">
        <w:rPr>
          <w:rFonts w:ascii="Book Antiqua" w:hAnsi="Book Antiqua" w:cs="Arial"/>
        </w:rPr>
        <w:t>ing</w:t>
      </w:r>
      <w:r>
        <w:rPr>
          <w:rFonts w:ascii="Book Antiqua" w:hAnsi="Book Antiqua" w:cs="Arial"/>
        </w:rPr>
        <w:t xml:space="preserve"> on the respondent; </w:t>
      </w:r>
      <w:r w:rsidR="006C150B">
        <w:rPr>
          <w:rFonts w:ascii="Book Antiqua" w:hAnsi="Book Antiqua" w:cs="Arial"/>
        </w:rPr>
        <w:t>and in treating the question of whether the appellant had shown retained rights as being “concluded in the respondent’s decision”.</w:t>
      </w:r>
    </w:p>
    <w:p w:rsidR="006C150B" w:rsidRDefault="006C150B" w:rsidP="00BF23BB">
      <w:pPr>
        <w:tabs>
          <w:tab w:val="left" w:pos="567"/>
        </w:tabs>
        <w:ind w:left="567" w:hanging="567"/>
        <w:jc w:val="both"/>
        <w:rPr>
          <w:rFonts w:ascii="Book Antiqua" w:hAnsi="Book Antiqua" w:cs="Arial"/>
        </w:rPr>
      </w:pPr>
    </w:p>
    <w:p w:rsidR="006C150B" w:rsidRDefault="00322140" w:rsidP="00BF23BB">
      <w:pPr>
        <w:tabs>
          <w:tab w:val="left" w:pos="567"/>
        </w:tabs>
        <w:ind w:left="567" w:hanging="567"/>
        <w:jc w:val="both"/>
        <w:rPr>
          <w:rFonts w:ascii="Book Antiqua" w:hAnsi="Book Antiqua" w:cs="Arial"/>
        </w:rPr>
      </w:pPr>
      <w:r>
        <w:rPr>
          <w:rFonts w:ascii="Book Antiqua" w:hAnsi="Book Antiqua" w:cs="Arial"/>
        </w:rPr>
        <w:t>4</w:t>
      </w:r>
      <w:r w:rsidR="006C150B">
        <w:rPr>
          <w:rFonts w:ascii="Book Antiqua" w:hAnsi="Book Antiqua" w:cs="Arial"/>
        </w:rPr>
        <w:t>.</w:t>
      </w:r>
      <w:r w:rsidR="006C150B">
        <w:rPr>
          <w:rFonts w:ascii="Book Antiqua" w:hAnsi="Book Antiqua" w:cs="Arial"/>
        </w:rPr>
        <w:tab/>
        <w:t xml:space="preserve">Mr Khan’s submissions reiterated the contention that the judge had misapplied the burden of proof and added the point that the judge had </w:t>
      </w:r>
      <w:r>
        <w:rPr>
          <w:rFonts w:ascii="Book Antiqua" w:hAnsi="Book Antiqua" w:cs="Arial"/>
        </w:rPr>
        <w:t>clearly</w:t>
      </w:r>
      <w:r w:rsidR="006C150B">
        <w:rPr>
          <w:rFonts w:ascii="Book Antiqua" w:hAnsi="Book Antiqua" w:cs="Arial"/>
        </w:rPr>
        <w:t xml:space="preserve"> misunderstood the </w:t>
      </w:r>
      <w:r w:rsidR="00905BC2">
        <w:rPr>
          <w:rFonts w:ascii="Book Antiqua" w:hAnsi="Book Antiqua" w:cs="Arial"/>
        </w:rPr>
        <w:t>reasoning</w:t>
      </w:r>
      <w:r w:rsidR="006C150B">
        <w:rPr>
          <w:rFonts w:ascii="Book Antiqua" w:hAnsi="Book Antiqua" w:cs="Arial"/>
        </w:rPr>
        <w:t xml:space="preserve"> of the Supreme Court in </w:t>
      </w:r>
      <w:proofErr w:type="spellStart"/>
      <w:r w:rsidR="006C150B" w:rsidRPr="006C150B">
        <w:rPr>
          <w:rFonts w:ascii="Book Antiqua" w:hAnsi="Book Antiqua" w:cs="Arial"/>
          <w:b/>
          <w:u w:val="single"/>
        </w:rPr>
        <w:t>Sadovska</w:t>
      </w:r>
      <w:proofErr w:type="spellEnd"/>
      <w:r w:rsidR="006C150B" w:rsidRPr="006C150B">
        <w:rPr>
          <w:rFonts w:ascii="Book Antiqua" w:hAnsi="Book Antiqua" w:cs="Arial"/>
          <w:b/>
          <w:u w:val="single"/>
        </w:rPr>
        <w:t xml:space="preserve"> et al v SSHD</w:t>
      </w:r>
      <w:r w:rsidR="006C150B" w:rsidRPr="006C150B">
        <w:rPr>
          <w:rFonts w:ascii="Book Antiqua" w:hAnsi="Book Antiqua" w:cs="Arial"/>
          <w:b/>
        </w:rPr>
        <w:t xml:space="preserve"> [2017] UKSC 54</w:t>
      </w:r>
      <w:r w:rsidR="006C150B">
        <w:rPr>
          <w:rFonts w:ascii="Book Antiqua" w:hAnsi="Book Antiqua" w:cs="Arial"/>
        </w:rPr>
        <w:t xml:space="preserve">, in that the judge wrongly assimilated the appellant’s case to that of Mr Malik (the second appellant in the </w:t>
      </w:r>
      <w:proofErr w:type="spellStart"/>
      <w:r w:rsidR="006C150B" w:rsidRPr="006C150B">
        <w:rPr>
          <w:rFonts w:ascii="Book Antiqua" w:hAnsi="Book Antiqua" w:cs="Arial"/>
          <w:b/>
          <w:u w:val="single"/>
        </w:rPr>
        <w:t>Sadovska</w:t>
      </w:r>
      <w:proofErr w:type="spellEnd"/>
      <w:r w:rsidR="006C150B">
        <w:rPr>
          <w:rFonts w:ascii="Book Antiqua" w:hAnsi="Book Antiqua" w:cs="Arial"/>
        </w:rPr>
        <w:t xml:space="preserve"> case) e</w:t>
      </w:r>
      <w:r w:rsidR="00953E04">
        <w:rPr>
          <w:rFonts w:ascii="Book Antiqua" w:hAnsi="Book Antiqua" w:cs="Arial"/>
        </w:rPr>
        <w:t xml:space="preserve">ven </w:t>
      </w:r>
      <w:r w:rsidR="006C150B">
        <w:rPr>
          <w:rFonts w:ascii="Book Antiqua" w:hAnsi="Book Antiqua" w:cs="Arial"/>
        </w:rPr>
        <w:t xml:space="preserve">though the latter was someone who had not married and so </w:t>
      </w:r>
      <w:r>
        <w:rPr>
          <w:rFonts w:ascii="Book Antiqua" w:hAnsi="Book Antiqua" w:cs="Arial"/>
        </w:rPr>
        <w:t>depended</w:t>
      </w:r>
      <w:r w:rsidR="006C150B">
        <w:rPr>
          <w:rFonts w:ascii="Book Antiqua" w:hAnsi="Book Antiqua" w:cs="Arial"/>
        </w:rPr>
        <w:t xml:space="preserve"> on being able to show he was in a durable relationship with an EEA national.  </w:t>
      </w:r>
    </w:p>
    <w:p w:rsidR="006C150B" w:rsidRDefault="006C150B" w:rsidP="00BF23BB">
      <w:pPr>
        <w:tabs>
          <w:tab w:val="left" w:pos="567"/>
        </w:tabs>
        <w:ind w:left="567" w:hanging="567"/>
        <w:jc w:val="both"/>
        <w:rPr>
          <w:rFonts w:ascii="Book Antiqua" w:hAnsi="Book Antiqua" w:cs="Arial"/>
        </w:rPr>
      </w:pPr>
    </w:p>
    <w:p w:rsidR="006C150B" w:rsidRPr="006C150B" w:rsidRDefault="006C150B" w:rsidP="006C150B">
      <w:pPr>
        <w:tabs>
          <w:tab w:val="left" w:pos="567"/>
        </w:tabs>
        <w:jc w:val="both"/>
        <w:rPr>
          <w:rFonts w:ascii="Book Antiqua" w:hAnsi="Book Antiqua" w:cs="Arial"/>
          <w:b/>
          <w:u w:val="single"/>
        </w:rPr>
      </w:pPr>
      <w:r w:rsidRPr="006C150B">
        <w:rPr>
          <w:rFonts w:ascii="Book Antiqua" w:hAnsi="Book Antiqua" w:cs="Arial"/>
          <w:b/>
          <w:u w:val="single"/>
        </w:rPr>
        <w:t>Analysis</w:t>
      </w:r>
    </w:p>
    <w:p w:rsidR="006C150B" w:rsidRDefault="006C150B" w:rsidP="00BF23BB">
      <w:pPr>
        <w:tabs>
          <w:tab w:val="left" w:pos="567"/>
        </w:tabs>
        <w:ind w:left="567" w:hanging="567"/>
        <w:jc w:val="both"/>
        <w:rPr>
          <w:rFonts w:ascii="Book Antiqua" w:hAnsi="Book Antiqua" w:cs="Arial"/>
        </w:rPr>
      </w:pPr>
    </w:p>
    <w:p w:rsidR="006C150B" w:rsidRDefault="00322140" w:rsidP="00BF23BB">
      <w:pPr>
        <w:tabs>
          <w:tab w:val="left" w:pos="567"/>
        </w:tabs>
        <w:ind w:left="567" w:hanging="567"/>
        <w:jc w:val="both"/>
        <w:rPr>
          <w:rFonts w:ascii="Book Antiqua" w:hAnsi="Book Antiqua" w:cs="Arial"/>
        </w:rPr>
      </w:pPr>
      <w:r>
        <w:rPr>
          <w:rFonts w:ascii="Book Antiqua" w:hAnsi="Book Antiqua" w:cs="Arial"/>
        </w:rPr>
        <w:t>5</w:t>
      </w:r>
      <w:r w:rsidR="006C150B">
        <w:rPr>
          <w:rFonts w:ascii="Book Antiqua" w:hAnsi="Book Antiqua" w:cs="Arial"/>
        </w:rPr>
        <w:t>.</w:t>
      </w:r>
      <w:r w:rsidR="006C150B">
        <w:rPr>
          <w:rFonts w:ascii="Book Antiqua" w:hAnsi="Book Antiqua" w:cs="Arial"/>
        </w:rPr>
        <w:tab/>
        <w:t xml:space="preserve">I would readily accept there are some errors in the judge’s decision.  His self-direction at paragraph 2 that he could only take into </w:t>
      </w:r>
      <w:r>
        <w:rPr>
          <w:rFonts w:ascii="Book Antiqua" w:hAnsi="Book Antiqua" w:cs="Arial"/>
        </w:rPr>
        <w:t>account</w:t>
      </w:r>
      <w:r w:rsidR="006C150B">
        <w:rPr>
          <w:rFonts w:ascii="Book Antiqua" w:hAnsi="Book Antiqua" w:cs="Arial"/>
        </w:rPr>
        <w:t xml:space="preserve"> facts in existence at the date of decision is one, but this error was not material as the appellant’s appeal </w:t>
      </w:r>
      <w:r>
        <w:rPr>
          <w:rFonts w:ascii="Book Antiqua" w:hAnsi="Book Antiqua" w:cs="Arial"/>
        </w:rPr>
        <w:t>depended</w:t>
      </w:r>
      <w:r w:rsidR="006C150B">
        <w:rPr>
          <w:rFonts w:ascii="Book Antiqua" w:hAnsi="Book Antiqua" w:cs="Arial"/>
        </w:rPr>
        <w:t xml:space="preserve"> crucially on historic facts relating to his marriage.  A more serious error concerns the judge’s treatment of the issue of the burden of proof (the focus of the appellant’s third </w:t>
      </w:r>
      <w:r>
        <w:rPr>
          <w:rFonts w:ascii="Book Antiqua" w:hAnsi="Book Antiqua" w:cs="Arial"/>
        </w:rPr>
        <w:t>ground</w:t>
      </w:r>
      <w:r w:rsidR="006C150B">
        <w:rPr>
          <w:rFonts w:ascii="Book Antiqua" w:hAnsi="Book Antiqua" w:cs="Arial"/>
        </w:rPr>
        <w:t xml:space="preserve">).  It is clear from paragraphs 18-19 that the judge fully understood that in relation to proof of a marriage of convenience the burden rested on the respondent (e.g. at paragraph 18 the judge, citing </w:t>
      </w:r>
      <w:proofErr w:type="spellStart"/>
      <w:r w:rsidR="006C150B" w:rsidRPr="00DD52D7">
        <w:rPr>
          <w:rFonts w:ascii="Book Antiqua" w:hAnsi="Book Antiqua" w:cs="Arial"/>
          <w:b/>
          <w:u w:val="single"/>
        </w:rPr>
        <w:t>Sadovska</w:t>
      </w:r>
      <w:proofErr w:type="spellEnd"/>
      <w:r w:rsidR="006C150B">
        <w:rPr>
          <w:rFonts w:ascii="Book Antiqua" w:hAnsi="Book Antiqua" w:cs="Arial"/>
        </w:rPr>
        <w:t xml:space="preserve">, states that “it is for the respondent to prove </w:t>
      </w:r>
      <w:r>
        <w:rPr>
          <w:rFonts w:ascii="Book Antiqua" w:hAnsi="Book Antiqua" w:cs="Arial"/>
        </w:rPr>
        <w:t>that</w:t>
      </w:r>
      <w:r w:rsidR="006C150B">
        <w:rPr>
          <w:rFonts w:ascii="Book Antiqua" w:hAnsi="Book Antiqua" w:cs="Arial"/>
        </w:rPr>
        <w:t xml:space="preserve"> the relationship ... is a ‘marriage of convenience’</w:t>
      </w:r>
      <w:r w:rsidR="00DD52D7">
        <w:rPr>
          <w:rFonts w:ascii="Book Antiqua" w:hAnsi="Book Antiqua" w:cs="Arial"/>
        </w:rPr>
        <w:t xml:space="preserve">”.  Where the judge fell into error was in deciding that because the appellant’s application for retained rights of residence had been refused, this somehow meant that he was in the same position as Mr Malik, one of the two appellants in </w:t>
      </w:r>
      <w:proofErr w:type="spellStart"/>
      <w:r w:rsidR="00BC6A2F" w:rsidRPr="00DD52D7">
        <w:rPr>
          <w:rFonts w:ascii="Book Antiqua" w:hAnsi="Book Antiqua" w:cs="Arial"/>
          <w:b/>
          <w:u w:val="single"/>
        </w:rPr>
        <w:t>Sadovska</w:t>
      </w:r>
      <w:proofErr w:type="spellEnd"/>
      <w:r w:rsidR="00BC6A2F">
        <w:rPr>
          <w:rFonts w:ascii="Book Antiqua" w:hAnsi="Book Antiqua" w:cs="Arial"/>
        </w:rPr>
        <w:t xml:space="preserve"> and</w:t>
      </w:r>
      <w:r w:rsidR="00905BC2">
        <w:rPr>
          <w:rFonts w:ascii="Book Antiqua" w:hAnsi="Book Antiqua" w:cs="Arial"/>
        </w:rPr>
        <w:t xml:space="preserve"> that the issue was therefore</w:t>
      </w:r>
      <w:r w:rsidR="00DD52D7">
        <w:rPr>
          <w:rFonts w:ascii="Book Antiqua" w:hAnsi="Book Antiqua" w:cs="Arial"/>
        </w:rPr>
        <w:t xml:space="preserve"> whether the appellant could show he was in a durable relationship.  That was simply incorrect.  </w:t>
      </w:r>
      <w:r>
        <w:rPr>
          <w:rFonts w:ascii="Book Antiqua" w:hAnsi="Book Antiqua" w:cs="Arial"/>
        </w:rPr>
        <w:t xml:space="preserve">The appellant’s appeal against the respondent’s decision </w:t>
      </w:r>
      <w:r w:rsidR="00881D03">
        <w:rPr>
          <w:rFonts w:ascii="Book Antiqua" w:hAnsi="Book Antiqua" w:cs="Arial"/>
        </w:rPr>
        <w:t xml:space="preserve">that </w:t>
      </w:r>
      <w:r>
        <w:rPr>
          <w:rFonts w:ascii="Book Antiqua" w:hAnsi="Book Antiqua" w:cs="Arial"/>
        </w:rPr>
        <w:t xml:space="preserve">he did not have retained rights was for the judge to determine and for retained rights to arise there had to have been a genuine marriage in the first place and hence the salient issue </w:t>
      </w:r>
      <w:r>
        <w:rPr>
          <w:rFonts w:ascii="Book Antiqua" w:hAnsi="Book Antiqua" w:cs="Arial"/>
        </w:rPr>
        <w:lastRenderedPageBreak/>
        <w:t xml:space="preserve">was whether the appellant had entered into a marriage of convenience and in proving that the burden rested on the respondent.  </w:t>
      </w:r>
      <w:r w:rsidR="00DD52D7">
        <w:rPr>
          <w:rFonts w:ascii="Book Antiqua" w:hAnsi="Book Antiqua" w:cs="Arial"/>
        </w:rPr>
        <w:t xml:space="preserve">The judge would have been right to </w:t>
      </w:r>
      <w:r>
        <w:rPr>
          <w:rFonts w:ascii="Book Antiqua" w:hAnsi="Book Antiqua" w:cs="Arial"/>
        </w:rPr>
        <w:t>treat</w:t>
      </w:r>
      <w:r w:rsidR="00DD52D7">
        <w:rPr>
          <w:rFonts w:ascii="Book Antiqua" w:hAnsi="Book Antiqua" w:cs="Arial"/>
        </w:rPr>
        <w:t xml:space="preserve"> the burden as resting on the appellant if the salient issue had been whether his was a durable relationship, but that was not the issue.</w:t>
      </w:r>
    </w:p>
    <w:p w:rsidR="00DD52D7" w:rsidRDefault="00DD52D7" w:rsidP="00BF23BB">
      <w:pPr>
        <w:tabs>
          <w:tab w:val="left" w:pos="567"/>
        </w:tabs>
        <w:ind w:left="567" w:hanging="567"/>
        <w:jc w:val="both"/>
        <w:rPr>
          <w:rFonts w:ascii="Book Antiqua" w:hAnsi="Book Antiqua" w:cs="Arial"/>
        </w:rPr>
      </w:pPr>
    </w:p>
    <w:p w:rsidR="00DD52D7" w:rsidRDefault="00322140" w:rsidP="00BF23BB">
      <w:pPr>
        <w:tabs>
          <w:tab w:val="left" w:pos="567"/>
        </w:tabs>
        <w:ind w:left="567" w:hanging="567"/>
        <w:jc w:val="both"/>
        <w:rPr>
          <w:rFonts w:ascii="Book Antiqua" w:hAnsi="Book Antiqua" w:cs="Arial"/>
        </w:rPr>
      </w:pPr>
      <w:r>
        <w:rPr>
          <w:rFonts w:ascii="Book Antiqua" w:hAnsi="Book Antiqua" w:cs="Arial"/>
        </w:rPr>
        <w:t>6</w:t>
      </w:r>
      <w:r w:rsidR="00DD52D7">
        <w:rPr>
          <w:rFonts w:ascii="Book Antiqua" w:hAnsi="Book Antiqua" w:cs="Arial"/>
        </w:rPr>
        <w:t>.</w:t>
      </w:r>
      <w:r w:rsidR="00DD52D7">
        <w:rPr>
          <w:rFonts w:ascii="Book Antiqua" w:hAnsi="Book Antiqua" w:cs="Arial"/>
        </w:rPr>
        <w:tab/>
        <w:t>I am unpersuaded, however, that this error on the part of the judge was material.  For one thing the appellant’s marriage had already been found by the respondent t</w:t>
      </w:r>
      <w:r w:rsidR="00905BC2">
        <w:rPr>
          <w:rFonts w:ascii="Book Antiqua" w:hAnsi="Book Antiqua" w:cs="Arial"/>
        </w:rPr>
        <w:t>o be a marriage of convenience i</w:t>
      </w:r>
      <w:r w:rsidR="00DD52D7">
        <w:rPr>
          <w:rFonts w:ascii="Book Antiqua" w:hAnsi="Book Antiqua" w:cs="Arial"/>
        </w:rPr>
        <w:t xml:space="preserve">n two earlier decisions taken in June 2013 and April 2015.  On the first occasion the appellant withdrew his appeal (on 12 December 2013) and on the second occasion the appellant also withdrew his appeal (in June 2016).  Having chosen not to challenge the respondent’s decision on two occasions the appellant could not expect the issue of whether his was a marriage of convenience to be treated as an entirely open-ended one.  The issue had moved on from being one in which </w:t>
      </w:r>
      <w:r>
        <w:rPr>
          <w:rFonts w:ascii="Book Antiqua" w:hAnsi="Book Antiqua" w:cs="Arial"/>
        </w:rPr>
        <w:t>the</w:t>
      </w:r>
      <w:r w:rsidR="00DD52D7">
        <w:rPr>
          <w:rFonts w:ascii="Book Antiqua" w:hAnsi="Book Antiqua" w:cs="Arial"/>
        </w:rPr>
        <w:t xml:space="preserve"> respondent bore the burden of proving that the marriage was one of convenience to the appellant being required </w:t>
      </w:r>
      <w:r w:rsidR="00905BC2">
        <w:rPr>
          <w:rFonts w:ascii="Book Antiqua" w:hAnsi="Book Antiqua" w:cs="Arial"/>
        </w:rPr>
        <w:t xml:space="preserve">to provide </w:t>
      </w:r>
      <w:r w:rsidR="00DD52D7">
        <w:rPr>
          <w:rFonts w:ascii="Book Antiqua" w:hAnsi="Book Antiqua" w:cs="Arial"/>
        </w:rPr>
        <w:t xml:space="preserve">something new to rebut that </w:t>
      </w:r>
      <w:r w:rsidR="00905BC2">
        <w:rPr>
          <w:rFonts w:ascii="Book Antiqua" w:hAnsi="Book Antiqua" w:cs="Arial"/>
        </w:rPr>
        <w:t>assessment</w:t>
      </w:r>
      <w:r w:rsidR="00DD52D7">
        <w:rPr>
          <w:rFonts w:ascii="Book Antiqua" w:hAnsi="Book Antiqua" w:cs="Arial"/>
        </w:rPr>
        <w:t xml:space="preserve">.  </w:t>
      </w:r>
    </w:p>
    <w:p w:rsidR="00DD52D7" w:rsidRDefault="00DD52D7" w:rsidP="00BF23BB">
      <w:pPr>
        <w:tabs>
          <w:tab w:val="left" w:pos="567"/>
        </w:tabs>
        <w:ind w:left="567" w:hanging="567"/>
        <w:jc w:val="both"/>
        <w:rPr>
          <w:rFonts w:ascii="Book Antiqua" w:hAnsi="Book Antiqua" w:cs="Arial"/>
        </w:rPr>
      </w:pPr>
    </w:p>
    <w:p w:rsidR="00DD52D7" w:rsidRDefault="00322140" w:rsidP="00BF23BB">
      <w:pPr>
        <w:tabs>
          <w:tab w:val="left" w:pos="567"/>
        </w:tabs>
        <w:ind w:left="567" w:hanging="567"/>
        <w:jc w:val="both"/>
        <w:rPr>
          <w:rFonts w:ascii="Book Antiqua" w:hAnsi="Book Antiqua" w:cs="Arial"/>
        </w:rPr>
      </w:pPr>
      <w:r>
        <w:rPr>
          <w:rFonts w:ascii="Book Antiqua" w:hAnsi="Book Antiqua" w:cs="Arial"/>
        </w:rPr>
        <w:t>7</w:t>
      </w:r>
      <w:r w:rsidR="00DD52D7">
        <w:rPr>
          <w:rFonts w:ascii="Book Antiqua" w:hAnsi="Book Antiqua" w:cs="Arial"/>
        </w:rPr>
        <w:t>.</w:t>
      </w:r>
      <w:r w:rsidR="00DD52D7">
        <w:rPr>
          <w:rFonts w:ascii="Book Antiqua" w:hAnsi="Book Antiqua" w:cs="Arial"/>
        </w:rPr>
        <w:tab/>
        <w:t xml:space="preserve">In addition, the judge </w:t>
      </w:r>
      <w:r>
        <w:rPr>
          <w:rFonts w:ascii="Book Antiqua" w:hAnsi="Book Antiqua" w:cs="Arial"/>
        </w:rPr>
        <w:t>clearly</w:t>
      </w:r>
      <w:r w:rsidR="00DD52D7">
        <w:rPr>
          <w:rFonts w:ascii="Book Antiqua" w:hAnsi="Book Antiqua" w:cs="Arial"/>
        </w:rPr>
        <w:t xml:space="preserve"> gave very careful consideration to the appellant’s efforts to rebut the respondent’s </w:t>
      </w:r>
      <w:r w:rsidR="00905BC2">
        <w:rPr>
          <w:rFonts w:ascii="Book Antiqua" w:hAnsi="Book Antiqua" w:cs="Arial"/>
        </w:rPr>
        <w:t>assessment</w:t>
      </w:r>
      <w:r w:rsidR="00DD52D7">
        <w:rPr>
          <w:rFonts w:ascii="Book Antiqua" w:hAnsi="Book Antiqua" w:cs="Arial"/>
        </w:rPr>
        <w:t xml:space="preserve"> and was fully entitled to find them wanting.  At paragraph 23 the judge stated:</w:t>
      </w:r>
    </w:p>
    <w:p w:rsidR="00DD52D7" w:rsidRDefault="00DD52D7" w:rsidP="00BF23BB">
      <w:pPr>
        <w:tabs>
          <w:tab w:val="left" w:pos="567"/>
        </w:tabs>
        <w:ind w:left="567" w:hanging="567"/>
        <w:jc w:val="both"/>
        <w:rPr>
          <w:rFonts w:ascii="Book Antiqua" w:hAnsi="Book Antiqua" w:cs="Arial"/>
        </w:rPr>
      </w:pPr>
    </w:p>
    <w:p w:rsidR="00DD52D7" w:rsidRDefault="00DC679C" w:rsidP="00DC679C">
      <w:pPr>
        <w:ind w:left="1134"/>
        <w:jc w:val="both"/>
        <w:rPr>
          <w:rFonts w:ascii="Book Antiqua" w:hAnsi="Book Antiqua" w:cs="Arial"/>
        </w:rPr>
      </w:pPr>
      <w:r>
        <w:rPr>
          <w:rFonts w:ascii="Book Antiqua" w:hAnsi="Book Antiqua" w:cs="Arial"/>
        </w:rPr>
        <w:t xml:space="preserve">“Is the fact that the appellant and Ms </w:t>
      </w:r>
      <w:proofErr w:type="spellStart"/>
      <w:r>
        <w:rPr>
          <w:rFonts w:ascii="Book Antiqua" w:hAnsi="Book Antiqua" w:cs="Arial"/>
        </w:rPr>
        <w:t>Kolompar</w:t>
      </w:r>
      <w:proofErr w:type="spellEnd"/>
      <w:r>
        <w:rPr>
          <w:rFonts w:ascii="Book Antiqua" w:hAnsi="Book Antiqua" w:cs="Arial"/>
        </w:rPr>
        <w:t xml:space="preserve"> lived in the same house for approximately three years sufficient on its own to establish the existence of a durable relationship of the type I have described between them?  Not in my judgment, since I have very significant reservations about the credibility and reliability of the appellant’s evidence.  These arise from the fact that he and Ms </w:t>
      </w:r>
      <w:proofErr w:type="spellStart"/>
      <w:r>
        <w:rPr>
          <w:rFonts w:ascii="Book Antiqua" w:hAnsi="Book Antiqua" w:cs="Arial"/>
        </w:rPr>
        <w:t>Kolompar</w:t>
      </w:r>
      <w:proofErr w:type="spellEnd"/>
      <w:r>
        <w:rPr>
          <w:rFonts w:ascii="Book Antiqua" w:hAnsi="Book Antiqua" w:cs="Arial"/>
        </w:rPr>
        <w:t xml:space="preserve"> failed to attend Home Office marriage interviews, which the appellant’s solicitors had confirmed that they would, on two separate occasions in 2013 and 2015, and also that the appellant has </w:t>
      </w:r>
      <w:r w:rsidR="00322140">
        <w:rPr>
          <w:rFonts w:ascii="Book Antiqua" w:hAnsi="Book Antiqua" w:cs="Arial"/>
        </w:rPr>
        <w:t>failed</w:t>
      </w:r>
      <w:r>
        <w:rPr>
          <w:rFonts w:ascii="Book Antiqua" w:hAnsi="Book Antiqua" w:cs="Arial"/>
        </w:rPr>
        <w:t xml:space="preserve"> to produce any objective evidence </w:t>
      </w:r>
      <w:r w:rsidR="009D47A2">
        <w:rPr>
          <w:rFonts w:ascii="Book Antiqua" w:hAnsi="Book Antiqua" w:cs="Arial"/>
        </w:rPr>
        <w:t xml:space="preserve">to support the alleged reasons for their failure to do so.  In relation to all those failings, I bear very much in mind that the appellant is an educated individual, and in fact a qualified lawyer, who has made repeated applications to remain in the UK based upon his relationship with Ms </w:t>
      </w:r>
      <w:proofErr w:type="spellStart"/>
      <w:r w:rsidR="009D47A2">
        <w:rPr>
          <w:rFonts w:ascii="Book Antiqua" w:hAnsi="Book Antiqua" w:cs="Arial"/>
        </w:rPr>
        <w:t>Kolompar</w:t>
      </w:r>
      <w:proofErr w:type="spellEnd"/>
      <w:r w:rsidR="009D47A2">
        <w:rPr>
          <w:rFonts w:ascii="Book Antiqua" w:hAnsi="Book Antiqua" w:cs="Arial"/>
        </w:rPr>
        <w:t xml:space="preserve">.  As such, it seems to me that the appellant must have appreciated both the reason for and the significance of those interviews, and the very great importance of his being able to provide objective confirmation of the reasons why they were unable to attend either interview, if </w:t>
      </w:r>
      <w:r w:rsidR="00322140">
        <w:rPr>
          <w:rFonts w:ascii="Book Antiqua" w:hAnsi="Book Antiqua" w:cs="Arial"/>
        </w:rPr>
        <w:t>those</w:t>
      </w:r>
      <w:r w:rsidR="009D47A2">
        <w:rPr>
          <w:rFonts w:ascii="Book Antiqua" w:hAnsi="Book Antiqua" w:cs="Arial"/>
        </w:rPr>
        <w:t xml:space="preserve"> reasons were as he asserts.  Yet no such evidence, or anything like it, has been produced.  </w:t>
      </w:r>
      <w:r w:rsidR="00322140">
        <w:rPr>
          <w:rFonts w:ascii="Book Antiqua" w:hAnsi="Book Antiqua" w:cs="Arial"/>
        </w:rPr>
        <w:t xml:space="preserve">I also bear in mind what I find to be the appellant’s unsatisfactory answers as to why he did not contact the Home Office and could not be contacted on the day of the second interview, and of his failure to notify the Home Office of the alleged reasons for non-attendance thereafter.  </w:t>
      </w:r>
      <w:r w:rsidR="009D47A2">
        <w:rPr>
          <w:rFonts w:ascii="Book Antiqua" w:hAnsi="Book Antiqua" w:cs="Arial"/>
        </w:rPr>
        <w:t xml:space="preserve">I find it to be significant that the appellant’s witness statement completely fails to even mention the missed interview in March 2015; that there is an important and unresolved conflict between his witness statement and what he told the Tribunal about the date when he and Ms </w:t>
      </w:r>
      <w:proofErr w:type="spellStart"/>
      <w:r w:rsidR="009D47A2">
        <w:rPr>
          <w:rFonts w:ascii="Book Antiqua" w:hAnsi="Book Antiqua" w:cs="Arial"/>
        </w:rPr>
        <w:t>Kolompar</w:t>
      </w:r>
      <w:proofErr w:type="spellEnd"/>
      <w:r w:rsidR="009D47A2">
        <w:rPr>
          <w:rFonts w:ascii="Book Antiqua" w:hAnsi="Book Antiqua" w:cs="Arial"/>
        </w:rPr>
        <w:t xml:space="preserve"> started living in the same house; and that there are what I find to be misleading statements about why at least one earlier appeal from the respondent’s refusal to grant a residence card was </w:t>
      </w:r>
      <w:r w:rsidR="009D47A2">
        <w:rPr>
          <w:rFonts w:ascii="Book Antiqua" w:hAnsi="Book Antiqua" w:cs="Arial"/>
        </w:rPr>
        <w:lastRenderedPageBreak/>
        <w:t xml:space="preserve">withdrawn.  Whilst the immigration history is not straightforward, and I accept that there is evidence that the appellant’s 2015 appeal was indeed withdrawn in June 2016, it is clear form the first refusal letter of 15 April 2015 that on 12 December 2013 the </w:t>
      </w:r>
      <w:r>
        <w:rPr>
          <w:rFonts w:ascii="Book Antiqua" w:hAnsi="Book Antiqua" w:cs="Arial"/>
        </w:rPr>
        <w:t xml:space="preserve">appellant withdrew his appeal against the respondent’s refusal in June that year to grant him a residence card based upon his marriage.  At that time, as his later application confirms, the appellant and Ms </w:t>
      </w:r>
      <w:proofErr w:type="spellStart"/>
      <w:r>
        <w:rPr>
          <w:rFonts w:ascii="Book Antiqua" w:hAnsi="Book Antiqua" w:cs="Arial"/>
        </w:rPr>
        <w:t>Kolompar</w:t>
      </w:r>
      <w:proofErr w:type="spellEnd"/>
      <w:r>
        <w:rPr>
          <w:rFonts w:ascii="Book Antiqua" w:hAnsi="Book Antiqua" w:cs="Arial"/>
        </w:rPr>
        <w:t xml:space="preserve"> were only recently married and living together in reasonable amity, so it is very difficult to see why the appeal would have been withdrawn, if what the appellant says is true.”</w:t>
      </w:r>
    </w:p>
    <w:p w:rsidR="00DD52D7" w:rsidRDefault="00DD52D7" w:rsidP="00BF23BB">
      <w:pPr>
        <w:tabs>
          <w:tab w:val="left" w:pos="567"/>
        </w:tabs>
        <w:ind w:left="567" w:hanging="567"/>
        <w:jc w:val="both"/>
        <w:rPr>
          <w:rFonts w:ascii="Book Antiqua" w:hAnsi="Book Antiqua" w:cs="Arial"/>
        </w:rPr>
      </w:pPr>
    </w:p>
    <w:p w:rsidR="00DC679C" w:rsidRDefault="00322140" w:rsidP="00BF23BB">
      <w:pPr>
        <w:tabs>
          <w:tab w:val="left" w:pos="567"/>
        </w:tabs>
        <w:ind w:left="567" w:hanging="567"/>
        <w:jc w:val="both"/>
        <w:rPr>
          <w:rFonts w:ascii="Book Antiqua" w:hAnsi="Book Antiqua" w:cs="Arial"/>
        </w:rPr>
      </w:pPr>
      <w:r>
        <w:rPr>
          <w:rFonts w:ascii="Book Antiqua" w:hAnsi="Book Antiqua" w:cs="Arial"/>
        </w:rPr>
        <w:t>8</w:t>
      </w:r>
      <w:r w:rsidR="00DD52D7">
        <w:rPr>
          <w:rFonts w:ascii="Book Antiqua" w:hAnsi="Book Antiqua" w:cs="Arial"/>
        </w:rPr>
        <w:t>.</w:t>
      </w:r>
      <w:r w:rsidR="00DD52D7">
        <w:rPr>
          <w:rFonts w:ascii="Book Antiqua" w:hAnsi="Book Antiqua" w:cs="Arial"/>
        </w:rPr>
        <w:tab/>
      </w:r>
      <w:r w:rsidR="00DC679C">
        <w:rPr>
          <w:rFonts w:ascii="Book Antiqua" w:hAnsi="Book Antiqua" w:cs="Arial"/>
        </w:rPr>
        <w:t xml:space="preserve">It must also be </w:t>
      </w:r>
      <w:r>
        <w:rPr>
          <w:rFonts w:ascii="Book Antiqua" w:hAnsi="Book Antiqua" w:cs="Arial"/>
        </w:rPr>
        <w:t>recalled</w:t>
      </w:r>
      <w:r w:rsidR="00DC679C">
        <w:rPr>
          <w:rFonts w:ascii="Book Antiqua" w:hAnsi="Book Antiqua" w:cs="Arial"/>
        </w:rPr>
        <w:t xml:space="preserve"> that the judge found at paragraph 22 that there was insufficient evidence in the form of photographs, phone record, e-mails or other correspondence to establish the relationship was genuine (see paragraph 22).</w:t>
      </w:r>
    </w:p>
    <w:p w:rsidR="00DC679C" w:rsidRDefault="00DC679C" w:rsidP="00BF23BB">
      <w:pPr>
        <w:tabs>
          <w:tab w:val="left" w:pos="567"/>
        </w:tabs>
        <w:ind w:left="567" w:hanging="567"/>
        <w:jc w:val="both"/>
        <w:rPr>
          <w:rFonts w:ascii="Book Antiqua" w:hAnsi="Book Antiqua" w:cs="Arial"/>
        </w:rPr>
      </w:pPr>
    </w:p>
    <w:p w:rsidR="00DD52D7" w:rsidRDefault="00322140" w:rsidP="00BF23BB">
      <w:pPr>
        <w:tabs>
          <w:tab w:val="left" w:pos="567"/>
        </w:tabs>
        <w:ind w:left="567" w:hanging="567"/>
        <w:jc w:val="both"/>
        <w:rPr>
          <w:rFonts w:ascii="Book Antiqua" w:hAnsi="Book Antiqua" w:cs="Arial"/>
        </w:rPr>
      </w:pPr>
      <w:r>
        <w:rPr>
          <w:rFonts w:ascii="Book Antiqua" w:hAnsi="Book Antiqua" w:cs="Arial"/>
        </w:rPr>
        <w:t>9</w:t>
      </w:r>
      <w:r w:rsidR="00DC679C">
        <w:rPr>
          <w:rFonts w:ascii="Book Antiqua" w:hAnsi="Book Antiqua" w:cs="Arial"/>
        </w:rPr>
        <w:t>.</w:t>
      </w:r>
      <w:r w:rsidR="00DC679C">
        <w:rPr>
          <w:rFonts w:ascii="Book Antiqua" w:hAnsi="Book Antiqua" w:cs="Arial"/>
        </w:rPr>
        <w:tab/>
      </w:r>
      <w:r w:rsidR="00DD52D7">
        <w:rPr>
          <w:rFonts w:ascii="Book Antiqua" w:hAnsi="Book Antiqua" w:cs="Arial"/>
        </w:rPr>
        <w:t>For another thing, even though the judge himself focused on whether the couple had had a durable relationship, his assessment also encompassed the question of whether their marriage had been entered into for convenience</w:t>
      </w:r>
      <w:r w:rsidR="00905BC2">
        <w:rPr>
          <w:rFonts w:ascii="Book Antiqua" w:hAnsi="Book Antiqua" w:cs="Arial"/>
        </w:rPr>
        <w:t xml:space="preserve"> and that assessment did not depend for its efficacy on anything to do with the burden of proof</w:t>
      </w:r>
      <w:r w:rsidR="00DD52D7">
        <w:rPr>
          <w:rFonts w:ascii="Book Antiqua" w:hAnsi="Book Antiqua" w:cs="Arial"/>
        </w:rPr>
        <w:t xml:space="preserve">.  That is </w:t>
      </w:r>
      <w:r>
        <w:rPr>
          <w:rFonts w:ascii="Book Antiqua" w:hAnsi="Book Antiqua" w:cs="Arial"/>
        </w:rPr>
        <w:t>made</w:t>
      </w:r>
      <w:r w:rsidR="00DD52D7">
        <w:rPr>
          <w:rFonts w:ascii="Book Antiqua" w:hAnsi="Book Antiqua" w:cs="Arial"/>
        </w:rPr>
        <w:t xml:space="preserve"> clear by the judge’s summary of his conclusions at paragraph 24:</w:t>
      </w:r>
    </w:p>
    <w:p w:rsidR="00DD52D7" w:rsidRDefault="00DD52D7" w:rsidP="00BF23BB">
      <w:pPr>
        <w:tabs>
          <w:tab w:val="left" w:pos="567"/>
        </w:tabs>
        <w:ind w:left="567" w:hanging="567"/>
        <w:jc w:val="both"/>
        <w:rPr>
          <w:rFonts w:ascii="Book Antiqua" w:hAnsi="Book Antiqua" w:cs="Arial"/>
        </w:rPr>
      </w:pPr>
    </w:p>
    <w:p w:rsidR="00DD52D7" w:rsidRDefault="00DC679C" w:rsidP="00DC679C">
      <w:pPr>
        <w:ind w:left="1134" w:hanging="1134"/>
        <w:jc w:val="both"/>
        <w:rPr>
          <w:rFonts w:ascii="Book Antiqua" w:hAnsi="Book Antiqua" w:cs="Arial"/>
        </w:rPr>
      </w:pPr>
      <w:r>
        <w:rPr>
          <w:rFonts w:ascii="Book Antiqua" w:hAnsi="Book Antiqua" w:cs="Arial"/>
        </w:rPr>
        <w:tab/>
        <w:t>“All these matters lead me to conclude that th</w:t>
      </w:r>
      <w:r w:rsidR="0070795D">
        <w:rPr>
          <w:rFonts w:ascii="Book Antiqua" w:hAnsi="Book Antiqua" w:cs="Arial"/>
        </w:rPr>
        <w:t>e</w:t>
      </w:r>
      <w:r>
        <w:rPr>
          <w:rFonts w:ascii="Book Antiqua" w:hAnsi="Book Antiqua" w:cs="Arial"/>
        </w:rPr>
        <w:t xml:space="preserve"> appellant </w:t>
      </w:r>
      <w:r w:rsidR="0070795D">
        <w:rPr>
          <w:rFonts w:ascii="Book Antiqua" w:hAnsi="Book Antiqua" w:cs="Arial"/>
        </w:rPr>
        <w:t>w</w:t>
      </w:r>
      <w:r>
        <w:rPr>
          <w:rFonts w:ascii="Book Antiqua" w:hAnsi="Book Antiqua" w:cs="Arial"/>
        </w:rPr>
        <w:t xml:space="preserve">as not a truthful or reliable witness, and that the core of his </w:t>
      </w:r>
      <w:r w:rsidR="00322140">
        <w:rPr>
          <w:rFonts w:ascii="Book Antiqua" w:hAnsi="Book Antiqua" w:cs="Arial"/>
        </w:rPr>
        <w:t>account</w:t>
      </w:r>
      <w:r>
        <w:rPr>
          <w:rFonts w:ascii="Book Antiqua" w:hAnsi="Book Antiqua" w:cs="Arial"/>
        </w:rPr>
        <w:t xml:space="preserve">, namely that his marriage to Ms </w:t>
      </w:r>
      <w:proofErr w:type="spellStart"/>
      <w:r>
        <w:rPr>
          <w:rFonts w:ascii="Book Antiqua" w:hAnsi="Book Antiqua" w:cs="Arial"/>
        </w:rPr>
        <w:t>Kolompar</w:t>
      </w:r>
      <w:proofErr w:type="spellEnd"/>
      <w:r>
        <w:rPr>
          <w:rFonts w:ascii="Book Antiqua" w:hAnsi="Book Antiqua" w:cs="Arial"/>
        </w:rPr>
        <w:t xml:space="preserve"> was a genuine relationship followed by their separation and divorce due to irreconcilable differences, is a fabrication.  I do not accept that the appellant has produced evidence of a ‘durable relationship’ with Ms </w:t>
      </w:r>
      <w:proofErr w:type="spellStart"/>
      <w:r>
        <w:rPr>
          <w:rFonts w:ascii="Book Antiqua" w:hAnsi="Book Antiqua" w:cs="Arial"/>
        </w:rPr>
        <w:t>Kolompar</w:t>
      </w:r>
      <w:proofErr w:type="spellEnd"/>
      <w:r>
        <w:rPr>
          <w:rFonts w:ascii="Book Antiqua" w:hAnsi="Book Antiqua" w:cs="Arial"/>
        </w:rPr>
        <w:t xml:space="preserve">; or, to the limited extent to which he may be said to have done so by virtue of their living in the same house for three years, I find that the respondent has shown or established that it was not such a relationship.  In my judgment and on the basis of the evidence I heard and read, the predominant purpose of the appellant’s marriage to Ms </w:t>
      </w:r>
      <w:proofErr w:type="spellStart"/>
      <w:r>
        <w:rPr>
          <w:rFonts w:ascii="Book Antiqua" w:hAnsi="Book Antiqua" w:cs="Arial"/>
        </w:rPr>
        <w:t>Kolompar</w:t>
      </w:r>
      <w:proofErr w:type="spellEnd"/>
      <w:r>
        <w:rPr>
          <w:rFonts w:ascii="Book Antiqua" w:hAnsi="Book Antiqua" w:cs="Arial"/>
        </w:rPr>
        <w:t xml:space="preserve"> was to gain a right of residence in the UK; and as such it was a marriage of convenience.  The appellant does not satisfy Regulations 2 or 10(5) of the 2016 Regulations and is not entitled to a permanent residence card as confirmation of a retained right to reside in the United Kingdom, and I dismiss this appeal.”</w:t>
      </w:r>
    </w:p>
    <w:p w:rsidR="00DD52D7" w:rsidRDefault="00DD52D7" w:rsidP="00BF23BB">
      <w:pPr>
        <w:tabs>
          <w:tab w:val="left" w:pos="567"/>
        </w:tabs>
        <w:ind w:left="567" w:hanging="567"/>
        <w:jc w:val="both"/>
        <w:rPr>
          <w:rFonts w:ascii="Book Antiqua" w:hAnsi="Book Antiqua" w:cs="Arial"/>
        </w:rPr>
      </w:pPr>
    </w:p>
    <w:p w:rsidR="00DD52D7" w:rsidRDefault="00322140" w:rsidP="00BF23BB">
      <w:pPr>
        <w:tabs>
          <w:tab w:val="left" w:pos="567"/>
        </w:tabs>
        <w:ind w:left="567" w:hanging="567"/>
        <w:jc w:val="both"/>
        <w:rPr>
          <w:rFonts w:ascii="Book Antiqua" w:hAnsi="Book Antiqua" w:cs="Arial"/>
        </w:rPr>
      </w:pPr>
      <w:r>
        <w:rPr>
          <w:rFonts w:ascii="Book Antiqua" w:hAnsi="Book Antiqua" w:cs="Arial"/>
        </w:rPr>
        <w:t>10</w:t>
      </w:r>
      <w:r w:rsidR="00DD52D7">
        <w:rPr>
          <w:rFonts w:ascii="Book Antiqua" w:hAnsi="Book Antiqua" w:cs="Arial"/>
        </w:rPr>
        <w:t>.</w:t>
      </w:r>
      <w:r w:rsidR="00DD52D7">
        <w:rPr>
          <w:rFonts w:ascii="Book Antiqua" w:hAnsi="Book Antiqua" w:cs="Arial"/>
        </w:rPr>
        <w:tab/>
      </w:r>
      <w:r w:rsidR="00AD11DC">
        <w:rPr>
          <w:rFonts w:ascii="Book Antiqua" w:hAnsi="Book Antiqua" w:cs="Arial"/>
        </w:rPr>
        <w:t xml:space="preserve">Mr Khan sought to argue that the appellant’s explanation for withdrawing his appeal – because he had </w:t>
      </w:r>
      <w:r>
        <w:rPr>
          <w:rFonts w:ascii="Book Antiqua" w:hAnsi="Book Antiqua" w:cs="Arial"/>
        </w:rPr>
        <w:t>already</w:t>
      </w:r>
      <w:r w:rsidR="00AD11DC">
        <w:rPr>
          <w:rFonts w:ascii="Book Antiqua" w:hAnsi="Book Antiqua" w:cs="Arial"/>
        </w:rPr>
        <w:t xml:space="preserve"> separated from his wife </w:t>
      </w:r>
      <w:r w:rsidR="00905BC2">
        <w:rPr>
          <w:rFonts w:ascii="Book Antiqua" w:hAnsi="Book Antiqua" w:cs="Arial"/>
        </w:rPr>
        <w:t xml:space="preserve">- </w:t>
      </w:r>
      <w:r w:rsidR="00AD11DC">
        <w:rPr>
          <w:rFonts w:ascii="Book Antiqua" w:hAnsi="Book Antiqua" w:cs="Arial"/>
        </w:rPr>
        <w:t xml:space="preserve">was a satisfactory one, </w:t>
      </w:r>
      <w:r w:rsidR="00905BC2">
        <w:rPr>
          <w:rFonts w:ascii="Book Antiqua" w:hAnsi="Book Antiqua" w:cs="Arial"/>
        </w:rPr>
        <w:t>but</w:t>
      </w:r>
      <w:r w:rsidR="00AD11DC">
        <w:rPr>
          <w:rFonts w:ascii="Book Antiqua" w:hAnsi="Book Antiqua" w:cs="Arial"/>
        </w:rPr>
        <w:t xml:space="preserve"> at the relevant time the couple were only </w:t>
      </w:r>
      <w:r>
        <w:rPr>
          <w:rFonts w:ascii="Book Antiqua" w:hAnsi="Book Antiqua" w:cs="Arial"/>
        </w:rPr>
        <w:t>recently</w:t>
      </w:r>
      <w:r w:rsidR="00AD11DC">
        <w:rPr>
          <w:rFonts w:ascii="Book Antiqua" w:hAnsi="Book Antiqua" w:cs="Arial"/>
        </w:rPr>
        <w:t xml:space="preserve"> married and were said </w:t>
      </w:r>
      <w:r>
        <w:rPr>
          <w:rFonts w:ascii="Book Antiqua" w:hAnsi="Book Antiqua" w:cs="Arial"/>
        </w:rPr>
        <w:t>to have</w:t>
      </w:r>
      <w:r w:rsidR="00AD11DC">
        <w:rPr>
          <w:rFonts w:ascii="Book Antiqua" w:hAnsi="Book Antiqua" w:cs="Arial"/>
        </w:rPr>
        <w:t xml:space="preserve"> been living together harmoniously (paragraph 23).</w:t>
      </w:r>
    </w:p>
    <w:p w:rsidR="00AD11DC" w:rsidRDefault="00AD11DC" w:rsidP="00BF23BB">
      <w:pPr>
        <w:tabs>
          <w:tab w:val="left" w:pos="567"/>
        </w:tabs>
        <w:ind w:left="567" w:hanging="567"/>
        <w:jc w:val="both"/>
        <w:rPr>
          <w:rFonts w:ascii="Book Antiqua" w:hAnsi="Book Antiqua" w:cs="Arial"/>
        </w:rPr>
      </w:pPr>
    </w:p>
    <w:p w:rsidR="00AD11DC" w:rsidRDefault="00322140" w:rsidP="00BF23BB">
      <w:pPr>
        <w:tabs>
          <w:tab w:val="left" w:pos="567"/>
        </w:tabs>
        <w:ind w:left="567" w:hanging="567"/>
        <w:jc w:val="both"/>
        <w:rPr>
          <w:rFonts w:ascii="Book Antiqua" w:hAnsi="Book Antiqua" w:cs="Arial"/>
        </w:rPr>
      </w:pPr>
      <w:r>
        <w:rPr>
          <w:rFonts w:ascii="Book Antiqua" w:hAnsi="Book Antiqua" w:cs="Arial"/>
        </w:rPr>
        <w:t>11</w:t>
      </w:r>
      <w:r w:rsidR="00AD11DC">
        <w:rPr>
          <w:rFonts w:ascii="Book Antiqua" w:hAnsi="Book Antiqua" w:cs="Arial"/>
        </w:rPr>
        <w:t>.</w:t>
      </w:r>
      <w:r w:rsidR="00AD11DC">
        <w:rPr>
          <w:rFonts w:ascii="Book Antiqua" w:hAnsi="Book Antiqua" w:cs="Arial"/>
        </w:rPr>
        <w:tab/>
        <w:t>I have yet to address the appellant</w:t>
      </w:r>
      <w:r w:rsidR="005051BB">
        <w:rPr>
          <w:rFonts w:ascii="Book Antiqua" w:hAnsi="Book Antiqua" w:cs="Arial"/>
        </w:rPr>
        <w:t>’s second ground</w:t>
      </w:r>
      <w:r w:rsidR="00AD11DC">
        <w:rPr>
          <w:rFonts w:ascii="Book Antiqua" w:hAnsi="Book Antiqua" w:cs="Arial"/>
        </w:rPr>
        <w:t xml:space="preserve"> which contends that the </w:t>
      </w:r>
      <w:r w:rsidR="005051BB">
        <w:rPr>
          <w:rFonts w:ascii="Book Antiqua" w:hAnsi="Book Antiqua" w:cs="Arial"/>
        </w:rPr>
        <w:t xml:space="preserve">judge failed to ascribe appropriate weight to the evidence before the Tribunal.  This </w:t>
      </w:r>
      <w:r>
        <w:rPr>
          <w:rFonts w:ascii="Book Antiqua" w:hAnsi="Book Antiqua" w:cs="Arial"/>
        </w:rPr>
        <w:t>ground</w:t>
      </w:r>
      <w:r w:rsidR="005051BB">
        <w:rPr>
          <w:rFonts w:ascii="Book Antiqua" w:hAnsi="Book Antiqua" w:cs="Arial"/>
        </w:rPr>
        <w:t xml:space="preserve"> considers that what the judge </w:t>
      </w:r>
      <w:r>
        <w:rPr>
          <w:rFonts w:ascii="Book Antiqua" w:hAnsi="Book Antiqua" w:cs="Arial"/>
        </w:rPr>
        <w:t>effectively</w:t>
      </w:r>
      <w:r w:rsidR="005051BB">
        <w:rPr>
          <w:rFonts w:ascii="Book Antiqua" w:hAnsi="Book Antiqua" w:cs="Arial"/>
        </w:rPr>
        <w:t xml:space="preserve"> did was “merely endorse” the respondent’s reasons for finding the marriage one of </w:t>
      </w:r>
      <w:r>
        <w:rPr>
          <w:rFonts w:ascii="Book Antiqua" w:hAnsi="Book Antiqua" w:cs="Arial"/>
        </w:rPr>
        <w:t>convenience</w:t>
      </w:r>
      <w:r w:rsidR="005051BB">
        <w:rPr>
          <w:rFonts w:ascii="Book Antiqua" w:hAnsi="Book Antiqua" w:cs="Arial"/>
        </w:rPr>
        <w:t xml:space="preserve"> (this was much the same point noted by the judge in granting permission</w:t>
      </w:r>
      <w:r w:rsidR="00905BC2">
        <w:rPr>
          <w:rFonts w:ascii="Book Antiqua" w:hAnsi="Book Antiqua" w:cs="Arial"/>
        </w:rPr>
        <w:t xml:space="preserve"> -</w:t>
      </w:r>
      <w:r w:rsidR="005051BB">
        <w:rPr>
          <w:rFonts w:ascii="Book Antiqua" w:hAnsi="Book Antiqua" w:cs="Arial"/>
        </w:rPr>
        <w:t xml:space="preserve">that the decision appeared to disclose an </w:t>
      </w:r>
      <w:r w:rsidR="005051BB">
        <w:rPr>
          <w:rFonts w:ascii="Book Antiqua" w:hAnsi="Book Antiqua" w:cs="Arial"/>
        </w:rPr>
        <w:lastRenderedPageBreak/>
        <w:t>arguable error of treating the question of whether the appellant had shown retained rights as “concluded” in the respondent’s decision</w:t>
      </w:r>
      <w:r w:rsidR="00905BC2">
        <w:rPr>
          <w:rFonts w:ascii="Book Antiqua" w:hAnsi="Book Antiqua" w:cs="Arial"/>
        </w:rPr>
        <w:t>)</w:t>
      </w:r>
      <w:r w:rsidR="005051BB">
        <w:rPr>
          <w:rFonts w:ascii="Book Antiqua" w:hAnsi="Book Antiqua" w:cs="Arial"/>
        </w:rPr>
        <w:t>.</w:t>
      </w:r>
    </w:p>
    <w:p w:rsidR="005051BB" w:rsidRDefault="005051BB" w:rsidP="00BF23BB">
      <w:pPr>
        <w:tabs>
          <w:tab w:val="left" w:pos="567"/>
        </w:tabs>
        <w:ind w:left="567" w:hanging="567"/>
        <w:jc w:val="both"/>
        <w:rPr>
          <w:rFonts w:ascii="Book Antiqua" w:hAnsi="Book Antiqua" w:cs="Arial"/>
        </w:rPr>
      </w:pPr>
    </w:p>
    <w:p w:rsidR="00C15985" w:rsidRDefault="00322140" w:rsidP="00BF23BB">
      <w:pPr>
        <w:tabs>
          <w:tab w:val="left" w:pos="567"/>
        </w:tabs>
        <w:ind w:left="567" w:hanging="567"/>
        <w:jc w:val="both"/>
        <w:rPr>
          <w:rFonts w:ascii="Book Antiqua" w:hAnsi="Book Antiqua" w:cs="Arial"/>
        </w:rPr>
      </w:pPr>
      <w:r>
        <w:rPr>
          <w:rFonts w:ascii="Book Antiqua" w:hAnsi="Book Antiqua" w:cs="Arial"/>
        </w:rPr>
        <w:t>12</w:t>
      </w:r>
      <w:r w:rsidR="005051BB">
        <w:rPr>
          <w:rFonts w:ascii="Book Antiqua" w:hAnsi="Book Antiqua" w:cs="Arial"/>
        </w:rPr>
        <w:t>.</w:t>
      </w:r>
      <w:r w:rsidR="005051BB">
        <w:rPr>
          <w:rFonts w:ascii="Book Antiqua" w:hAnsi="Book Antiqua" w:cs="Arial"/>
        </w:rPr>
        <w:tab/>
        <w:t>The reason why I find no force in this ground is the evident contrast between the respondent’s reasons for refusing the appellant’s application and the judge’s reasons for dismissing the appeal.  The essential reason why the respondent refused the appellant’s application was that</w:t>
      </w:r>
      <w:r w:rsidR="00C15985">
        <w:rPr>
          <w:rFonts w:ascii="Book Antiqua" w:hAnsi="Book Antiqua" w:cs="Arial"/>
        </w:rPr>
        <w:t xml:space="preserve">: </w:t>
      </w:r>
    </w:p>
    <w:p w:rsidR="00C15985" w:rsidRDefault="00C15985" w:rsidP="00BF23BB">
      <w:pPr>
        <w:tabs>
          <w:tab w:val="left" w:pos="567"/>
        </w:tabs>
        <w:ind w:left="567" w:hanging="567"/>
        <w:jc w:val="both"/>
        <w:rPr>
          <w:rFonts w:ascii="Book Antiqua" w:hAnsi="Book Antiqua" w:cs="Arial"/>
        </w:rPr>
      </w:pPr>
    </w:p>
    <w:p w:rsidR="00C15985" w:rsidRDefault="00C15985" w:rsidP="00C15985">
      <w:pPr>
        <w:ind w:left="1134" w:hanging="1134"/>
        <w:jc w:val="both"/>
        <w:rPr>
          <w:rFonts w:ascii="Book Antiqua" w:hAnsi="Book Antiqua" w:cs="Arial"/>
        </w:rPr>
      </w:pPr>
      <w:r>
        <w:rPr>
          <w:rFonts w:ascii="Book Antiqua" w:hAnsi="Book Antiqua" w:cs="Arial"/>
        </w:rPr>
        <w:tab/>
        <w:t>“[y]</w:t>
      </w:r>
      <w:proofErr w:type="spellStart"/>
      <w:r>
        <w:rPr>
          <w:rFonts w:ascii="Book Antiqua" w:hAnsi="Book Antiqua" w:cs="Arial"/>
        </w:rPr>
        <w:t>ou</w:t>
      </w:r>
      <w:proofErr w:type="spellEnd"/>
      <w:r>
        <w:rPr>
          <w:rFonts w:ascii="Book Antiqua" w:hAnsi="Book Antiqua" w:cs="Arial"/>
        </w:rPr>
        <w:t xml:space="preserve"> lodged an appeal which you have since withdrawn, the Home Office therefore concludes that you have accepted that the decision that your relationship with Edina </w:t>
      </w:r>
      <w:proofErr w:type="spellStart"/>
      <w:r>
        <w:rPr>
          <w:rFonts w:ascii="Book Antiqua" w:hAnsi="Book Antiqua" w:cs="Arial"/>
        </w:rPr>
        <w:t>Kolompar</w:t>
      </w:r>
      <w:proofErr w:type="spellEnd"/>
      <w:r>
        <w:rPr>
          <w:rFonts w:ascii="Book Antiqua" w:hAnsi="Book Antiqua" w:cs="Arial"/>
        </w:rPr>
        <w:t xml:space="preserve"> is one of convenience.</w:t>
      </w:r>
    </w:p>
    <w:p w:rsidR="00C15985" w:rsidRDefault="00C15985" w:rsidP="00C15985">
      <w:pPr>
        <w:ind w:left="1134" w:hanging="1134"/>
        <w:jc w:val="both"/>
        <w:rPr>
          <w:rFonts w:ascii="Book Antiqua" w:hAnsi="Book Antiqua" w:cs="Arial"/>
        </w:rPr>
      </w:pPr>
    </w:p>
    <w:p w:rsidR="005051BB" w:rsidRDefault="00C15985" w:rsidP="00C15985">
      <w:pPr>
        <w:ind w:left="1134"/>
        <w:jc w:val="both"/>
        <w:rPr>
          <w:rFonts w:ascii="Book Antiqua" w:hAnsi="Book Antiqua" w:cs="Arial"/>
        </w:rPr>
      </w:pPr>
      <w:r>
        <w:rPr>
          <w:rFonts w:ascii="Book Antiqua" w:hAnsi="Book Antiqua" w:cs="Arial"/>
        </w:rPr>
        <w:t xml:space="preserve">Resultantly you have </w:t>
      </w:r>
      <w:r w:rsidR="00322140">
        <w:rPr>
          <w:rFonts w:ascii="Book Antiqua" w:hAnsi="Book Antiqua" w:cs="Arial"/>
        </w:rPr>
        <w:t>failed</w:t>
      </w:r>
      <w:r>
        <w:rPr>
          <w:rFonts w:ascii="Book Antiqua" w:hAnsi="Book Antiqua" w:cs="Arial"/>
        </w:rPr>
        <w:t xml:space="preserve"> to demonstrate that your ‘marriage’ lasted for at least 3 years ...”.  </w:t>
      </w:r>
    </w:p>
    <w:p w:rsidR="00C15985" w:rsidRDefault="00C15985" w:rsidP="00BF23BB">
      <w:pPr>
        <w:tabs>
          <w:tab w:val="left" w:pos="567"/>
        </w:tabs>
        <w:ind w:left="567" w:hanging="567"/>
        <w:jc w:val="both"/>
        <w:rPr>
          <w:rFonts w:ascii="Book Antiqua" w:hAnsi="Book Antiqua" w:cs="Arial"/>
        </w:rPr>
      </w:pPr>
    </w:p>
    <w:p w:rsidR="0070795D" w:rsidRDefault="00C15985" w:rsidP="00BF23BB">
      <w:pPr>
        <w:tabs>
          <w:tab w:val="left" w:pos="567"/>
        </w:tabs>
        <w:ind w:left="567" w:hanging="567"/>
        <w:jc w:val="both"/>
        <w:rPr>
          <w:rFonts w:ascii="Book Antiqua" w:hAnsi="Book Antiqua" w:cs="Arial"/>
        </w:rPr>
      </w:pPr>
      <w:r>
        <w:rPr>
          <w:rFonts w:ascii="Book Antiqua" w:hAnsi="Book Antiqua" w:cs="Arial"/>
        </w:rPr>
        <w:tab/>
        <w:t xml:space="preserve">Whilst the judge also considered the appellant’s </w:t>
      </w:r>
      <w:r w:rsidR="00322140">
        <w:rPr>
          <w:rFonts w:ascii="Book Antiqua" w:hAnsi="Book Antiqua" w:cs="Arial"/>
        </w:rPr>
        <w:t>withdrawal</w:t>
      </w:r>
      <w:r>
        <w:rPr>
          <w:rFonts w:ascii="Book Antiqua" w:hAnsi="Book Antiqua" w:cs="Arial"/>
        </w:rPr>
        <w:t xml:space="preserve"> of his appeal as a relevant factor he did not treat it as determinative.  It is clear from paragraph 23 (cited earlier) </w:t>
      </w:r>
      <w:r w:rsidR="00322140">
        <w:rPr>
          <w:rFonts w:ascii="Book Antiqua" w:hAnsi="Book Antiqua" w:cs="Arial"/>
        </w:rPr>
        <w:t>that</w:t>
      </w:r>
      <w:r>
        <w:rPr>
          <w:rFonts w:ascii="Book Antiqua" w:hAnsi="Book Antiqua" w:cs="Arial"/>
        </w:rPr>
        <w:t xml:space="preserve"> the appellant’s withdrawal of his appeal was only one of several factors </w:t>
      </w:r>
      <w:r w:rsidR="00322140">
        <w:rPr>
          <w:rFonts w:ascii="Book Antiqua" w:hAnsi="Book Antiqua" w:cs="Arial"/>
        </w:rPr>
        <w:t>leading</w:t>
      </w:r>
      <w:r>
        <w:rPr>
          <w:rFonts w:ascii="Book Antiqua" w:hAnsi="Book Antiqua" w:cs="Arial"/>
        </w:rPr>
        <w:t xml:space="preserve"> the judge to </w:t>
      </w:r>
      <w:r w:rsidR="00322140">
        <w:rPr>
          <w:rFonts w:ascii="Book Antiqua" w:hAnsi="Book Antiqua" w:cs="Arial"/>
        </w:rPr>
        <w:t>conclude</w:t>
      </w:r>
      <w:r>
        <w:rPr>
          <w:rFonts w:ascii="Book Antiqua" w:hAnsi="Book Antiqua" w:cs="Arial"/>
        </w:rPr>
        <w:t xml:space="preserve"> at paragraph 24 that</w:t>
      </w:r>
      <w:r w:rsidR="0070795D">
        <w:rPr>
          <w:rFonts w:ascii="Book Antiqua" w:hAnsi="Book Antiqua" w:cs="Arial"/>
        </w:rPr>
        <w:t>:</w:t>
      </w:r>
    </w:p>
    <w:p w:rsidR="0070795D" w:rsidRDefault="0070795D" w:rsidP="00BF23BB">
      <w:pPr>
        <w:tabs>
          <w:tab w:val="left" w:pos="567"/>
        </w:tabs>
        <w:ind w:left="567" w:hanging="567"/>
        <w:jc w:val="both"/>
        <w:rPr>
          <w:rFonts w:ascii="Book Antiqua" w:hAnsi="Book Antiqua" w:cs="Arial"/>
        </w:rPr>
      </w:pPr>
    </w:p>
    <w:p w:rsidR="00C15985" w:rsidRDefault="0070795D" w:rsidP="0070795D">
      <w:pPr>
        <w:ind w:left="1134" w:hanging="1134"/>
        <w:jc w:val="both"/>
        <w:rPr>
          <w:rFonts w:ascii="Book Antiqua" w:hAnsi="Book Antiqua" w:cs="Arial"/>
        </w:rPr>
      </w:pPr>
      <w:r>
        <w:rPr>
          <w:rFonts w:ascii="Book Antiqua" w:hAnsi="Book Antiqua" w:cs="Arial"/>
        </w:rPr>
        <w:tab/>
      </w:r>
      <w:r w:rsidR="00C15985">
        <w:rPr>
          <w:rFonts w:ascii="Book Antiqua" w:hAnsi="Book Antiqua" w:cs="Arial"/>
        </w:rPr>
        <w:t>“[a]</w:t>
      </w:r>
      <w:proofErr w:type="spellStart"/>
      <w:r w:rsidR="00C15985">
        <w:rPr>
          <w:rFonts w:ascii="Book Antiqua" w:hAnsi="Book Antiqua" w:cs="Arial"/>
        </w:rPr>
        <w:t>ll</w:t>
      </w:r>
      <w:proofErr w:type="spellEnd"/>
      <w:r w:rsidR="00C15985">
        <w:rPr>
          <w:rFonts w:ascii="Book Antiqua" w:hAnsi="Book Antiqua" w:cs="Arial"/>
        </w:rPr>
        <w:t xml:space="preserve"> </w:t>
      </w:r>
      <w:r>
        <w:rPr>
          <w:rFonts w:ascii="Book Antiqua" w:hAnsi="Book Antiqua" w:cs="Arial"/>
        </w:rPr>
        <w:t xml:space="preserve">these matters lead me to conclude that the appellant was not a truthful or reliable witness, and that the core of his </w:t>
      </w:r>
      <w:r w:rsidR="00322140">
        <w:rPr>
          <w:rFonts w:ascii="Book Antiqua" w:hAnsi="Book Antiqua" w:cs="Arial"/>
        </w:rPr>
        <w:t>account</w:t>
      </w:r>
      <w:r>
        <w:rPr>
          <w:rFonts w:ascii="Book Antiqua" w:hAnsi="Book Antiqua" w:cs="Arial"/>
        </w:rPr>
        <w:t xml:space="preserve">, namely that his marriage to Ms </w:t>
      </w:r>
      <w:proofErr w:type="spellStart"/>
      <w:r>
        <w:rPr>
          <w:rFonts w:ascii="Book Antiqua" w:hAnsi="Book Antiqua" w:cs="Arial"/>
        </w:rPr>
        <w:t>Kolompar</w:t>
      </w:r>
      <w:proofErr w:type="spellEnd"/>
      <w:r>
        <w:rPr>
          <w:rFonts w:ascii="Book Antiqua" w:hAnsi="Book Antiqua" w:cs="Arial"/>
        </w:rPr>
        <w:t xml:space="preserve"> was a genuine relationship followed by their separation and divorce due to irreconcilable differences, is a fabrication.”</w:t>
      </w:r>
    </w:p>
    <w:p w:rsidR="0070795D" w:rsidRDefault="0070795D" w:rsidP="00BF23BB">
      <w:pPr>
        <w:tabs>
          <w:tab w:val="left" w:pos="567"/>
        </w:tabs>
        <w:ind w:left="567" w:hanging="567"/>
        <w:jc w:val="both"/>
        <w:rPr>
          <w:rFonts w:ascii="Book Antiqua" w:hAnsi="Book Antiqua" w:cs="Arial"/>
        </w:rPr>
      </w:pPr>
    </w:p>
    <w:p w:rsidR="0070795D" w:rsidRDefault="0070795D" w:rsidP="00BF23BB">
      <w:pPr>
        <w:tabs>
          <w:tab w:val="left" w:pos="567"/>
        </w:tabs>
        <w:ind w:left="567" w:hanging="567"/>
        <w:jc w:val="both"/>
        <w:rPr>
          <w:rFonts w:ascii="Book Antiqua" w:hAnsi="Book Antiqua" w:cs="Arial"/>
        </w:rPr>
      </w:pPr>
      <w:r>
        <w:rPr>
          <w:rFonts w:ascii="Book Antiqua" w:hAnsi="Book Antiqua" w:cs="Arial"/>
        </w:rPr>
        <w:tab/>
      </w:r>
      <w:r w:rsidR="002433FA">
        <w:rPr>
          <w:rFonts w:ascii="Book Antiqua" w:hAnsi="Book Antiqua" w:cs="Arial"/>
        </w:rPr>
        <w:t>Furthermore,</w:t>
      </w:r>
      <w:r>
        <w:rPr>
          <w:rFonts w:ascii="Book Antiqua" w:hAnsi="Book Antiqua" w:cs="Arial"/>
        </w:rPr>
        <w:t xml:space="preserve"> the judge’s assessment also encompassed evaluation of evidence not before the respondent, in </w:t>
      </w:r>
      <w:r w:rsidR="00322140">
        <w:rPr>
          <w:rFonts w:ascii="Book Antiqua" w:hAnsi="Book Antiqua" w:cs="Arial"/>
        </w:rPr>
        <w:t>particular</w:t>
      </w:r>
      <w:r>
        <w:rPr>
          <w:rFonts w:ascii="Book Antiqua" w:hAnsi="Book Antiqua" w:cs="Arial"/>
        </w:rPr>
        <w:t xml:space="preserve"> the evidence of his friend Mr Mustafa.  Patently this evidence </w:t>
      </w:r>
      <w:r w:rsidR="00322140">
        <w:rPr>
          <w:rFonts w:ascii="Book Antiqua" w:hAnsi="Book Antiqua" w:cs="Arial"/>
        </w:rPr>
        <w:t>together</w:t>
      </w:r>
      <w:r>
        <w:rPr>
          <w:rFonts w:ascii="Book Antiqua" w:hAnsi="Book Antiqua" w:cs="Arial"/>
        </w:rPr>
        <w:t xml:space="preserve"> with all the documentary evidence in the appellant’s bundle was the subject of an </w:t>
      </w:r>
      <w:r w:rsidR="00322140">
        <w:rPr>
          <w:rFonts w:ascii="Book Antiqua" w:hAnsi="Book Antiqua" w:cs="Arial"/>
        </w:rPr>
        <w:t>independent</w:t>
      </w:r>
      <w:r>
        <w:rPr>
          <w:rFonts w:ascii="Book Antiqua" w:hAnsi="Book Antiqua" w:cs="Arial"/>
        </w:rPr>
        <w:t xml:space="preserve"> and far more detailed assessment and did not simply endorse the respondent’s reductionist reasoning.</w:t>
      </w:r>
    </w:p>
    <w:p w:rsidR="0070795D" w:rsidRDefault="0070795D" w:rsidP="00BF23BB">
      <w:pPr>
        <w:tabs>
          <w:tab w:val="left" w:pos="567"/>
        </w:tabs>
        <w:ind w:left="567" w:hanging="567"/>
        <w:jc w:val="both"/>
        <w:rPr>
          <w:rFonts w:ascii="Book Antiqua" w:hAnsi="Book Antiqua" w:cs="Arial"/>
        </w:rPr>
      </w:pPr>
    </w:p>
    <w:p w:rsidR="0070795D" w:rsidRPr="0070795D" w:rsidRDefault="0070795D" w:rsidP="00BF23BB">
      <w:pPr>
        <w:tabs>
          <w:tab w:val="left" w:pos="567"/>
        </w:tabs>
        <w:ind w:left="567" w:hanging="567"/>
        <w:jc w:val="both"/>
        <w:rPr>
          <w:rFonts w:ascii="Book Antiqua" w:hAnsi="Book Antiqua" w:cs="Arial"/>
          <w:b/>
          <w:u w:val="single"/>
        </w:rPr>
      </w:pPr>
      <w:r w:rsidRPr="0070795D">
        <w:rPr>
          <w:rFonts w:ascii="Book Antiqua" w:hAnsi="Book Antiqua" w:cs="Arial"/>
          <w:b/>
          <w:u w:val="single"/>
        </w:rPr>
        <w:t xml:space="preserve">Notice of Decision </w:t>
      </w:r>
    </w:p>
    <w:p w:rsidR="0070795D" w:rsidRDefault="0070795D" w:rsidP="00BF23BB">
      <w:pPr>
        <w:tabs>
          <w:tab w:val="left" w:pos="567"/>
        </w:tabs>
        <w:ind w:left="567" w:hanging="567"/>
        <w:jc w:val="both"/>
        <w:rPr>
          <w:rFonts w:ascii="Book Antiqua" w:hAnsi="Book Antiqua" w:cs="Arial"/>
        </w:rPr>
      </w:pPr>
    </w:p>
    <w:p w:rsidR="0070795D" w:rsidRDefault="00322140" w:rsidP="00BF23BB">
      <w:pPr>
        <w:tabs>
          <w:tab w:val="left" w:pos="567"/>
        </w:tabs>
        <w:ind w:left="567" w:hanging="567"/>
        <w:jc w:val="both"/>
        <w:rPr>
          <w:rFonts w:ascii="Book Antiqua" w:hAnsi="Book Antiqua" w:cs="Arial"/>
        </w:rPr>
      </w:pPr>
      <w:r>
        <w:rPr>
          <w:rFonts w:ascii="Book Antiqua" w:hAnsi="Book Antiqua" w:cs="Arial"/>
        </w:rPr>
        <w:t>13</w:t>
      </w:r>
      <w:r w:rsidR="0070795D">
        <w:rPr>
          <w:rFonts w:ascii="Book Antiqua" w:hAnsi="Book Antiqua" w:cs="Arial"/>
        </w:rPr>
        <w:t>.</w:t>
      </w:r>
      <w:r w:rsidR="0070795D">
        <w:rPr>
          <w:rFonts w:ascii="Book Antiqua" w:hAnsi="Book Antiqua" w:cs="Arial"/>
        </w:rPr>
        <w:tab/>
        <w:t>For the above reasons, whilst the judge’s decision contains some errors of law, none had any material impact on the judge’s finding that the appellant’s marriage was one of convenience</w:t>
      </w:r>
      <w:r w:rsidR="002433FA">
        <w:rPr>
          <w:rFonts w:ascii="Book Antiqua" w:hAnsi="Book Antiqua" w:cs="Arial"/>
        </w:rPr>
        <w:t>. As such it was a marriage</w:t>
      </w:r>
      <w:r w:rsidR="0070795D">
        <w:rPr>
          <w:rFonts w:ascii="Book Antiqua" w:hAnsi="Book Antiqua" w:cs="Arial"/>
        </w:rPr>
        <w:t xml:space="preserve"> incapable of generating any retained rights upon divorce.</w:t>
      </w:r>
    </w:p>
    <w:p w:rsidR="0070795D" w:rsidRDefault="0070795D" w:rsidP="00BF23BB">
      <w:pPr>
        <w:tabs>
          <w:tab w:val="left" w:pos="567"/>
        </w:tabs>
        <w:ind w:left="567" w:hanging="567"/>
        <w:jc w:val="both"/>
        <w:rPr>
          <w:rFonts w:ascii="Book Antiqua" w:hAnsi="Book Antiqua" w:cs="Arial"/>
        </w:rPr>
      </w:pPr>
    </w:p>
    <w:p w:rsidR="00173CC6" w:rsidRPr="00173CC6" w:rsidRDefault="00322140" w:rsidP="0070795D">
      <w:pPr>
        <w:tabs>
          <w:tab w:val="left" w:pos="567"/>
        </w:tabs>
        <w:ind w:left="567" w:hanging="567"/>
        <w:jc w:val="both"/>
        <w:rPr>
          <w:rFonts w:ascii="Book Antiqua" w:hAnsi="Book Antiqua" w:cs="Arial"/>
        </w:rPr>
      </w:pPr>
      <w:r>
        <w:rPr>
          <w:rFonts w:ascii="Book Antiqua" w:hAnsi="Book Antiqua" w:cs="Arial"/>
        </w:rPr>
        <w:t>14</w:t>
      </w:r>
      <w:r w:rsidR="0070795D">
        <w:rPr>
          <w:rFonts w:ascii="Book Antiqua" w:hAnsi="Book Antiqua" w:cs="Arial"/>
        </w:rPr>
        <w:t>.</w:t>
      </w:r>
      <w:r w:rsidR="0070795D">
        <w:rPr>
          <w:rFonts w:ascii="Book Antiqua" w:hAnsi="Book Antiqua" w:cs="Arial"/>
        </w:rPr>
        <w:tab/>
        <w:t xml:space="preserve">No </w:t>
      </w:r>
      <w:r w:rsidR="00173CC6" w:rsidRPr="00173CC6">
        <w:rPr>
          <w:rFonts w:ascii="Book Antiqua" w:hAnsi="Book Antiqua" w:cs="Arial"/>
        </w:rPr>
        <w:t>anonymity direction is made.</w:t>
      </w:r>
    </w:p>
    <w:p w:rsidR="00524994" w:rsidRPr="00B57D66" w:rsidRDefault="00524994" w:rsidP="00780F86">
      <w:pPr>
        <w:ind w:left="540" w:hanging="540"/>
        <w:jc w:val="both"/>
        <w:rPr>
          <w:rFonts w:ascii="Book Antiqua" w:hAnsi="Book Antiqua" w:cs="Arial"/>
        </w:rPr>
      </w:pPr>
    </w:p>
    <w:p w:rsidR="00A509FA" w:rsidRPr="00B57D66" w:rsidRDefault="00A509FA" w:rsidP="00780F86">
      <w:pPr>
        <w:ind w:left="540" w:hanging="540"/>
        <w:jc w:val="both"/>
        <w:rPr>
          <w:rFonts w:ascii="Book Antiqua" w:hAnsi="Book Antiqua" w:cs="Arial"/>
        </w:rPr>
      </w:pPr>
    </w:p>
    <w:p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002433FA">
        <w:rPr>
          <w:rFonts w:ascii="Book Antiqua" w:hAnsi="Book Antiqua" w:cs="Arial"/>
        </w:rPr>
        <w:t>:</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2433FA">
        <w:rPr>
          <w:rFonts w:ascii="Book Antiqua" w:hAnsi="Book Antiqua" w:cs="Arial"/>
        </w:rPr>
        <w:t>: 15 June 2018</w:t>
      </w:r>
    </w:p>
    <w:p w:rsidR="001F2716" w:rsidRPr="00B57D66" w:rsidRDefault="002433FA" w:rsidP="00402B9E">
      <w:pPr>
        <w:tabs>
          <w:tab w:val="left" w:pos="2520"/>
        </w:tabs>
        <w:ind w:left="540" w:hanging="540"/>
        <w:jc w:val="both"/>
        <w:rPr>
          <w:rFonts w:ascii="Book Antiqua" w:hAnsi="Book Antiqua" w:cs="Arial"/>
        </w:rPr>
      </w:pPr>
      <w:r>
        <w:rPr>
          <w:rFonts w:ascii="Book Antiqua" w:hAnsi="Book Antiqua" w:cs="Arial"/>
        </w:rPr>
        <w:t xml:space="preserve">              </w:t>
      </w:r>
      <w:r w:rsidR="00F14566" w:rsidRPr="00B35E85">
        <w:rPr>
          <w:noProof/>
        </w:rPr>
        <w:drawing>
          <wp:inline distT="0" distB="0" distL="0" distR="0">
            <wp:extent cx="1714500" cy="510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510540"/>
                    </a:xfrm>
                    <a:prstGeom prst="rect">
                      <a:avLst/>
                    </a:prstGeom>
                    <a:noFill/>
                    <a:ln>
                      <a:noFill/>
                    </a:ln>
                  </pic:spPr>
                </pic:pic>
              </a:graphicData>
            </a:graphic>
          </wp:inline>
        </w:drawing>
      </w:r>
    </w:p>
    <w:p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Dr H </w:t>
      </w:r>
      <w:proofErr w:type="spellStart"/>
      <w:r>
        <w:rPr>
          <w:rFonts w:ascii="Book Antiqua" w:hAnsi="Book Antiqua" w:cs="Arial"/>
          <w:color w:val="000000"/>
        </w:rPr>
        <w:t>H</w:t>
      </w:r>
      <w:proofErr w:type="spellEnd"/>
      <w:r>
        <w:rPr>
          <w:rFonts w:ascii="Book Antiqua" w:hAnsi="Book Antiqua" w:cs="Arial"/>
          <w:color w:val="000000"/>
        </w:rPr>
        <w:t xml:space="preserve"> Storey</w:t>
      </w:r>
    </w:p>
    <w:p w:rsidR="00B95326"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sectPr w:rsidR="00B95326"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08C3" w:rsidRDefault="009008C3">
      <w:r>
        <w:separator/>
      </w:r>
    </w:p>
  </w:endnote>
  <w:endnote w:type="continuationSeparator" w:id="0">
    <w:p w:rsidR="009008C3" w:rsidRDefault="00900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D03" w:rsidRPr="00B57D66" w:rsidRDefault="00881D03" w:rsidP="00593795">
    <w:pPr>
      <w:pStyle w:val="Footer"/>
      <w:jc w:val="center"/>
      <w:rPr>
        <w:rFonts w:ascii="Book Antiqua" w:hAnsi="Book Antiqua" w:cs="Arial"/>
        <w:sz w:val="16"/>
        <w:szCs w:val="16"/>
      </w:rPr>
    </w:pPr>
    <w:r w:rsidRPr="00B57D66">
      <w:rPr>
        <w:rStyle w:val="PageNumber"/>
        <w:rFonts w:ascii="Book Antiqua" w:hAnsi="Book Antiqua" w:cs="Arial"/>
        <w:sz w:val="16"/>
        <w:szCs w:val="16"/>
      </w:rPr>
      <w:fldChar w:fldCharType="begin"/>
    </w:r>
    <w:r w:rsidRPr="00B57D66">
      <w:rPr>
        <w:rStyle w:val="PageNumber"/>
        <w:rFonts w:ascii="Book Antiqua" w:hAnsi="Book Antiqua" w:cs="Arial"/>
        <w:sz w:val="16"/>
        <w:szCs w:val="16"/>
      </w:rPr>
      <w:instrText xml:space="preserve"> PAGE </w:instrText>
    </w:r>
    <w:r w:rsidRPr="00B57D66">
      <w:rPr>
        <w:rStyle w:val="PageNumber"/>
        <w:rFonts w:ascii="Book Antiqua" w:hAnsi="Book Antiqua" w:cs="Arial"/>
        <w:sz w:val="16"/>
        <w:szCs w:val="16"/>
      </w:rPr>
      <w:fldChar w:fldCharType="separate"/>
    </w:r>
    <w:r w:rsidR="00D45748">
      <w:rPr>
        <w:rStyle w:val="PageNumber"/>
        <w:rFonts w:ascii="Book Antiqua" w:hAnsi="Book Antiqua" w:cs="Arial"/>
        <w:noProof/>
        <w:sz w:val="16"/>
        <w:szCs w:val="16"/>
      </w:rPr>
      <w:t>2</w:t>
    </w:r>
    <w:r w:rsidRPr="00B57D66">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D03" w:rsidRPr="00B57D66" w:rsidRDefault="00881D03" w:rsidP="007702DD">
    <w:pPr>
      <w:jc w:val="center"/>
      <w:rPr>
        <w:rFonts w:ascii="Book Antiqua" w:hAnsi="Book Antiqua" w:cs="Arial"/>
        <w:b/>
      </w:rPr>
    </w:pPr>
    <w:r w:rsidRPr="00B57D66">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08C3" w:rsidRDefault="009008C3">
      <w:r>
        <w:separator/>
      </w:r>
    </w:p>
  </w:footnote>
  <w:footnote w:type="continuationSeparator" w:id="0">
    <w:p w:rsidR="009008C3" w:rsidRDefault="009008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D03" w:rsidRPr="00064D11" w:rsidRDefault="00881D03" w:rsidP="00593795">
    <w:pPr>
      <w:pStyle w:val="Header"/>
      <w:jc w:val="right"/>
      <w:rPr>
        <w:rFonts w:ascii="Book Antiqua" w:hAnsi="Book Antiqua" w:cs="Arial"/>
        <w:sz w:val="16"/>
        <w:szCs w:val="16"/>
      </w:rPr>
    </w:pPr>
    <w:r w:rsidRPr="00B57D66">
      <w:rPr>
        <w:rFonts w:ascii="Book Antiqua" w:hAnsi="Book Antiqua" w:cs="Arial"/>
        <w:sz w:val="16"/>
        <w:szCs w:val="16"/>
      </w:rPr>
      <w:t xml:space="preserve">Appeal Number: </w:t>
    </w:r>
    <w:r w:rsidRPr="00064D11">
      <w:rPr>
        <w:rFonts w:ascii="Book Antiqua" w:hAnsi="Book Antiqua" w:cs="Arial"/>
        <w:sz w:val="16"/>
        <w:szCs w:val="16"/>
      </w:rPr>
      <w:t>EA/05606/2017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D03" w:rsidRPr="00B57D66" w:rsidRDefault="00881D03">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6C6"/>
    <w:rsid w:val="00000621"/>
    <w:rsid w:val="000036C2"/>
    <w:rsid w:val="00033D3D"/>
    <w:rsid w:val="00041A05"/>
    <w:rsid w:val="00062F02"/>
    <w:rsid w:val="00064D11"/>
    <w:rsid w:val="00071A7E"/>
    <w:rsid w:val="000746C0"/>
    <w:rsid w:val="00074D1D"/>
    <w:rsid w:val="00082E32"/>
    <w:rsid w:val="00092580"/>
    <w:rsid w:val="00093D4D"/>
    <w:rsid w:val="000A2820"/>
    <w:rsid w:val="000A383D"/>
    <w:rsid w:val="000D326A"/>
    <w:rsid w:val="000D5D94"/>
    <w:rsid w:val="000F1A0E"/>
    <w:rsid w:val="001165A7"/>
    <w:rsid w:val="00152059"/>
    <w:rsid w:val="00163540"/>
    <w:rsid w:val="00167D3A"/>
    <w:rsid w:val="00173CC6"/>
    <w:rsid w:val="001A3082"/>
    <w:rsid w:val="001B186A"/>
    <w:rsid w:val="001B2F75"/>
    <w:rsid w:val="001D4DD2"/>
    <w:rsid w:val="001F2716"/>
    <w:rsid w:val="00200F1B"/>
    <w:rsid w:val="00207617"/>
    <w:rsid w:val="00220C6E"/>
    <w:rsid w:val="0023134B"/>
    <w:rsid w:val="002433FA"/>
    <w:rsid w:val="00267814"/>
    <w:rsid w:val="00277CB5"/>
    <w:rsid w:val="00283659"/>
    <w:rsid w:val="002C6BD4"/>
    <w:rsid w:val="002D074B"/>
    <w:rsid w:val="002D68BF"/>
    <w:rsid w:val="002E476B"/>
    <w:rsid w:val="002F6B98"/>
    <w:rsid w:val="00307FF9"/>
    <w:rsid w:val="00322140"/>
    <w:rsid w:val="00327658"/>
    <w:rsid w:val="00336CBF"/>
    <w:rsid w:val="00343FE3"/>
    <w:rsid w:val="003546C8"/>
    <w:rsid w:val="003A7CF2"/>
    <w:rsid w:val="003C5CE5"/>
    <w:rsid w:val="003E267B"/>
    <w:rsid w:val="003E7CD1"/>
    <w:rsid w:val="003F367D"/>
    <w:rsid w:val="00402B9E"/>
    <w:rsid w:val="00424100"/>
    <w:rsid w:val="004249CB"/>
    <w:rsid w:val="00426616"/>
    <w:rsid w:val="0044127D"/>
    <w:rsid w:val="004448DB"/>
    <w:rsid w:val="00446C9A"/>
    <w:rsid w:val="00452F2B"/>
    <w:rsid w:val="00461663"/>
    <w:rsid w:val="0046454F"/>
    <w:rsid w:val="00471B09"/>
    <w:rsid w:val="00477193"/>
    <w:rsid w:val="004A1848"/>
    <w:rsid w:val="004A6F4A"/>
    <w:rsid w:val="004B5AEF"/>
    <w:rsid w:val="004E4717"/>
    <w:rsid w:val="00500E0C"/>
    <w:rsid w:val="005051BB"/>
    <w:rsid w:val="005076C0"/>
    <w:rsid w:val="00507FEC"/>
    <w:rsid w:val="00510F0E"/>
    <w:rsid w:val="00524994"/>
    <w:rsid w:val="00531ADC"/>
    <w:rsid w:val="005339AD"/>
    <w:rsid w:val="005479E1"/>
    <w:rsid w:val="00553E0A"/>
    <w:rsid w:val="005570FD"/>
    <w:rsid w:val="005575EA"/>
    <w:rsid w:val="005665A9"/>
    <w:rsid w:val="005672D1"/>
    <w:rsid w:val="0057790C"/>
    <w:rsid w:val="00593795"/>
    <w:rsid w:val="005A13AD"/>
    <w:rsid w:val="005A487B"/>
    <w:rsid w:val="005A75FF"/>
    <w:rsid w:val="005D10AB"/>
    <w:rsid w:val="005F7FA2"/>
    <w:rsid w:val="00601D8F"/>
    <w:rsid w:val="006215B3"/>
    <w:rsid w:val="00643165"/>
    <w:rsid w:val="00653E97"/>
    <w:rsid w:val="00684A74"/>
    <w:rsid w:val="00690B8A"/>
    <w:rsid w:val="00690DF7"/>
    <w:rsid w:val="006B2B73"/>
    <w:rsid w:val="006C150B"/>
    <w:rsid w:val="006C5560"/>
    <w:rsid w:val="006F2CF1"/>
    <w:rsid w:val="00700CB3"/>
    <w:rsid w:val="007038ED"/>
    <w:rsid w:val="00703BC3"/>
    <w:rsid w:val="00704B61"/>
    <w:rsid w:val="0070795D"/>
    <w:rsid w:val="00720D28"/>
    <w:rsid w:val="0074439E"/>
    <w:rsid w:val="007552A9"/>
    <w:rsid w:val="00761858"/>
    <w:rsid w:val="00761DDA"/>
    <w:rsid w:val="00767D59"/>
    <w:rsid w:val="007702DD"/>
    <w:rsid w:val="00776E97"/>
    <w:rsid w:val="00780F86"/>
    <w:rsid w:val="007912AD"/>
    <w:rsid w:val="007A4FEE"/>
    <w:rsid w:val="007B0824"/>
    <w:rsid w:val="007B5D3C"/>
    <w:rsid w:val="007C1919"/>
    <w:rsid w:val="00812BD6"/>
    <w:rsid w:val="00821B72"/>
    <w:rsid w:val="00823EF2"/>
    <w:rsid w:val="008303B8"/>
    <w:rsid w:val="00833DCE"/>
    <w:rsid w:val="00842F3A"/>
    <w:rsid w:val="00871D34"/>
    <w:rsid w:val="00872D99"/>
    <w:rsid w:val="008736C6"/>
    <w:rsid w:val="00881D03"/>
    <w:rsid w:val="00887DA7"/>
    <w:rsid w:val="008A01DD"/>
    <w:rsid w:val="008A151B"/>
    <w:rsid w:val="008A5667"/>
    <w:rsid w:val="008B270C"/>
    <w:rsid w:val="008B4F43"/>
    <w:rsid w:val="008B5078"/>
    <w:rsid w:val="008C3D3D"/>
    <w:rsid w:val="008D4131"/>
    <w:rsid w:val="008F0203"/>
    <w:rsid w:val="008F1932"/>
    <w:rsid w:val="008F1BC2"/>
    <w:rsid w:val="009008C3"/>
    <w:rsid w:val="00905BC2"/>
    <w:rsid w:val="0091169E"/>
    <w:rsid w:val="00921062"/>
    <w:rsid w:val="009407F7"/>
    <w:rsid w:val="00953E04"/>
    <w:rsid w:val="009722BC"/>
    <w:rsid w:val="009727A3"/>
    <w:rsid w:val="00975893"/>
    <w:rsid w:val="00987774"/>
    <w:rsid w:val="009A11E8"/>
    <w:rsid w:val="009B4673"/>
    <w:rsid w:val="009D47A2"/>
    <w:rsid w:val="009F5220"/>
    <w:rsid w:val="00A15234"/>
    <w:rsid w:val="00A201AB"/>
    <w:rsid w:val="00A22967"/>
    <w:rsid w:val="00A2306E"/>
    <w:rsid w:val="00A31C8B"/>
    <w:rsid w:val="00A50368"/>
    <w:rsid w:val="00A509FA"/>
    <w:rsid w:val="00A845DC"/>
    <w:rsid w:val="00A9409A"/>
    <w:rsid w:val="00AD11DC"/>
    <w:rsid w:val="00AD17CF"/>
    <w:rsid w:val="00B26AA2"/>
    <w:rsid w:val="00B3524D"/>
    <w:rsid w:val="00B40F69"/>
    <w:rsid w:val="00B448D5"/>
    <w:rsid w:val="00B46616"/>
    <w:rsid w:val="00B57D66"/>
    <w:rsid w:val="00B7040A"/>
    <w:rsid w:val="00B83391"/>
    <w:rsid w:val="00B95326"/>
    <w:rsid w:val="00BB45A9"/>
    <w:rsid w:val="00BC6A2F"/>
    <w:rsid w:val="00BD4196"/>
    <w:rsid w:val="00BE2F3A"/>
    <w:rsid w:val="00BF22CA"/>
    <w:rsid w:val="00BF23BB"/>
    <w:rsid w:val="00C15985"/>
    <w:rsid w:val="00C26032"/>
    <w:rsid w:val="00C345E1"/>
    <w:rsid w:val="00C43BFD"/>
    <w:rsid w:val="00C816AD"/>
    <w:rsid w:val="00C84506"/>
    <w:rsid w:val="00CB6E35"/>
    <w:rsid w:val="00CC26E8"/>
    <w:rsid w:val="00CD4CBE"/>
    <w:rsid w:val="00CE1A46"/>
    <w:rsid w:val="00CE7550"/>
    <w:rsid w:val="00D015C1"/>
    <w:rsid w:val="00D20757"/>
    <w:rsid w:val="00D22636"/>
    <w:rsid w:val="00D40FD9"/>
    <w:rsid w:val="00D45748"/>
    <w:rsid w:val="00D53769"/>
    <w:rsid w:val="00D7040C"/>
    <w:rsid w:val="00D85C13"/>
    <w:rsid w:val="00D9111A"/>
    <w:rsid w:val="00D91BE3"/>
    <w:rsid w:val="00D94AFC"/>
    <w:rsid w:val="00D97B17"/>
    <w:rsid w:val="00DA1880"/>
    <w:rsid w:val="00DB70AE"/>
    <w:rsid w:val="00DC375C"/>
    <w:rsid w:val="00DC679C"/>
    <w:rsid w:val="00DD5071"/>
    <w:rsid w:val="00DD52D7"/>
    <w:rsid w:val="00DD5C39"/>
    <w:rsid w:val="00DE7DB7"/>
    <w:rsid w:val="00E00A0A"/>
    <w:rsid w:val="00E01592"/>
    <w:rsid w:val="00E066DE"/>
    <w:rsid w:val="00E07F57"/>
    <w:rsid w:val="00E20E58"/>
    <w:rsid w:val="00E24E82"/>
    <w:rsid w:val="00E30683"/>
    <w:rsid w:val="00E4074F"/>
    <w:rsid w:val="00E453D8"/>
    <w:rsid w:val="00E500B2"/>
    <w:rsid w:val="00E50BCE"/>
    <w:rsid w:val="00E556B8"/>
    <w:rsid w:val="00E574BF"/>
    <w:rsid w:val="00E61292"/>
    <w:rsid w:val="00E77C4D"/>
    <w:rsid w:val="00E81D01"/>
    <w:rsid w:val="00E82519"/>
    <w:rsid w:val="00ED6E0E"/>
    <w:rsid w:val="00EE45D8"/>
    <w:rsid w:val="00F14566"/>
    <w:rsid w:val="00F17123"/>
    <w:rsid w:val="00F22EDA"/>
    <w:rsid w:val="00F35C16"/>
    <w:rsid w:val="00F465D5"/>
    <w:rsid w:val="00F47952"/>
    <w:rsid w:val="00F93ABB"/>
    <w:rsid w:val="00F95BB7"/>
    <w:rsid w:val="00FA6FCD"/>
    <w:rsid w:val="00FC45FD"/>
    <w:rsid w:val="00FD7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1929</Words>
  <Characters>10999</Characters>
  <Application>Microsoft Office Word</Application>
  <DocSecurity>0</DocSecurity>
  <Lines>91</Lines>
  <Paragraphs>25</Paragraphs>
  <ScaleCrop>false</ScaleCrop>
  <Company/>
  <LinksUpToDate>false</LinksUpToDate>
  <CharactersWithSpaces>12903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2018-07-11T14:52:00Z</dcterms:created>
  <dcterms:modified xsi:type="dcterms:W3CDTF">2018-07-11T14:53:00Z</dcterms:modified>
</cp:coreProperties>
</file>