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6B53B8" w:rsidRDefault="00E33BC3" w:rsidP="006B53B8">
      <w:pPr>
        <w:jc w:val="center"/>
        <w:rPr>
          <w:rFonts w:ascii="Book Antiqua" w:hAnsi="Book Antiqua" w:cs="Arial"/>
          <w:caps/>
          <w:color w:val="000000"/>
          <w:sz w:val="16"/>
          <w:szCs w:val="16"/>
        </w:rPr>
      </w:pPr>
      <w:r>
        <w:rPr>
          <w:noProof/>
        </w:rPr>
        <w:drawing>
          <wp:inline distT="0" distB="0" distL="0" distR="0" wp14:anchorId="42164F4D" wp14:editId="6CED17DC">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733614"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733614">
        <w:rPr>
          <w:rFonts w:ascii="Book Antiqua" w:hAnsi="Book Antiqua" w:cs="Arial"/>
          <w:b/>
          <w:color w:val="000000"/>
        </w:rPr>
        <w:t xml:space="preserve">   </w:t>
      </w:r>
      <w:proofErr w:type="gramEnd"/>
      <w:r w:rsidR="00733614">
        <w:rPr>
          <w:rFonts w:ascii="Book Antiqua" w:hAnsi="Book Antiqua" w:cs="Arial"/>
          <w:b/>
          <w:color w:val="000000"/>
        </w:rPr>
        <w:t xml:space="preserve">                </w:t>
      </w:r>
      <w:r w:rsidR="00B3524D" w:rsidRPr="00733614">
        <w:rPr>
          <w:rFonts w:ascii="Book Antiqua" w:hAnsi="Book Antiqua" w:cs="Arial"/>
          <w:b/>
          <w:color w:val="000000"/>
        </w:rPr>
        <w:t>Appeal Number</w:t>
      </w:r>
      <w:r w:rsidR="00D53769" w:rsidRPr="00733614">
        <w:rPr>
          <w:rFonts w:ascii="Book Antiqua" w:hAnsi="Book Antiqua" w:cs="Arial"/>
          <w:b/>
          <w:color w:val="000000"/>
        </w:rPr>
        <w:t>:</w:t>
      </w:r>
      <w:r w:rsidR="00B3524D" w:rsidRPr="00733614">
        <w:rPr>
          <w:rFonts w:ascii="Book Antiqua" w:hAnsi="Book Antiqua" w:cs="Arial"/>
          <w:b/>
          <w:color w:val="000000"/>
        </w:rPr>
        <w:t xml:space="preserve"> </w:t>
      </w:r>
      <w:r w:rsidR="00E33BC3" w:rsidRPr="00733614">
        <w:rPr>
          <w:rFonts w:ascii="Book Antiqua" w:hAnsi="Book Antiqua" w:cs="Arial"/>
          <w:b/>
          <w:caps/>
          <w:color w:val="000000"/>
        </w:rPr>
        <w:t>ea/0</w:t>
      </w:r>
      <w:r w:rsidR="00974388" w:rsidRPr="00733614">
        <w:rPr>
          <w:rFonts w:ascii="Book Antiqua" w:hAnsi="Book Antiqua" w:cs="Arial"/>
          <w:b/>
          <w:caps/>
          <w:color w:val="000000"/>
        </w:rPr>
        <w:t>5684</w:t>
      </w:r>
      <w:r w:rsidR="00E33BC3" w:rsidRPr="00733614">
        <w:rPr>
          <w:rFonts w:ascii="Book Antiqua" w:hAnsi="Book Antiqua" w:cs="Arial"/>
          <w:b/>
          <w:caps/>
          <w:color w:val="000000"/>
        </w:rPr>
        <w:t>/2017</w:t>
      </w:r>
    </w:p>
    <w:p w:rsidR="00C345E1" w:rsidRPr="00733614" w:rsidRDefault="00C345E1" w:rsidP="00883655">
      <w:pPr>
        <w:rPr>
          <w:rFonts w:ascii="Book Antiqua" w:hAnsi="Book Antiqua" w:cs="Arial"/>
          <w:b/>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F2E7B" w:rsidRPr="009B7433" w:rsidRDefault="00CF2E7B" w:rsidP="00883655">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9B7433" w:rsidTr="00733614">
        <w:tc>
          <w:tcPr>
            <w:tcW w:w="5103"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74388">
              <w:rPr>
                <w:rFonts w:ascii="Book Antiqua" w:hAnsi="Book Antiqua" w:cs="Arial"/>
                <w:b/>
              </w:rPr>
              <w:t>Bradford</w:t>
            </w:r>
          </w:p>
        </w:tc>
        <w:tc>
          <w:tcPr>
            <w:tcW w:w="4905" w:type="dxa"/>
            <w:gridSpan w:val="2"/>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733614">
        <w:tc>
          <w:tcPr>
            <w:tcW w:w="5103"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22430F">
              <w:rPr>
                <w:rFonts w:ascii="Book Antiqua" w:hAnsi="Book Antiqua" w:cs="Arial"/>
                <w:b/>
              </w:rPr>
              <w:t>20 September</w:t>
            </w:r>
            <w:r w:rsidR="00E33BC3">
              <w:rPr>
                <w:rFonts w:ascii="Book Antiqua" w:hAnsi="Book Antiqua" w:cs="Arial"/>
                <w:b/>
              </w:rPr>
              <w:t xml:space="preserve"> 2018</w:t>
            </w:r>
          </w:p>
        </w:tc>
        <w:tc>
          <w:tcPr>
            <w:tcW w:w="4905" w:type="dxa"/>
            <w:gridSpan w:val="2"/>
          </w:tcPr>
          <w:p w:rsidR="00D22636" w:rsidRPr="009B7433" w:rsidRDefault="00883655" w:rsidP="004A1848">
            <w:pPr>
              <w:jc w:val="both"/>
              <w:rPr>
                <w:rFonts w:ascii="Book Antiqua" w:hAnsi="Book Antiqua" w:cs="Arial"/>
                <w:b/>
              </w:rPr>
            </w:pPr>
            <w:r>
              <w:rPr>
                <w:rFonts w:ascii="Book Antiqua" w:hAnsi="Book Antiqua" w:cs="Arial"/>
                <w:b/>
              </w:rPr>
              <w:t xml:space="preserve">On 21 September 2018 </w:t>
            </w:r>
          </w:p>
        </w:tc>
      </w:tr>
      <w:tr w:rsidR="00883655" w:rsidRPr="009B7433" w:rsidTr="00D949B7">
        <w:trPr>
          <w:gridAfter w:val="1"/>
          <w:wAfter w:w="3960" w:type="dxa"/>
        </w:trPr>
        <w:tc>
          <w:tcPr>
            <w:tcW w:w="6048" w:type="dxa"/>
            <w:gridSpan w:val="2"/>
          </w:tcPr>
          <w:p w:rsidR="00883655" w:rsidRPr="009B7433" w:rsidRDefault="00883655" w:rsidP="004A1848">
            <w:pPr>
              <w:jc w:val="both"/>
              <w:rPr>
                <w:rFonts w:ascii="Book Antiqua" w:hAnsi="Book Antiqua" w:cs="Arial"/>
                <w:b/>
              </w:rPr>
            </w:pPr>
          </w:p>
        </w:tc>
      </w:tr>
    </w:tbl>
    <w:p w:rsidR="005723BB" w:rsidRPr="009B7433" w:rsidRDefault="005723BB" w:rsidP="00883655">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974388" w:rsidRPr="009B7433" w:rsidRDefault="00974388" w:rsidP="00A15234">
      <w:pPr>
        <w:jc w:val="center"/>
        <w:rPr>
          <w:rFonts w:ascii="Book Antiqua" w:hAnsi="Book Antiqua" w:cs="Arial"/>
          <w:b/>
        </w:rPr>
      </w:pPr>
    </w:p>
    <w:p w:rsidR="001B186A" w:rsidRPr="009B7433" w:rsidRDefault="00E33BC3" w:rsidP="00A15234">
      <w:pPr>
        <w:jc w:val="center"/>
        <w:rPr>
          <w:rFonts w:ascii="Book Antiqua" w:hAnsi="Book Antiqua" w:cs="Arial"/>
          <w:b/>
          <w:color w:val="000000"/>
        </w:rPr>
      </w:pPr>
      <w:r>
        <w:rPr>
          <w:rFonts w:ascii="Book Antiqua" w:hAnsi="Book Antiqua" w:cs="Arial"/>
          <w:b/>
          <w:color w:val="000000"/>
        </w:rPr>
        <w:t>UPPER TRIBUNAL JUDGE PLIMMER</w:t>
      </w:r>
    </w:p>
    <w:p w:rsidR="001B186A" w:rsidRPr="009B7433" w:rsidRDefault="001B186A" w:rsidP="00A15234">
      <w:pPr>
        <w:jc w:val="center"/>
        <w:rPr>
          <w:rFonts w:ascii="Book Antiqua" w:hAnsi="Book Antiqua" w:cs="Arial"/>
          <w:b/>
          <w:color w:val="000000"/>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704B61" w:rsidRDefault="00974388">
      <w:pPr>
        <w:jc w:val="center"/>
        <w:rPr>
          <w:rFonts w:ascii="Book Antiqua" w:hAnsi="Book Antiqua" w:cs="Arial"/>
          <w:b/>
          <w:caps/>
        </w:rPr>
      </w:pPr>
      <w:r>
        <w:rPr>
          <w:rFonts w:ascii="Book Antiqua" w:hAnsi="Book Antiqua" w:cs="Arial"/>
          <w:b/>
          <w:caps/>
        </w:rPr>
        <w:t>MIRZA RAHEEL AHMED</w:t>
      </w:r>
    </w:p>
    <w:p w:rsidR="00883655" w:rsidRPr="00F13070" w:rsidRDefault="00883655">
      <w:pPr>
        <w:jc w:val="center"/>
        <w:rPr>
          <w:rFonts w:ascii="Book Antiqua" w:hAnsi="Book Antiqua" w:cs="Arial"/>
        </w:rPr>
      </w:pPr>
      <w:r w:rsidRPr="00F13070">
        <w:rPr>
          <w:rFonts w:ascii="Book Antiqua" w:hAnsi="Book Antiqua" w:cs="Arial"/>
          <w:caps/>
        </w:rPr>
        <w:t xml:space="preserve">(anonymity direction not made) </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F13070" w:rsidRDefault="00F13070"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F13070" w:rsidRPr="009B7433" w:rsidRDefault="00F13070"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5723BB" w:rsidRDefault="005723BB"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974388">
        <w:rPr>
          <w:rFonts w:ascii="Book Antiqua" w:hAnsi="Book Antiqua" w:cs="Arial"/>
        </w:rPr>
        <w:t>a</w:t>
      </w:r>
      <w:r w:rsidRPr="009B7433">
        <w:rPr>
          <w:rFonts w:ascii="Book Antiqua" w:hAnsi="Book Antiqua" w:cs="Arial"/>
        </w:rPr>
        <w:t>ppellant:</w:t>
      </w:r>
      <w:r w:rsidRPr="009B7433">
        <w:rPr>
          <w:rFonts w:ascii="Book Antiqua" w:hAnsi="Book Antiqua" w:cs="Arial"/>
        </w:rPr>
        <w:tab/>
      </w:r>
      <w:r w:rsidR="00E33BC3">
        <w:rPr>
          <w:rFonts w:ascii="Book Antiqua" w:hAnsi="Book Antiqua" w:cs="Arial"/>
        </w:rPr>
        <w:t>M</w:t>
      </w:r>
      <w:r w:rsidR="006C3EE2">
        <w:rPr>
          <w:rFonts w:ascii="Book Antiqua" w:hAnsi="Book Antiqua" w:cs="Arial"/>
        </w:rPr>
        <w:t>r Hussain, Counsel</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974388">
        <w:rPr>
          <w:rFonts w:ascii="Book Antiqua" w:hAnsi="Book Antiqua" w:cs="Arial"/>
        </w:rPr>
        <w:t>r</w:t>
      </w:r>
      <w:r w:rsidRPr="009B7433">
        <w:rPr>
          <w:rFonts w:ascii="Book Antiqua" w:hAnsi="Book Antiqua" w:cs="Arial"/>
        </w:rPr>
        <w:t>espondent:</w:t>
      </w:r>
      <w:r w:rsidRPr="009B7433">
        <w:rPr>
          <w:rFonts w:ascii="Book Antiqua" w:hAnsi="Book Antiqua" w:cs="Arial"/>
        </w:rPr>
        <w:tab/>
      </w:r>
      <w:r w:rsidR="00E33BC3">
        <w:rPr>
          <w:rFonts w:ascii="Book Antiqua" w:hAnsi="Book Antiqua" w:cs="Arial"/>
        </w:rPr>
        <w:t>M</w:t>
      </w:r>
      <w:r w:rsidR="006C3EE2">
        <w:rPr>
          <w:rFonts w:ascii="Book Antiqua" w:hAnsi="Book Antiqua" w:cs="Arial"/>
        </w:rPr>
        <w:t xml:space="preserve">r </w:t>
      </w:r>
      <w:proofErr w:type="spellStart"/>
      <w:r w:rsidR="006C3EE2">
        <w:rPr>
          <w:rFonts w:ascii="Book Antiqua" w:hAnsi="Book Antiqua" w:cs="Arial"/>
        </w:rPr>
        <w:t>Diwnycz</w:t>
      </w:r>
      <w:proofErr w:type="spellEnd"/>
      <w:r w:rsidR="00E33BC3">
        <w:rPr>
          <w:rFonts w:ascii="Book Antiqua" w:hAnsi="Book Antiqua" w:cs="Arial"/>
        </w:rPr>
        <w:t xml:space="preserve">, Senior Home Office Presenting Officer </w:t>
      </w:r>
    </w:p>
    <w:p w:rsidR="00DE7DB7" w:rsidRPr="009B7433" w:rsidRDefault="00DE7DB7" w:rsidP="00883655">
      <w:pPr>
        <w:rPr>
          <w:rFonts w:ascii="Book Antiqua" w:hAnsi="Book Antiqua" w:cs="Arial"/>
        </w:rPr>
      </w:pPr>
    </w:p>
    <w:p w:rsidR="00EA79AF" w:rsidRDefault="00D949B7" w:rsidP="0088365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E33BC3" w:rsidRPr="00E33BC3" w:rsidRDefault="00E33BC3" w:rsidP="00E33BC3">
      <w:pPr>
        <w:spacing w:before="240"/>
        <w:jc w:val="both"/>
        <w:rPr>
          <w:rFonts w:ascii="Book Antiqua" w:hAnsi="Book Antiqua" w:cs="Arial"/>
          <w:b/>
          <w:u w:val="single"/>
        </w:rPr>
      </w:pPr>
      <w:r>
        <w:rPr>
          <w:rFonts w:ascii="Book Antiqua" w:hAnsi="Book Antiqua" w:cs="Arial"/>
          <w:b/>
          <w:u w:val="single"/>
        </w:rPr>
        <w:t>Introduction</w:t>
      </w:r>
    </w:p>
    <w:p w:rsidR="00974388" w:rsidRDefault="00E33BC3" w:rsidP="00DC1C11">
      <w:pPr>
        <w:numPr>
          <w:ilvl w:val="0"/>
          <w:numId w:val="1"/>
        </w:numPr>
        <w:tabs>
          <w:tab w:val="clear" w:pos="567"/>
        </w:tabs>
        <w:spacing w:before="240"/>
        <w:jc w:val="both"/>
        <w:rPr>
          <w:rFonts w:ascii="Book Antiqua" w:hAnsi="Book Antiqua" w:cs="Arial"/>
        </w:rPr>
      </w:pPr>
      <w:r w:rsidRPr="0029725D">
        <w:rPr>
          <w:rFonts w:ascii="Book Antiqua" w:hAnsi="Book Antiqua" w:cs="Arial"/>
        </w:rPr>
        <w:t xml:space="preserve">The appellant is a citizen of </w:t>
      </w:r>
      <w:r w:rsidR="00974388">
        <w:rPr>
          <w:rFonts w:ascii="Book Antiqua" w:hAnsi="Book Antiqua" w:cs="Arial"/>
        </w:rPr>
        <w:t>Pakistan</w:t>
      </w:r>
      <w:r w:rsidR="008366A6" w:rsidRPr="0029725D">
        <w:rPr>
          <w:rFonts w:ascii="Book Antiqua" w:hAnsi="Book Antiqua" w:cs="Arial"/>
        </w:rPr>
        <w:t>.</w:t>
      </w:r>
      <w:r w:rsidR="00974388">
        <w:rPr>
          <w:rFonts w:ascii="Book Antiqua" w:hAnsi="Book Antiqua" w:cs="Arial"/>
        </w:rPr>
        <w:t xml:space="preserve">  He married his spouse (‘the sponsor’), a British citizen in October 2012.</w:t>
      </w:r>
      <w:r w:rsidR="0029725D">
        <w:rPr>
          <w:rFonts w:ascii="Book Antiqua" w:hAnsi="Book Antiqua" w:cs="Arial"/>
        </w:rPr>
        <w:t xml:space="preserve">  </w:t>
      </w:r>
    </w:p>
    <w:p w:rsidR="008366A6" w:rsidRPr="0029725D" w:rsidRDefault="008366A6" w:rsidP="00DC1C11">
      <w:pPr>
        <w:numPr>
          <w:ilvl w:val="0"/>
          <w:numId w:val="1"/>
        </w:numPr>
        <w:tabs>
          <w:tab w:val="clear" w:pos="567"/>
        </w:tabs>
        <w:spacing w:before="240"/>
        <w:jc w:val="both"/>
        <w:rPr>
          <w:rFonts w:ascii="Book Antiqua" w:hAnsi="Book Antiqua" w:cs="Arial"/>
        </w:rPr>
      </w:pPr>
      <w:r w:rsidRPr="0029725D">
        <w:rPr>
          <w:rFonts w:ascii="Book Antiqua" w:hAnsi="Book Antiqua" w:cs="Arial"/>
        </w:rPr>
        <w:t>On 3</w:t>
      </w:r>
      <w:r w:rsidR="00974388">
        <w:rPr>
          <w:rFonts w:ascii="Book Antiqua" w:hAnsi="Book Antiqua" w:cs="Arial"/>
        </w:rPr>
        <w:t xml:space="preserve"> Nov</w:t>
      </w:r>
      <w:r w:rsidRPr="0029725D">
        <w:rPr>
          <w:rFonts w:ascii="Book Antiqua" w:hAnsi="Book Antiqua" w:cs="Arial"/>
        </w:rPr>
        <w:t xml:space="preserve">ember 2016, </w:t>
      </w:r>
      <w:r w:rsidR="00974388">
        <w:rPr>
          <w:rFonts w:ascii="Book Antiqua" w:hAnsi="Book Antiqua" w:cs="Arial"/>
        </w:rPr>
        <w:t xml:space="preserve">the appellant </w:t>
      </w:r>
      <w:r w:rsidRPr="0029725D">
        <w:rPr>
          <w:rFonts w:ascii="Book Antiqua" w:hAnsi="Book Antiqua" w:cs="Arial"/>
        </w:rPr>
        <w:t xml:space="preserve">applied for a </w:t>
      </w:r>
      <w:r w:rsidR="009724F9" w:rsidRPr="0029725D">
        <w:rPr>
          <w:rFonts w:ascii="Book Antiqua" w:hAnsi="Book Antiqua" w:cs="Arial"/>
        </w:rPr>
        <w:t xml:space="preserve">residence card </w:t>
      </w:r>
      <w:r w:rsidR="00974388">
        <w:rPr>
          <w:rFonts w:ascii="Book Antiqua" w:hAnsi="Book Antiqua" w:cs="Arial"/>
        </w:rPr>
        <w:t xml:space="preserve">on the basis that he was a family member of an EEA citizen and that </w:t>
      </w:r>
      <w:r w:rsidR="00324B5E">
        <w:rPr>
          <w:rFonts w:ascii="Book Antiqua" w:hAnsi="Book Antiqua" w:cs="Arial"/>
        </w:rPr>
        <w:t>r</w:t>
      </w:r>
      <w:r w:rsidR="009724F9" w:rsidRPr="0029725D">
        <w:rPr>
          <w:rFonts w:ascii="Book Antiqua" w:hAnsi="Book Antiqua" w:cs="Arial"/>
        </w:rPr>
        <w:t>eg</w:t>
      </w:r>
      <w:r w:rsidR="00974388">
        <w:rPr>
          <w:rFonts w:ascii="Book Antiqua" w:hAnsi="Book Antiqua" w:cs="Arial"/>
        </w:rPr>
        <w:t>ulation</w:t>
      </w:r>
      <w:r w:rsidR="009724F9" w:rsidRPr="0029725D">
        <w:rPr>
          <w:rFonts w:ascii="Book Antiqua" w:hAnsi="Book Antiqua" w:cs="Arial"/>
        </w:rPr>
        <w:t xml:space="preserve"> </w:t>
      </w:r>
      <w:r w:rsidR="00974388">
        <w:rPr>
          <w:rFonts w:ascii="Book Antiqua" w:hAnsi="Book Antiqua" w:cs="Arial"/>
        </w:rPr>
        <w:t>9</w:t>
      </w:r>
      <w:r w:rsidRPr="0029725D">
        <w:rPr>
          <w:rFonts w:ascii="Book Antiqua" w:hAnsi="Book Antiqua" w:cs="Arial"/>
        </w:rPr>
        <w:t xml:space="preserve"> of the Immigration (EEA) Regulations 2016 </w:t>
      </w:r>
      <w:r w:rsidR="00591E8A" w:rsidRPr="0029725D">
        <w:rPr>
          <w:rFonts w:ascii="Book Antiqua" w:hAnsi="Book Antiqua" w:cs="Arial"/>
        </w:rPr>
        <w:t>(SI 2016/1052) (</w:t>
      </w:r>
      <w:r w:rsidR="00974388">
        <w:rPr>
          <w:rFonts w:ascii="Book Antiqua" w:hAnsi="Book Antiqua" w:cs="Arial"/>
        </w:rPr>
        <w:t>‘</w:t>
      </w:r>
      <w:r w:rsidR="00591E8A" w:rsidRPr="0029725D">
        <w:rPr>
          <w:rFonts w:ascii="Book Antiqua" w:hAnsi="Book Antiqua" w:cs="Arial"/>
        </w:rPr>
        <w:t xml:space="preserve">the </w:t>
      </w:r>
      <w:r w:rsidR="00974388">
        <w:rPr>
          <w:rFonts w:ascii="Book Antiqua" w:hAnsi="Book Antiqua" w:cs="Arial"/>
        </w:rPr>
        <w:t xml:space="preserve">2016 </w:t>
      </w:r>
      <w:r w:rsidR="0022430F">
        <w:rPr>
          <w:rFonts w:ascii="Book Antiqua" w:hAnsi="Book Antiqua" w:cs="Arial"/>
        </w:rPr>
        <w:t xml:space="preserve">EEA </w:t>
      </w:r>
      <w:proofErr w:type="spellStart"/>
      <w:r w:rsidR="00591E8A" w:rsidRPr="0029725D">
        <w:rPr>
          <w:rFonts w:ascii="Book Antiqua" w:hAnsi="Book Antiqua" w:cs="Arial"/>
        </w:rPr>
        <w:t>Reg</w:t>
      </w:r>
      <w:r w:rsidR="00974388">
        <w:rPr>
          <w:rFonts w:ascii="Book Antiqua" w:hAnsi="Book Antiqua" w:cs="Arial"/>
        </w:rPr>
        <w:t>s</w:t>
      </w:r>
      <w:proofErr w:type="spellEnd"/>
      <w:r w:rsidR="00974388">
        <w:rPr>
          <w:rFonts w:ascii="Book Antiqua" w:hAnsi="Book Antiqua" w:cs="Arial"/>
        </w:rPr>
        <w:t>’</w:t>
      </w:r>
      <w:r w:rsidR="00591E8A" w:rsidRPr="0029725D">
        <w:rPr>
          <w:rFonts w:ascii="Book Antiqua" w:hAnsi="Book Antiqua" w:cs="Arial"/>
        </w:rPr>
        <w:t>)</w:t>
      </w:r>
      <w:r w:rsidR="00974388">
        <w:rPr>
          <w:rFonts w:ascii="Book Antiqua" w:hAnsi="Book Antiqua" w:cs="Arial"/>
        </w:rPr>
        <w:t xml:space="preserve"> applied</w:t>
      </w:r>
      <w:r w:rsidR="00591E8A" w:rsidRPr="0029725D">
        <w:rPr>
          <w:rFonts w:ascii="Book Antiqua" w:hAnsi="Book Antiqua" w:cs="Arial"/>
        </w:rPr>
        <w:t xml:space="preserve">.  The basis of that claim was that </w:t>
      </w:r>
      <w:r w:rsidR="00974388">
        <w:rPr>
          <w:rFonts w:ascii="Book Antiqua" w:hAnsi="Book Antiqua" w:cs="Arial"/>
        </w:rPr>
        <w:t>the appellant and sponsor genuinely resided in Ireland before returning to the UK</w:t>
      </w:r>
      <w:r w:rsidR="0022430F">
        <w:rPr>
          <w:rFonts w:ascii="Book Antiqua" w:hAnsi="Book Antiqua" w:cs="Arial"/>
        </w:rPr>
        <w:t xml:space="preserve"> in accordance with the requirements of regulation 9</w:t>
      </w:r>
      <w:r w:rsidR="00591E8A" w:rsidRPr="0029725D">
        <w:rPr>
          <w:rFonts w:ascii="Book Antiqua" w:hAnsi="Book Antiqua" w:cs="Arial"/>
        </w:rPr>
        <w:t xml:space="preserve">.  </w:t>
      </w:r>
    </w:p>
    <w:p w:rsidR="00591E8A" w:rsidRDefault="00591E8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w:t>
      </w:r>
      <w:r w:rsidR="00974388">
        <w:rPr>
          <w:rFonts w:ascii="Book Antiqua" w:hAnsi="Book Antiqua" w:cs="Arial"/>
        </w:rPr>
        <w:t>5 June</w:t>
      </w:r>
      <w:r>
        <w:rPr>
          <w:rFonts w:ascii="Book Antiqua" w:hAnsi="Book Antiqua" w:cs="Arial"/>
        </w:rPr>
        <w:t xml:space="preserve"> 2017, the </w:t>
      </w:r>
      <w:r w:rsidR="00974388">
        <w:rPr>
          <w:rFonts w:ascii="Book Antiqua" w:hAnsi="Book Antiqua" w:cs="Arial"/>
        </w:rPr>
        <w:t>respondent</w:t>
      </w:r>
      <w:r>
        <w:rPr>
          <w:rFonts w:ascii="Book Antiqua" w:hAnsi="Book Antiqua" w:cs="Arial"/>
        </w:rPr>
        <w:t xml:space="preserve"> refused the appellant’s application</w:t>
      </w:r>
      <w:r w:rsidR="0022430F">
        <w:rPr>
          <w:rFonts w:ascii="Book Antiqua" w:hAnsi="Book Antiqua" w:cs="Arial"/>
        </w:rPr>
        <w:t xml:space="preserve"> on the basis that he</w:t>
      </w:r>
      <w:r>
        <w:rPr>
          <w:rFonts w:ascii="Book Antiqua" w:hAnsi="Book Antiqua" w:cs="Arial"/>
        </w:rPr>
        <w:t xml:space="preserve"> was not satisfied that </w:t>
      </w:r>
      <w:r w:rsidR="00974388">
        <w:rPr>
          <w:rFonts w:ascii="Book Antiqua" w:hAnsi="Book Antiqua" w:cs="Arial"/>
        </w:rPr>
        <w:t>the parties’ residence in Ireland was genuine</w:t>
      </w:r>
      <w:r>
        <w:rPr>
          <w:rFonts w:ascii="Book Antiqua" w:hAnsi="Book Antiqua" w:cs="Arial"/>
        </w:rPr>
        <w:t xml:space="preserve">.  </w:t>
      </w:r>
    </w:p>
    <w:p w:rsidR="00591E8A" w:rsidRPr="00591E8A" w:rsidRDefault="00591E8A" w:rsidP="00F13070">
      <w:pPr>
        <w:tabs>
          <w:tab w:val="left" w:pos="7905"/>
        </w:tabs>
        <w:spacing w:before="240"/>
        <w:jc w:val="both"/>
        <w:rPr>
          <w:rFonts w:ascii="Book Antiqua" w:hAnsi="Book Antiqua" w:cs="Arial"/>
          <w:b/>
          <w:u w:val="single"/>
        </w:rPr>
      </w:pPr>
      <w:r w:rsidRPr="00591E8A">
        <w:rPr>
          <w:rFonts w:ascii="Book Antiqua" w:hAnsi="Book Antiqua" w:cs="Arial"/>
          <w:b/>
          <w:u w:val="single"/>
        </w:rPr>
        <w:lastRenderedPageBreak/>
        <w:t xml:space="preserve">The </w:t>
      </w:r>
      <w:r w:rsidR="0022430F">
        <w:rPr>
          <w:rFonts w:ascii="Book Antiqua" w:hAnsi="Book Antiqua" w:cs="Arial"/>
          <w:b/>
          <w:u w:val="single"/>
        </w:rPr>
        <w:t>a</w:t>
      </w:r>
      <w:r w:rsidRPr="00591E8A">
        <w:rPr>
          <w:rFonts w:ascii="Book Antiqua" w:hAnsi="Book Antiqua" w:cs="Arial"/>
          <w:b/>
          <w:u w:val="single"/>
        </w:rPr>
        <w:t xml:space="preserve">ppeal to the First-tier Tribunal </w:t>
      </w:r>
      <w:r w:rsidR="00F13070" w:rsidRPr="00F13070">
        <w:rPr>
          <w:rFonts w:ascii="Book Antiqua" w:hAnsi="Book Antiqua" w:cs="Arial"/>
          <w:b/>
        </w:rPr>
        <w:tab/>
      </w:r>
    </w:p>
    <w:p w:rsidR="00DC1C11" w:rsidRDefault="00591E8A" w:rsidP="00883655">
      <w:pPr>
        <w:numPr>
          <w:ilvl w:val="0"/>
          <w:numId w:val="1"/>
        </w:numPr>
        <w:tabs>
          <w:tab w:val="clear" w:pos="567"/>
        </w:tabs>
        <w:spacing w:before="240"/>
        <w:jc w:val="both"/>
        <w:rPr>
          <w:rFonts w:ascii="Book Antiqua" w:hAnsi="Book Antiqua" w:cs="Arial"/>
        </w:rPr>
      </w:pPr>
      <w:r>
        <w:rPr>
          <w:rFonts w:ascii="Book Antiqua" w:hAnsi="Book Antiqua" w:cs="Arial"/>
        </w:rPr>
        <w:t>The appellant appealed to the First-tier Tribunal</w:t>
      </w:r>
      <w:r w:rsidR="00974388">
        <w:rPr>
          <w:rFonts w:ascii="Book Antiqua" w:hAnsi="Book Antiqua" w:cs="Arial"/>
        </w:rPr>
        <w:t xml:space="preserve"> (‘FT</w:t>
      </w:r>
      <w:r w:rsidR="00082998">
        <w:rPr>
          <w:rFonts w:ascii="Book Antiqua" w:hAnsi="Book Antiqua" w:cs="Arial"/>
        </w:rPr>
        <w:t>T’)</w:t>
      </w:r>
      <w:r>
        <w:rPr>
          <w:rFonts w:ascii="Book Antiqua" w:hAnsi="Book Antiqua" w:cs="Arial"/>
        </w:rPr>
        <w:t xml:space="preserve">.  Judge </w:t>
      </w:r>
      <w:r w:rsidR="00974388">
        <w:rPr>
          <w:rFonts w:ascii="Book Antiqua" w:hAnsi="Book Antiqua" w:cs="Arial"/>
        </w:rPr>
        <w:t>O’Hanlon</w:t>
      </w:r>
      <w:r>
        <w:rPr>
          <w:rFonts w:ascii="Book Antiqua" w:hAnsi="Book Antiqua" w:cs="Arial"/>
        </w:rPr>
        <w:t xml:space="preserve"> dismissed the appellant’s appeal</w:t>
      </w:r>
      <w:r w:rsidR="0022430F">
        <w:rPr>
          <w:rFonts w:ascii="Book Antiqua" w:hAnsi="Book Antiqua" w:cs="Arial"/>
        </w:rPr>
        <w:t xml:space="preserve"> in a decision dated 9 April 2018</w:t>
      </w:r>
      <w:r>
        <w:rPr>
          <w:rFonts w:ascii="Book Antiqua" w:hAnsi="Book Antiqua" w:cs="Arial"/>
        </w:rPr>
        <w:t xml:space="preserve">.  </w:t>
      </w:r>
    </w:p>
    <w:p w:rsidR="0042638D" w:rsidRPr="00883655" w:rsidRDefault="00974388" w:rsidP="00883655">
      <w:pPr>
        <w:numPr>
          <w:ilvl w:val="0"/>
          <w:numId w:val="1"/>
        </w:numPr>
        <w:tabs>
          <w:tab w:val="clear" w:pos="567"/>
        </w:tabs>
        <w:spacing w:before="240"/>
        <w:jc w:val="both"/>
        <w:rPr>
          <w:rFonts w:ascii="Book Antiqua" w:hAnsi="Book Antiqua" w:cs="Arial"/>
        </w:rPr>
      </w:pPr>
      <w:r>
        <w:rPr>
          <w:rFonts w:ascii="Book Antiqua" w:hAnsi="Book Antiqua" w:cs="Arial"/>
        </w:rPr>
        <w:t>The FTT considered detailed documentary and oral evidence from both the appellant and</w:t>
      </w:r>
      <w:r w:rsidR="0042638D">
        <w:rPr>
          <w:rFonts w:ascii="Book Antiqua" w:hAnsi="Book Antiqua" w:cs="Arial"/>
        </w:rPr>
        <w:t xml:space="preserve"> the sponsor and made the following factual findings</w:t>
      </w:r>
      <w:r w:rsidR="0022430F">
        <w:rPr>
          <w:rFonts w:ascii="Book Antiqua" w:hAnsi="Book Antiqua" w:cs="Arial"/>
        </w:rPr>
        <w:t>, inter alia</w:t>
      </w:r>
      <w:r w:rsidR="0042638D">
        <w:rPr>
          <w:rFonts w:ascii="Book Antiqua" w:hAnsi="Book Antiqua" w:cs="Arial"/>
        </w:rPr>
        <w:t>: (</w:t>
      </w:r>
      <w:proofErr w:type="spellStart"/>
      <w:r w:rsidR="0042638D">
        <w:rPr>
          <w:rFonts w:ascii="Book Antiqua" w:hAnsi="Book Antiqua" w:cs="Arial"/>
        </w:rPr>
        <w:t>i</w:t>
      </w:r>
      <w:proofErr w:type="spellEnd"/>
      <w:r w:rsidR="0042638D">
        <w:rPr>
          <w:rFonts w:ascii="Book Antiqua" w:hAnsi="Book Antiqua" w:cs="Arial"/>
        </w:rPr>
        <w:t>) the sponsor was working in Ireland between June and December 2015, as claimed, and; (ii) the couple resided together in Ireland but the duration of this was open to doubt.  The FTT then considered whether the period of residence was genuine for the purposes of regulation 9(3)</w:t>
      </w:r>
      <w:r w:rsidR="0022430F">
        <w:rPr>
          <w:rFonts w:ascii="Book Antiqua" w:hAnsi="Book Antiqua" w:cs="Arial"/>
        </w:rPr>
        <w:t xml:space="preserve"> of the 2016 EEA </w:t>
      </w:r>
      <w:proofErr w:type="spellStart"/>
      <w:r w:rsidR="0022430F">
        <w:rPr>
          <w:rFonts w:ascii="Book Antiqua" w:hAnsi="Book Antiqua" w:cs="Arial"/>
        </w:rPr>
        <w:t>Regs</w:t>
      </w:r>
      <w:proofErr w:type="spellEnd"/>
      <w:r w:rsidR="0042638D">
        <w:rPr>
          <w:rFonts w:ascii="Book Antiqua" w:hAnsi="Book Antiqua" w:cs="Arial"/>
        </w:rPr>
        <w:t xml:space="preserve">.   The FTT acknowledged that in certain respects the couple’s life transferred to Ireland but found there was insufficient evidence to support any meaningful integration into Ireland or any intention to settle </w:t>
      </w:r>
      <w:proofErr w:type="spellStart"/>
      <w:r w:rsidR="0042638D">
        <w:rPr>
          <w:rFonts w:ascii="Book Antiqua" w:hAnsi="Book Antiqua" w:cs="Arial"/>
        </w:rPr>
        <w:t>there</w:t>
      </w:r>
      <w:proofErr w:type="spellEnd"/>
      <w:r w:rsidR="0042638D">
        <w:rPr>
          <w:rFonts w:ascii="Book Antiqua" w:hAnsi="Book Antiqua" w:cs="Arial"/>
        </w:rPr>
        <w:t xml:space="preserve"> beyond a temporary period.  The FTT also took into account the doubts regarding their length of residence in Ireland</w:t>
      </w:r>
      <w:r w:rsidR="00DC1C11">
        <w:rPr>
          <w:rFonts w:ascii="Book Antiqua" w:hAnsi="Book Antiqua" w:cs="Arial"/>
        </w:rPr>
        <w:t xml:space="preserve"> and the stated reasons for moving to Ireland</w:t>
      </w:r>
      <w:r w:rsidR="0042638D">
        <w:rPr>
          <w:rFonts w:ascii="Book Antiqua" w:hAnsi="Book Antiqua" w:cs="Arial"/>
        </w:rPr>
        <w:t xml:space="preserve">.  Having considered all the evidence, the FTT concluded that the couple’s residence in Ireland was not genuine </w:t>
      </w:r>
      <w:r w:rsidR="00DC1C11">
        <w:rPr>
          <w:rFonts w:ascii="Book Antiqua" w:hAnsi="Book Antiqua" w:cs="Arial"/>
        </w:rPr>
        <w:t>and was to circumvent the immigration laws that would otherwise apply to the appellant.</w:t>
      </w:r>
    </w:p>
    <w:p w:rsidR="00591E8A" w:rsidRPr="00591E8A" w:rsidRDefault="00591E8A" w:rsidP="00591E8A">
      <w:pPr>
        <w:spacing w:before="240"/>
        <w:jc w:val="both"/>
        <w:rPr>
          <w:rFonts w:ascii="Book Antiqua" w:hAnsi="Book Antiqua" w:cs="Arial"/>
          <w:b/>
          <w:u w:val="single"/>
        </w:rPr>
      </w:pPr>
      <w:r>
        <w:rPr>
          <w:rFonts w:ascii="Book Antiqua" w:hAnsi="Book Antiqua" w:cs="Arial"/>
          <w:b/>
          <w:u w:val="single"/>
        </w:rPr>
        <w:t xml:space="preserve">The </w:t>
      </w:r>
      <w:r w:rsidR="00DC1C11">
        <w:rPr>
          <w:rFonts w:ascii="Book Antiqua" w:hAnsi="Book Antiqua" w:cs="Arial"/>
          <w:b/>
          <w:u w:val="single"/>
        </w:rPr>
        <w:t>a</w:t>
      </w:r>
      <w:r>
        <w:rPr>
          <w:rFonts w:ascii="Book Antiqua" w:hAnsi="Book Antiqua" w:cs="Arial"/>
          <w:b/>
          <w:u w:val="single"/>
        </w:rPr>
        <w:t xml:space="preserve">ppeal to the Upper Tribunal </w:t>
      </w:r>
    </w:p>
    <w:p w:rsidR="00591E8A" w:rsidRDefault="00591E8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sought permission to appeal to the Upper Tribunal on the basis that the judge erred in law </w:t>
      </w:r>
      <w:r w:rsidR="00DC1C11">
        <w:rPr>
          <w:rFonts w:ascii="Book Antiqua" w:hAnsi="Book Antiqua" w:cs="Arial"/>
        </w:rPr>
        <w:t xml:space="preserve">in </w:t>
      </w:r>
      <w:r w:rsidR="002620B5">
        <w:rPr>
          <w:rFonts w:ascii="Book Antiqua" w:hAnsi="Book Antiqua" w:cs="Arial"/>
        </w:rPr>
        <w:t>finding an absen</w:t>
      </w:r>
      <w:r w:rsidR="0022430F">
        <w:rPr>
          <w:rFonts w:ascii="Book Antiqua" w:hAnsi="Book Antiqua" w:cs="Arial"/>
        </w:rPr>
        <w:t>ce</w:t>
      </w:r>
      <w:r w:rsidR="002620B5">
        <w:rPr>
          <w:rFonts w:ascii="Book Antiqua" w:hAnsi="Book Antiqua" w:cs="Arial"/>
        </w:rPr>
        <w:t xml:space="preserve"> of evidence to support any meaningful attempt to integrate into Ireland such as to demonstrate an intention of permanent residence there</w:t>
      </w:r>
      <w:r>
        <w:rPr>
          <w:rFonts w:ascii="Book Antiqua" w:hAnsi="Book Antiqua" w:cs="Arial"/>
        </w:rPr>
        <w:t>.</w:t>
      </w:r>
    </w:p>
    <w:p w:rsidR="00DC1C11" w:rsidRDefault="00591E8A" w:rsidP="00883655">
      <w:pPr>
        <w:numPr>
          <w:ilvl w:val="0"/>
          <w:numId w:val="1"/>
        </w:numPr>
        <w:tabs>
          <w:tab w:val="clear" w:pos="567"/>
        </w:tabs>
        <w:spacing w:before="240"/>
        <w:jc w:val="both"/>
        <w:rPr>
          <w:rFonts w:ascii="Book Antiqua" w:hAnsi="Book Antiqua" w:cs="Arial"/>
        </w:rPr>
      </w:pPr>
      <w:r>
        <w:rPr>
          <w:rFonts w:ascii="Book Antiqua" w:hAnsi="Book Antiqua" w:cs="Arial"/>
        </w:rPr>
        <w:t xml:space="preserve">On </w:t>
      </w:r>
      <w:r w:rsidR="00DC1C11">
        <w:rPr>
          <w:rFonts w:ascii="Book Antiqua" w:hAnsi="Book Antiqua" w:cs="Arial"/>
        </w:rPr>
        <w:t>21 May</w:t>
      </w:r>
      <w:r>
        <w:rPr>
          <w:rFonts w:ascii="Book Antiqua" w:hAnsi="Book Antiqua" w:cs="Arial"/>
        </w:rPr>
        <w:t xml:space="preserve"> 2018, the F</w:t>
      </w:r>
      <w:r w:rsidR="002620B5">
        <w:rPr>
          <w:rFonts w:ascii="Book Antiqua" w:hAnsi="Book Antiqua" w:cs="Arial"/>
        </w:rPr>
        <w:t>T</w:t>
      </w:r>
      <w:r w:rsidR="00082998">
        <w:rPr>
          <w:rFonts w:ascii="Book Antiqua" w:hAnsi="Book Antiqua" w:cs="Arial"/>
        </w:rPr>
        <w:t>T</w:t>
      </w:r>
      <w:r>
        <w:rPr>
          <w:rFonts w:ascii="Book Antiqua" w:hAnsi="Book Antiqua" w:cs="Arial"/>
        </w:rPr>
        <w:t xml:space="preserve"> (Judge </w:t>
      </w:r>
      <w:r w:rsidR="00DC1C11">
        <w:rPr>
          <w:rFonts w:ascii="Book Antiqua" w:hAnsi="Book Antiqua" w:cs="Arial"/>
        </w:rPr>
        <w:t>CA Parker</w:t>
      </w:r>
      <w:r>
        <w:rPr>
          <w:rFonts w:ascii="Book Antiqua" w:hAnsi="Book Antiqua" w:cs="Arial"/>
        </w:rPr>
        <w:t>) granted the appellant permission to appeal</w:t>
      </w:r>
      <w:r w:rsidR="00DC1C11">
        <w:rPr>
          <w:rFonts w:ascii="Book Antiqua" w:hAnsi="Book Antiqua" w:cs="Arial"/>
        </w:rPr>
        <w:t xml:space="preserve"> observing that there </w:t>
      </w:r>
      <w:r w:rsidR="002620B5">
        <w:rPr>
          <w:rFonts w:ascii="Book Antiqua" w:hAnsi="Book Antiqua" w:cs="Arial"/>
        </w:rPr>
        <w:t xml:space="preserve">whilst the judge appears to have made careful findings, it was arguable that the judge did not have regard to the relevant principles set out in </w:t>
      </w:r>
      <w:r w:rsidR="00E65539">
        <w:rPr>
          <w:rFonts w:ascii="Book Antiqua" w:hAnsi="Book Antiqua" w:cs="Arial"/>
          <w:u w:val="single"/>
        </w:rPr>
        <w:t>R v IAT and S</w:t>
      </w:r>
      <w:r w:rsidR="002620B5" w:rsidRPr="00883655">
        <w:rPr>
          <w:rFonts w:ascii="Book Antiqua" w:hAnsi="Book Antiqua" w:cs="Arial"/>
          <w:u w:val="single"/>
        </w:rPr>
        <w:t>urinder Singh</w:t>
      </w:r>
      <w:r w:rsidR="002620B5">
        <w:rPr>
          <w:rFonts w:ascii="Book Antiqua" w:hAnsi="Book Antiqua" w:cs="Arial"/>
        </w:rPr>
        <w:t xml:space="preserve"> </w:t>
      </w:r>
      <w:r w:rsidR="00E65539">
        <w:rPr>
          <w:rFonts w:ascii="Book Antiqua" w:hAnsi="Book Antiqua" w:cs="Arial"/>
        </w:rPr>
        <w:t>(</w:t>
      </w:r>
      <w:r w:rsidR="002620B5">
        <w:rPr>
          <w:rFonts w:ascii="Book Antiqua" w:hAnsi="Book Antiqua" w:cs="Arial"/>
        </w:rPr>
        <w:t>C-370/90</w:t>
      </w:r>
      <w:r w:rsidR="00E65539">
        <w:rPr>
          <w:rFonts w:ascii="Book Antiqua" w:hAnsi="Book Antiqua" w:cs="Arial"/>
        </w:rPr>
        <w:t>) [1992] ECR I-04265</w:t>
      </w:r>
      <w:r w:rsidR="002620B5">
        <w:rPr>
          <w:rFonts w:ascii="Book Antiqua" w:hAnsi="Book Antiqua" w:cs="Arial"/>
        </w:rPr>
        <w:t xml:space="preserve"> and therefore arguably failed to follow</w:t>
      </w:r>
      <w:r w:rsidR="00DC1C11">
        <w:rPr>
          <w:rFonts w:ascii="Book Antiqua" w:hAnsi="Book Antiqua" w:cs="Arial"/>
        </w:rPr>
        <w:t xml:space="preserve"> the relevant authorities giving guidance on the correct assessment of regulation 9</w:t>
      </w:r>
      <w:r>
        <w:rPr>
          <w:rFonts w:ascii="Book Antiqua" w:hAnsi="Book Antiqua" w:cs="Arial"/>
        </w:rPr>
        <w:t xml:space="preserve">. </w:t>
      </w:r>
    </w:p>
    <w:p w:rsidR="002620B5" w:rsidRDefault="001A0D83" w:rsidP="00883655">
      <w:pPr>
        <w:numPr>
          <w:ilvl w:val="0"/>
          <w:numId w:val="1"/>
        </w:numPr>
        <w:tabs>
          <w:tab w:val="clear" w:pos="567"/>
        </w:tabs>
        <w:spacing w:before="240"/>
        <w:jc w:val="both"/>
        <w:rPr>
          <w:rFonts w:ascii="Book Antiqua" w:hAnsi="Book Antiqua" w:cs="Arial"/>
        </w:rPr>
      </w:pPr>
      <w:r>
        <w:rPr>
          <w:rFonts w:ascii="Book Antiqua" w:hAnsi="Book Antiqua" w:cs="Arial"/>
        </w:rPr>
        <w:t>At the hearing before me M</w:t>
      </w:r>
      <w:r w:rsidR="006C3EE2">
        <w:rPr>
          <w:rFonts w:ascii="Book Antiqua" w:hAnsi="Book Antiqua" w:cs="Arial"/>
        </w:rPr>
        <w:t>r Hussain</w:t>
      </w:r>
      <w:r>
        <w:rPr>
          <w:rFonts w:ascii="Book Antiqua" w:hAnsi="Book Antiqua" w:cs="Arial"/>
        </w:rPr>
        <w:t xml:space="preserve"> relied upon grounds of appeal</w:t>
      </w:r>
      <w:r w:rsidR="00103A61">
        <w:rPr>
          <w:rFonts w:ascii="Book Antiqua" w:hAnsi="Book Antiqua" w:cs="Arial"/>
        </w:rPr>
        <w:t xml:space="preserve"> that he had drafted for the purposes of the permission application</w:t>
      </w:r>
      <w:r>
        <w:rPr>
          <w:rFonts w:ascii="Book Antiqua" w:hAnsi="Book Antiqua" w:cs="Arial"/>
        </w:rPr>
        <w:t>.  As drafted these only clearly outline one ground of appeal relating to the FTT’s approach to the degree of integration the parties had in Ireland.  This overarching ground can be divided as follows:</w:t>
      </w:r>
    </w:p>
    <w:p w:rsidR="001A0D83" w:rsidRDefault="001A0D83" w:rsidP="00883655">
      <w:pPr>
        <w:pStyle w:val="ListParagraph"/>
        <w:numPr>
          <w:ilvl w:val="2"/>
          <w:numId w:val="1"/>
        </w:numPr>
        <w:spacing w:before="240"/>
        <w:jc w:val="both"/>
        <w:rPr>
          <w:rFonts w:ascii="Book Antiqua" w:hAnsi="Book Antiqua" w:cs="Arial"/>
        </w:rPr>
      </w:pPr>
      <w:r>
        <w:rPr>
          <w:rFonts w:ascii="Book Antiqua" w:hAnsi="Book Antiqua" w:cs="Arial"/>
        </w:rPr>
        <w:t>The FTT failed to take into account evidence that the appellant and sponsor had moved to Ireland with the intention of permanently residing there;</w:t>
      </w:r>
    </w:p>
    <w:p w:rsidR="001A0D83" w:rsidRDefault="001A0D83" w:rsidP="00883655">
      <w:pPr>
        <w:pStyle w:val="ListParagraph"/>
        <w:spacing w:before="240"/>
        <w:ind w:left="1701"/>
        <w:jc w:val="both"/>
        <w:rPr>
          <w:rFonts w:ascii="Book Antiqua" w:hAnsi="Book Antiqua" w:cs="Arial"/>
        </w:rPr>
      </w:pPr>
    </w:p>
    <w:p w:rsidR="001A0D83" w:rsidRPr="00883655" w:rsidRDefault="001A0D83">
      <w:pPr>
        <w:pStyle w:val="ListParagraph"/>
        <w:numPr>
          <w:ilvl w:val="2"/>
          <w:numId w:val="1"/>
        </w:numPr>
        <w:spacing w:before="240"/>
        <w:jc w:val="both"/>
        <w:rPr>
          <w:rFonts w:ascii="Book Antiqua" w:hAnsi="Book Antiqua" w:cs="Arial"/>
        </w:rPr>
      </w:pPr>
      <w:r>
        <w:rPr>
          <w:rFonts w:ascii="Book Antiqua" w:hAnsi="Book Antiqua" w:cs="Arial"/>
        </w:rPr>
        <w:t xml:space="preserve">The FTT failed to make any reference to the </w:t>
      </w:r>
      <w:r w:rsidRPr="00883655">
        <w:rPr>
          <w:rFonts w:ascii="Book Antiqua" w:hAnsi="Book Antiqua" w:cs="Arial"/>
          <w:u w:val="single"/>
        </w:rPr>
        <w:t>Surinder Singh</w:t>
      </w:r>
      <w:r>
        <w:rPr>
          <w:rFonts w:ascii="Book Antiqua" w:hAnsi="Book Antiqua" w:cs="Arial"/>
        </w:rPr>
        <w:t xml:space="preserve"> principles;</w:t>
      </w:r>
    </w:p>
    <w:p w:rsidR="001A0D83" w:rsidRPr="00883655" w:rsidRDefault="001A0D83" w:rsidP="00883655">
      <w:pPr>
        <w:pStyle w:val="ListParagraph"/>
        <w:spacing w:before="240"/>
        <w:ind w:left="1701"/>
        <w:jc w:val="both"/>
        <w:rPr>
          <w:rFonts w:ascii="Book Antiqua" w:hAnsi="Book Antiqua" w:cs="Arial"/>
        </w:rPr>
      </w:pPr>
    </w:p>
    <w:p w:rsidR="001A0D83" w:rsidRPr="00883655" w:rsidRDefault="001A0D83" w:rsidP="00883655">
      <w:pPr>
        <w:pStyle w:val="ListParagraph"/>
        <w:numPr>
          <w:ilvl w:val="2"/>
          <w:numId w:val="1"/>
        </w:numPr>
        <w:spacing w:before="240"/>
        <w:jc w:val="both"/>
        <w:rPr>
          <w:rFonts w:ascii="Book Antiqua" w:hAnsi="Book Antiqua" w:cs="Arial"/>
        </w:rPr>
      </w:pPr>
      <w:r>
        <w:rPr>
          <w:rFonts w:ascii="Book Antiqua" w:hAnsi="Book Antiqua" w:cs="Arial"/>
        </w:rPr>
        <w:t xml:space="preserve">The FTT focused unfairly on the parties’ length of residence and failed to make any clear finding about this; even if the FTT was only minded </w:t>
      </w:r>
      <w:proofErr w:type="gramStart"/>
      <w:r>
        <w:rPr>
          <w:rFonts w:ascii="Book Antiqua" w:hAnsi="Book Antiqua" w:cs="Arial"/>
        </w:rPr>
        <w:t>to find</w:t>
      </w:r>
      <w:proofErr w:type="gramEnd"/>
      <w:r>
        <w:rPr>
          <w:rFonts w:ascii="Book Antiqua" w:hAnsi="Book Antiqua" w:cs="Arial"/>
        </w:rPr>
        <w:t xml:space="preserve"> residence in Ireland was for a period of some six months ending in January 2016, it erred in finding this period inadequate to demonstrate genuine residence.</w:t>
      </w:r>
      <w:bookmarkStart w:id="0" w:name="_GoBack"/>
      <w:bookmarkEnd w:id="0"/>
    </w:p>
    <w:p w:rsidR="001A0D83" w:rsidRDefault="001A0D83" w:rsidP="00883655">
      <w:pPr>
        <w:numPr>
          <w:ilvl w:val="0"/>
          <w:numId w:val="1"/>
        </w:numPr>
        <w:tabs>
          <w:tab w:val="clear" w:pos="567"/>
        </w:tabs>
        <w:spacing w:before="240"/>
        <w:jc w:val="both"/>
        <w:rPr>
          <w:rFonts w:ascii="Book Antiqua" w:hAnsi="Book Antiqua" w:cs="Arial"/>
        </w:rPr>
      </w:pPr>
      <w:r>
        <w:rPr>
          <w:rFonts w:ascii="Book Antiqua" w:hAnsi="Book Antiqua" w:cs="Arial"/>
        </w:rPr>
        <w:lastRenderedPageBreak/>
        <w:t>M</w:t>
      </w:r>
      <w:r w:rsidR="006C3EE2">
        <w:rPr>
          <w:rFonts w:ascii="Book Antiqua" w:hAnsi="Book Antiqua" w:cs="Arial"/>
        </w:rPr>
        <w:t xml:space="preserve">r </w:t>
      </w:r>
      <w:proofErr w:type="spellStart"/>
      <w:r w:rsidR="006C3EE2">
        <w:rPr>
          <w:rFonts w:ascii="Book Antiqua" w:hAnsi="Book Antiqua" w:cs="Arial"/>
        </w:rPr>
        <w:t>Diwnycz</w:t>
      </w:r>
      <w:proofErr w:type="spellEnd"/>
      <w:r>
        <w:rPr>
          <w:rFonts w:ascii="Book Antiqua" w:hAnsi="Book Antiqua" w:cs="Arial"/>
        </w:rPr>
        <w:t xml:space="preserve"> submitted</w:t>
      </w:r>
      <w:r w:rsidR="006C3EE2">
        <w:rPr>
          <w:rFonts w:ascii="Book Antiqua" w:hAnsi="Book Antiqua" w:cs="Arial"/>
        </w:rPr>
        <w:t xml:space="preserve"> that the FTT decision was adequately reasoned and contains no error of law.</w:t>
      </w:r>
    </w:p>
    <w:p w:rsidR="001A0D83" w:rsidRDefault="001A0D83" w:rsidP="00883655">
      <w:pPr>
        <w:numPr>
          <w:ilvl w:val="0"/>
          <w:numId w:val="1"/>
        </w:numPr>
        <w:tabs>
          <w:tab w:val="clear" w:pos="567"/>
        </w:tabs>
        <w:spacing w:before="240"/>
        <w:jc w:val="both"/>
        <w:rPr>
          <w:rFonts w:ascii="Book Antiqua" w:hAnsi="Book Antiqua" w:cs="Arial"/>
        </w:rPr>
      </w:pPr>
      <w:r>
        <w:rPr>
          <w:rFonts w:ascii="Book Antiqua" w:hAnsi="Book Antiqua" w:cs="Arial"/>
        </w:rPr>
        <w:t>After hearing from both representatives, I reserved my decision which I now provide with reasons.</w:t>
      </w:r>
    </w:p>
    <w:p w:rsidR="00474965" w:rsidRDefault="00474965" w:rsidP="00883655">
      <w:pPr>
        <w:pStyle w:val="indent11"/>
        <w:jc w:val="both"/>
        <w:rPr>
          <w:rFonts w:ascii="Book Antiqua" w:hAnsi="Book Antiqua"/>
        </w:rPr>
      </w:pPr>
    </w:p>
    <w:p w:rsidR="00474965" w:rsidRPr="00883655" w:rsidRDefault="00474965" w:rsidP="00883655">
      <w:pPr>
        <w:pStyle w:val="indent11"/>
        <w:jc w:val="both"/>
        <w:rPr>
          <w:rFonts w:ascii="Book Antiqua" w:hAnsi="Book Antiqua"/>
          <w:b/>
          <w:u w:val="single"/>
        </w:rPr>
      </w:pPr>
      <w:r w:rsidRPr="00883655">
        <w:rPr>
          <w:rFonts w:ascii="Book Antiqua" w:hAnsi="Book Antiqua"/>
          <w:b/>
          <w:u w:val="single"/>
        </w:rPr>
        <w:t>Discussion</w:t>
      </w:r>
    </w:p>
    <w:p w:rsidR="00474965" w:rsidRDefault="00474965" w:rsidP="00883655">
      <w:pPr>
        <w:pStyle w:val="indent11"/>
        <w:jc w:val="both"/>
        <w:rPr>
          <w:rFonts w:ascii="Book Antiqua" w:hAnsi="Book Antiqua"/>
        </w:rPr>
      </w:pPr>
    </w:p>
    <w:p w:rsidR="00474965" w:rsidRDefault="001A0D83" w:rsidP="00883655">
      <w:pPr>
        <w:pStyle w:val="indent11"/>
        <w:numPr>
          <w:ilvl w:val="0"/>
          <w:numId w:val="1"/>
        </w:numPr>
        <w:jc w:val="both"/>
        <w:rPr>
          <w:rFonts w:ascii="Book Antiqua" w:hAnsi="Book Antiqua"/>
        </w:rPr>
      </w:pPr>
      <w:r>
        <w:rPr>
          <w:rFonts w:ascii="Book Antiqua" w:hAnsi="Book Antiqua"/>
        </w:rPr>
        <w:t xml:space="preserve">It is convenient to address each of the </w:t>
      </w:r>
      <w:r w:rsidR="00E65539">
        <w:rPr>
          <w:rFonts w:ascii="Book Antiqua" w:hAnsi="Book Antiqua"/>
        </w:rPr>
        <w:t xml:space="preserve">broad </w:t>
      </w:r>
      <w:r>
        <w:rPr>
          <w:rFonts w:ascii="Book Antiqua" w:hAnsi="Book Antiqua"/>
        </w:rPr>
        <w:t xml:space="preserve">submissions made on behalf of the appellant discretely and </w:t>
      </w:r>
      <w:r w:rsidR="00474965">
        <w:rPr>
          <w:rFonts w:ascii="Book Antiqua" w:hAnsi="Book Antiqua"/>
        </w:rPr>
        <w:t xml:space="preserve">in </w:t>
      </w:r>
      <w:r>
        <w:rPr>
          <w:rFonts w:ascii="Book Antiqua" w:hAnsi="Book Antiqua"/>
        </w:rPr>
        <w:t>the order set out in the grounds of appeal</w:t>
      </w:r>
      <w:r w:rsidR="00E65539">
        <w:rPr>
          <w:rFonts w:ascii="Book Antiqua" w:hAnsi="Book Antiqua"/>
        </w:rPr>
        <w:t>.</w:t>
      </w:r>
    </w:p>
    <w:p w:rsidR="001A0D83" w:rsidRPr="00883655" w:rsidRDefault="001A0D83" w:rsidP="00883655">
      <w:pPr>
        <w:pStyle w:val="indent11"/>
        <w:jc w:val="both"/>
        <w:rPr>
          <w:rFonts w:ascii="Book Antiqua" w:hAnsi="Book Antiqua"/>
          <w:i/>
        </w:rPr>
      </w:pPr>
    </w:p>
    <w:p w:rsidR="001A0D83" w:rsidRPr="00883655" w:rsidRDefault="001A0D83" w:rsidP="00883655">
      <w:pPr>
        <w:pStyle w:val="indent11"/>
        <w:jc w:val="both"/>
        <w:rPr>
          <w:rFonts w:ascii="Book Antiqua" w:hAnsi="Book Antiqua"/>
          <w:i/>
        </w:rPr>
      </w:pPr>
      <w:r w:rsidRPr="00883655">
        <w:rPr>
          <w:rFonts w:ascii="Book Antiqua" w:hAnsi="Book Antiqua"/>
          <w:i/>
        </w:rPr>
        <w:t>The FTT failed to take into account evidence that the appellant and sponsor had moved to Ireland with the intention of permanently residing there</w:t>
      </w:r>
    </w:p>
    <w:p w:rsidR="0007072A" w:rsidRPr="001A0D83" w:rsidRDefault="0007072A" w:rsidP="00883655">
      <w:pPr>
        <w:pStyle w:val="indent11"/>
        <w:ind w:left="1701"/>
        <w:jc w:val="both"/>
        <w:rPr>
          <w:rFonts w:ascii="Book Antiqua" w:hAnsi="Book Antiqua"/>
        </w:rPr>
      </w:pPr>
    </w:p>
    <w:p w:rsidR="0007072A" w:rsidRDefault="001A0D83" w:rsidP="00883655">
      <w:pPr>
        <w:pStyle w:val="indent11"/>
        <w:numPr>
          <w:ilvl w:val="0"/>
          <w:numId w:val="1"/>
        </w:numPr>
        <w:jc w:val="both"/>
        <w:rPr>
          <w:rFonts w:ascii="Book Antiqua" w:hAnsi="Book Antiqua"/>
        </w:rPr>
      </w:pPr>
      <w:r>
        <w:rPr>
          <w:rFonts w:ascii="Book Antiqua" w:hAnsi="Book Antiqua"/>
        </w:rPr>
        <w:t xml:space="preserve">The grounds of appeal draw specific attention to factors supportive of the claim that the appellant and sponsor </w:t>
      </w:r>
      <w:r w:rsidR="00E65539">
        <w:rPr>
          <w:rFonts w:ascii="Book Antiqua" w:hAnsi="Book Antiqua"/>
        </w:rPr>
        <w:t xml:space="preserve">transferred their lives and </w:t>
      </w:r>
      <w:r>
        <w:rPr>
          <w:rFonts w:ascii="Book Antiqua" w:hAnsi="Book Antiqua"/>
        </w:rPr>
        <w:t xml:space="preserve">integrated into Ireland.  </w:t>
      </w:r>
      <w:r w:rsidR="00E65539">
        <w:rPr>
          <w:rFonts w:ascii="Book Antiqua" w:hAnsi="Book Antiqua"/>
        </w:rPr>
        <w:t>The FTT properly considered these two matters to be set out at regulation 9(2)(c) and (d) and to be interlinked at [39].  Mr Hussain drew my attention to matters tending to show that the sponsor had transferred her life to Ireland and the couple had integrated into Ireland as follows</w:t>
      </w:r>
      <w:r>
        <w:rPr>
          <w:rFonts w:ascii="Book Antiqua" w:hAnsi="Book Antiqua"/>
        </w:rPr>
        <w:t>: the</w:t>
      </w:r>
      <w:r w:rsidR="00E65539">
        <w:rPr>
          <w:rFonts w:ascii="Book Antiqua" w:hAnsi="Book Antiqua"/>
        </w:rPr>
        <w:t xml:space="preserve"> parties</w:t>
      </w:r>
      <w:r>
        <w:rPr>
          <w:rFonts w:ascii="Book Antiqua" w:hAnsi="Book Antiqua"/>
        </w:rPr>
        <w:t xml:space="preserve"> were lawfully resident</w:t>
      </w:r>
      <w:r w:rsidR="00E65539">
        <w:rPr>
          <w:rFonts w:ascii="Book Antiqua" w:hAnsi="Book Antiqua"/>
        </w:rPr>
        <w:t xml:space="preserve"> in Ireland</w:t>
      </w:r>
      <w:r>
        <w:rPr>
          <w:rFonts w:ascii="Book Antiqua" w:hAnsi="Book Antiqua"/>
        </w:rPr>
        <w:t>; they had bank accounts, rented property and were registered with a GP;</w:t>
      </w:r>
      <w:r w:rsidR="0007072A">
        <w:rPr>
          <w:rFonts w:ascii="Book Antiqua" w:hAnsi="Book Antiqua"/>
        </w:rPr>
        <w:t xml:space="preserve"> the sponsor had genuine employment in Ireland; they established family life in Ireland and were entitled to do so in exercise of the sponsor’s Treaty rights.</w:t>
      </w:r>
      <w:r w:rsidR="00E65539">
        <w:rPr>
          <w:rFonts w:ascii="Book Antiqua" w:hAnsi="Book Antiqua"/>
        </w:rPr>
        <w:t xml:space="preserve">  </w:t>
      </w:r>
      <w:r w:rsidR="0007072A">
        <w:rPr>
          <w:rFonts w:ascii="Book Antiqua" w:hAnsi="Book Antiqua"/>
        </w:rPr>
        <w:t xml:space="preserve">The grounds of appeal fail to </w:t>
      </w:r>
      <w:r w:rsidR="00E65539">
        <w:rPr>
          <w:rFonts w:ascii="Book Antiqua" w:hAnsi="Book Antiqua"/>
        </w:rPr>
        <w:t xml:space="preserve">properly </w:t>
      </w:r>
      <w:r w:rsidR="0007072A">
        <w:rPr>
          <w:rFonts w:ascii="Book Antiqua" w:hAnsi="Book Antiqua"/>
        </w:rPr>
        <w:t xml:space="preserve">acknowledge that the FTT was well aware of all these matters, having carefully summarised the evidence before it.  In particular, the FTT expressly accepted that the sponsor was working as claimed in Ireland for the period June to December 2015 and was exercising Treaty rights [36].  The FTT also took into account the voluminous documentation in support of the parties living together in Ireland and enjoying family life there at least until January 2016 [38].  The documentary evidence available included bank statements, </w:t>
      </w:r>
      <w:r w:rsidR="002E2F95">
        <w:rPr>
          <w:rFonts w:ascii="Book Antiqua" w:hAnsi="Book Antiqua"/>
        </w:rPr>
        <w:t>tenancy agreement</w:t>
      </w:r>
      <w:r w:rsidR="0007072A">
        <w:rPr>
          <w:rFonts w:ascii="Book Antiqua" w:hAnsi="Book Antiqua"/>
        </w:rPr>
        <w:t xml:space="preserve"> and GP lette</w:t>
      </w:r>
      <w:r w:rsidR="002E2F95">
        <w:rPr>
          <w:rFonts w:ascii="Book Antiqua" w:hAnsi="Book Antiqua"/>
        </w:rPr>
        <w:t>rs as referred to at [35] to [39</w:t>
      </w:r>
      <w:r w:rsidR="0007072A">
        <w:rPr>
          <w:rFonts w:ascii="Book Antiqua" w:hAnsi="Book Antiqua"/>
        </w:rPr>
        <w:t xml:space="preserve">].  The FTT </w:t>
      </w:r>
      <w:r w:rsidR="002E2F95">
        <w:rPr>
          <w:rFonts w:ascii="Book Antiqua" w:hAnsi="Book Antiqua"/>
        </w:rPr>
        <w:t xml:space="preserve">was also </w:t>
      </w:r>
      <w:r w:rsidR="00E65539">
        <w:rPr>
          <w:rFonts w:ascii="Book Antiqua" w:hAnsi="Book Antiqua"/>
        </w:rPr>
        <w:t xml:space="preserve">clearly </w:t>
      </w:r>
      <w:r w:rsidR="002E2F95">
        <w:rPr>
          <w:rFonts w:ascii="Book Antiqua" w:hAnsi="Book Antiqua"/>
        </w:rPr>
        <w:t>aware of the fact that the appellant obtained a residence permit in Ireland [14(h)].  When the decision is read as a whole, the FTT took all relevant evidence into account</w:t>
      </w:r>
      <w:r w:rsidR="00E65539">
        <w:rPr>
          <w:rFonts w:ascii="Book Antiqua" w:hAnsi="Book Antiqua"/>
        </w:rPr>
        <w:t xml:space="preserve"> before reaching its ultimate conclusion</w:t>
      </w:r>
      <w:r w:rsidR="007217C6">
        <w:rPr>
          <w:rFonts w:ascii="Book Antiqua" w:hAnsi="Book Antiqua"/>
        </w:rPr>
        <w:t xml:space="preserve"> that the residence of the appellant and the sponsor in Ireland could not be said to be genuine for the purposes of regulation 9(2)(c)</w:t>
      </w:r>
      <w:r w:rsidR="002E2F95">
        <w:rPr>
          <w:rFonts w:ascii="Book Antiqua" w:hAnsi="Book Antiqua"/>
        </w:rPr>
        <w:t>.</w:t>
      </w:r>
    </w:p>
    <w:p w:rsidR="002E2F95" w:rsidRDefault="002E2F95" w:rsidP="00883655">
      <w:pPr>
        <w:pStyle w:val="indent11"/>
        <w:ind w:left="567"/>
        <w:jc w:val="both"/>
        <w:rPr>
          <w:rFonts w:ascii="Book Antiqua" w:hAnsi="Book Antiqua"/>
        </w:rPr>
      </w:pPr>
    </w:p>
    <w:p w:rsidR="002E2F95" w:rsidRDefault="002E2F95" w:rsidP="00883655">
      <w:pPr>
        <w:pStyle w:val="indent11"/>
        <w:numPr>
          <w:ilvl w:val="0"/>
          <w:numId w:val="1"/>
        </w:numPr>
        <w:jc w:val="both"/>
        <w:rPr>
          <w:rFonts w:ascii="Book Antiqua" w:hAnsi="Book Antiqua"/>
        </w:rPr>
      </w:pPr>
      <w:r>
        <w:rPr>
          <w:rFonts w:ascii="Book Antiqua" w:hAnsi="Book Antiqua"/>
        </w:rPr>
        <w:t xml:space="preserve">When the FTT observed that there was a lack of significant evidence of integration in Ireland at [39], the FTT </w:t>
      </w:r>
      <w:r w:rsidR="007217C6">
        <w:rPr>
          <w:rFonts w:ascii="Book Antiqua" w:hAnsi="Book Antiqua"/>
        </w:rPr>
        <w:t xml:space="preserve">at the same time </w:t>
      </w:r>
      <w:r>
        <w:rPr>
          <w:rFonts w:ascii="Book Antiqua" w:hAnsi="Book Antiqua"/>
        </w:rPr>
        <w:t xml:space="preserve">expressly acknowledged that there was documentary evidence in support of residence.  The FTT was entitled to find that notwithstanding the parties’ residence in Ireland as supported by employment, bank statements, </w:t>
      </w:r>
      <w:r w:rsidR="007217C6">
        <w:rPr>
          <w:rFonts w:ascii="Book Antiqua" w:hAnsi="Book Antiqua"/>
        </w:rPr>
        <w:t xml:space="preserve">a </w:t>
      </w:r>
      <w:r>
        <w:rPr>
          <w:rFonts w:ascii="Book Antiqua" w:hAnsi="Book Antiqua"/>
        </w:rPr>
        <w:t>tenancy agreement and GP letters there was an absence of evidence demonstrating meaningful integration such as how they “</w:t>
      </w:r>
      <w:r w:rsidRPr="00883655">
        <w:rPr>
          <w:rFonts w:ascii="Book Antiqua" w:hAnsi="Book Antiqua"/>
          <w:i/>
        </w:rPr>
        <w:t>pass their time in Ireland, whether they developed any friendships, whether they became involved in the local community in any manner whatsoever…</w:t>
      </w:r>
      <w:r>
        <w:rPr>
          <w:rFonts w:ascii="Book Antiqua" w:hAnsi="Book Antiqua"/>
        </w:rPr>
        <w:t>”.  The FTT was entitled to find that the lack of evidence of integration of this nature, whether written or oral, cast doubt on the genuineness of the residence.</w:t>
      </w:r>
      <w:r w:rsidR="007217C6">
        <w:rPr>
          <w:rFonts w:ascii="Book Antiqua" w:hAnsi="Book Antiqua"/>
        </w:rPr>
        <w:t xml:space="preserve">  Mr Hussain invited me to find that there is no lawful requirement that there be integration of this kind and that the transfer of important aspects of the parties</w:t>
      </w:r>
      <w:r w:rsidR="00B800C5">
        <w:rPr>
          <w:rFonts w:ascii="Book Antiqua" w:hAnsi="Book Antiqua"/>
        </w:rPr>
        <w:t>’</w:t>
      </w:r>
      <w:r w:rsidR="007217C6">
        <w:rPr>
          <w:rFonts w:ascii="Book Antiqua" w:hAnsi="Book Antiqua"/>
        </w:rPr>
        <w:t xml:space="preserve"> lives is sufficient.  He did not support this submission by reference to any authority.  It is clear from regulation 9(3) that the genuineness of residence requires a global assessment of all relevant matters and in particular the matters listed at (a) to (e) of regulation</w:t>
      </w:r>
      <w:r w:rsidR="00B800C5">
        <w:rPr>
          <w:rFonts w:ascii="Book Antiqua" w:hAnsi="Book Antiqua"/>
        </w:rPr>
        <w:t xml:space="preserve"> 9</w:t>
      </w:r>
      <w:r w:rsidR="007217C6">
        <w:rPr>
          <w:rFonts w:ascii="Book Antiqua" w:hAnsi="Book Antiqua"/>
        </w:rPr>
        <w:t>(3).  Indicators that life has transferred to Ireland for a period of time is not in itself necessarily adequate.  Much depends on the individual circumstances of the case.  Given the FTT’s concerns regarding the credibility of the appellant and sponsor, it was entitled to draw adverse inferences from the absence of the type of integration outlined.</w:t>
      </w:r>
    </w:p>
    <w:p w:rsidR="0007072A" w:rsidRDefault="0007072A" w:rsidP="00883655">
      <w:pPr>
        <w:pStyle w:val="indent11"/>
        <w:ind w:left="567"/>
        <w:jc w:val="both"/>
        <w:rPr>
          <w:rFonts w:ascii="Book Antiqua" w:hAnsi="Book Antiqua"/>
        </w:rPr>
      </w:pPr>
    </w:p>
    <w:p w:rsidR="001A0D83" w:rsidRPr="001A0D83" w:rsidRDefault="001A0D83" w:rsidP="00883655">
      <w:pPr>
        <w:pStyle w:val="indent11"/>
        <w:jc w:val="both"/>
        <w:rPr>
          <w:rFonts w:ascii="Book Antiqua" w:hAnsi="Book Antiqua"/>
        </w:rPr>
      </w:pPr>
      <w:r w:rsidRPr="00883655">
        <w:rPr>
          <w:rFonts w:ascii="Book Antiqua" w:hAnsi="Book Antiqua"/>
          <w:i/>
        </w:rPr>
        <w:t xml:space="preserve">The FTT failed to make any reference to the </w:t>
      </w:r>
      <w:r w:rsidRPr="00883655">
        <w:rPr>
          <w:rFonts w:ascii="Book Antiqua" w:hAnsi="Book Antiqua"/>
          <w:i/>
          <w:u w:val="single"/>
        </w:rPr>
        <w:t>Surinder Singh</w:t>
      </w:r>
      <w:r w:rsidRPr="00883655">
        <w:rPr>
          <w:rFonts w:ascii="Book Antiqua" w:hAnsi="Book Antiqua"/>
          <w:i/>
        </w:rPr>
        <w:t xml:space="preserve"> principles</w:t>
      </w:r>
      <w:r w:rsidR="002E2F95">
        <w:rPr>
          <w:rFonts w:ascii="Book Antiqua" w:hAnsi="Book Antiqua"/>
          <w:i/>
        </w:rPr>
        <w:t>.</w:t>
      </w:r>
    </w:p>
    <w:p w:rsidR="00A208E3" w:rsidRDefault="00816373" w:rsidP="00883655">
      <w:pPr>
        <w:pStyle w:val="ListParagraph"/>
        <w:numPr>
          <w:ilvl w:val="0"/>
          <w:numId w:val="1"/>
        </w:numPr>
        <w:spacing w:before="240"/>
        <w:jc w:val="both"/>
        <w:rPr>
          <w:rFonts w:ascii="Book Antiqua" w:hAnsi="Book Antiqua"/>
        </w:rPr>
      </w:pPr>
      <w:hyperlink r:id="rId9" w:history="1">
        <w:r w:rsidR="002E2F95" w:rsidRPr="006A4B73">
          <w:rPr>
            <w:rFonts w:ascii="Book Antiqua" w:hAnsi="Book Antiqua"/>
          </w:rPr>
          <w:t>Regulation 9</w:t>
        </w:r>
      </w:hyperlink>
      <w:r w:rsidR="002E2F95" w:rsidRPr="006A4B73">
        <w:rPr>
          <w:rFonts w:ascii="Book Antiqua" w:hAnsi="Book Antiqua"/>
        </w:rPr>
        <w:t xml:space="preserve"> </w:t>
      </w:r>
      <w:r w:rsidR="002E2F95">
        <w:rPr>
          <w:rFonts w:ascii="Book Antiqua" w:hAnsi="Book Antiqua"/>
        </w:rPr>
        <w:t xml:space="preserve">of the 2016 EEA </w:t>
      </w:r>
      <w:proofErr w:type="spellStart"/>
      <w:r w:rsidR="002E2F95">
        <w:rPr>
          <w:rFonts w:ascii="Book Antiqua" w:hAnsi="Book Antiqua"/>
        </w:rPr>
        <w:t>Regs</w:t>
      </w:r>
      <w:proofErr w:type="spellEnd"/>
      <w:r w:rsidR="002E2F95">
        <w:rPr>
          <w:rFonts w:ascii="Book Antiqua" w:hAnsi="Book Antiqua"/>
        </w:rPr>
        <w:t xml:space="preserve"> </w:t>
      </w:r>
      <w:r w:rsidR="002E2F95" w:rsidRPr="006A4B73">
        <w:rPr>
          <w:rFonts w:ascii="Book Antiqua" w:hAnsi="Book Antiqua"/>
        </w:rPr>
        <w:t xml:space="preserve">finds its genesis </w:t>
      </w:r>
      <w:r w:rsidR="007217C6">
        <w:rPr>
          <w:rFonts w:ascii="Book Antiqua" w:hAnsi="Book Antiqua"/>
        </w:rPr>
        <w:t xml:space="preserve">not from the relevant Directive but </w:t>
      </w:r>
      <w:r w:rsidR="002E2F95" w:rsidRPr="006A4B73">
        <w:rPr>
          <w:rFonts w:ascii="Book Antiqua" w:hAnsi="Book Antiqua"/>
        </w:rPr>
        <w:t xml:space="preserve">in </w:t>
      </w:r>
      <w:hyperlink r:id="rId10" w:history="1">
        <w:r w:rsidR="002E2F95" w:rsidRPr="006A4B73">
          <w:rPr>
            <w:rStyle w:val="Emphasis"/>
            <w:rFonts w:ascii="Book Antiqua" w:hAnsi="Book Antiqua"/>
            <w:i w:val="0"/>
            <w:u w:val="single"/>
          </w:rPr>
          <w:t>Surinder Singh</w:t>
        </w:r>
      </w:hyperlink>
      <w:r w:rsidR="002E2F95" w:rsidRPr="006A4B73">
        <w:rPr>
          <w:rFonts w:ascii="Book Antiqua" w:hAnsi="Book Antiqua"/>
        </w:rPr>
        <w:t xml:space="preserve">, a case which involved the return to the UK with her third country spouse of a British national who had exercised her right of free movement by working and living in Germany, with her husband, for a period of almost three years. </w:t>
      </w:r>
      <w:r w:rsidR="002E2F95">
        <w:rPr>
          <w:rFonts w:ascii="Book Antiqua" w:hAnsi="Book Antiqua"/>
        </w:rPr>
        <w:t xml:space="preserve"> </w:t>
      </w:r>
      <w:r w:rsidR="002E2F95" w:rsidRPr="006A4B73">
        <w:rPr>
          <w:rFonts w:ascii="Book Antiqua" w:hAnsi="Book Antiqua"/>
        </w:rPr>
        <w:t xml:space="preserve">In other words, in order to make the right of free movement effective, such ancillary rights </w:t>
      </w:r>
      <w:r w:rsidR="00A208E3">
        <w:rPr>
          <w:rFonts w:ascii="Book Antiqua" w:hAnsi="Book Antiqua"/>
        </w:rPr>
        <w:t xml:space="preserve">are </w:t>
      </w:r>
      <w:r w:rsidR="002E2F95" w:rsidRPr="006A4B73">
        <w:rPr>
          <w:rFonts w:ascii="Book Antiqua" w:hAnsi="Book Antiqua"/>
        </w:rPr>
        <w:t xml:space="preserve">required to be implied on return to the national's country of origin, whereby the national retained the right to be accompanied by his or her spouse. </w:t>
      </w:r>
      <w:r w:rsidR="00A208E3">
        <w:rPr>
          <w:rFonts w:ascii="Book Antiqua" w:hAnsi="Book Antiqua"/>
        </w:rPr>
        <w:t xml:space="preserve">  The relevant principles established by </w:t>
      </w:r>
      <w:r w:rsidR="00A208E3" w:rsidRPr="00883655">
        <w:rPr>
          <w:rFonts w:ascii="Book Antiqua" w:hAnsi="Book Antiqua"/>
          <w:u w:val="single"/>
        </w:rPr>
        <w:t>Surinder Singh</w:t>
      </w:r>
      <w:r w:rsidR="00A208E3">
        <w:rPr>
          <w:rFonts w:ascii="Book Antiqua" w:hAnsi="Book Antiqua"/>
        </w:rPr>
        <w:t xml:space="preserve"> have therefore been transposed into regulation 9.  The FTT carefully assessed the relevant factual matrix by reference to the important strands of regulation 9, having set it out in full at [6].  The absence of any express reference to </w:t>
      </w:r>
      <w:hyperlink r:id="rId11" w:history="1">
        <w:r w:rsidR="002E2F95" w:rsidRPr="006A4B73">
          <w:rPr>
            <w:rStyle w:val="Emphasis"/>
            <w:rFonts w:ascii="Book Antiqua" w:hAnsi="Book Antiqua"/>
            <w:i w:val="0"/>
            <w:u w:val="single"/>
          </w:rPr>
          <w:t>Surinder Singh</w:t>
        </w:r>
      </w:hyperlink>
      <w:r w:rsidR="002E2F95" w:rsidRPr="006A4B73">
        <w:rPr>
          <w:rFonts w:ascii="Book Antiqua" w:hAnsi="Book Antiqua"/>
        </w:rPr>
        <w:t xml:space="preserve"> </w:t>
      </w:r>
      <w:r w:rsidR="00A208E3">
        <w:rPr>
          <w:rFonts w:ascii="Book Antiqua" w:hAnsi="Book Antiqua"/>
        </w:rPr>
        <w:t xml:space="preserve">or </w:t>
      </w:r>
      <w:hyperlink r:id="rId12" w:history="1">
        <w:r w:rsidR="002E2F95" w:rsidRPr="006A4B73">
          <w:rPr>
            <w:rStyle w:val="Emphasis"/>
            <w:rFonts w:ascii="Book Antiqua" w:hAnsi="Book Antiqua"/>
            <w:i w:val="0"/>
            <w:u w:val="single"/>
          </w:rPr>
          <w:t>O and B</w:t>
        </w:r>
      </w:hyperlink>
      <w:r w:rsidR="002E2F95" w:rsidRPr="00883655">
        <w:rPr>
          <w:rFonts w:ascii="Book Antiqua" w:hAnsi="Book Antiqua"/>
          <w:u w:val="single"/>
        </w:rPr>
        <w:t xml:space="preserve"> v Minister von</w:t>
      </w:r>
      <w:r w:rsidR="002E2F95">
        <w:rPr>
          <w:rFonts w:ascii="Book Antiqua" w:hAnsi="Book Antiqua"/>
        </w:rPr>
        <w:t xml:space="preserve"> </w:t>
      </w:r>
      <w:proofErr w:type="spellStart"/>
      <w:r w:rsidR="002E2F95" w:rsidRPr="00883655">
        <w:rPr>
          <w:rFonts w:ascii="Book Antiqua" w:hAnsi="Book Antiqua"/>
          <w:u w:val="single"/>
        </w:rPr>
        <w:t>Immigratie</w:t>
      </w:r>
      <w:proofErr w:type="spellEnd"/>
      <w:r w:rsidR="002E2F95">
        <w:rPr>
          <w:rFonts w:ascii="Book Antiqua" w:hAnsi="Book Antiqua"/>
        </w:rPr>
        <w:t xml:space="preserve"> [2014] 3 WLR 799 </w:t>
      </w:r>
      <w:r w:rsidR="00A208E3">
        <w:rPr>
          <w:rFonts w:ascii="Book Antiqua" w:hAnsi="Book Antiqua"/>
        </w:rPr>
        <w:t>is therefore not a material error of law provided that regulation 9 was properly applied</w:t>
      </w:r>
      <w:r w:rsidR="002E2F95" w:rsidRPr="006A4B73">
        <w:rPr>
          <w:rFonts w:ascii="Book Antiqua" w:hAnsi="Book Antiqua"/>
        </w:rPr>
        <w:t xml:space="preserve">. </w:t>
      </w:r>
      <w:r w:rsidR="00A208E3">
        <w:rPr>
          <w:rFonts w:ascii="Book Antiqua" w:hAnsi="Book Antiqua"/>
        </w:rPr>
        <w:t xml:space="preserve"> M</w:t>
      </w:r>
      <w:r w:rsidR="007217C6">
        <w:rPr>
          <w:rFonts w:ascii="Book Antiqua" w:hAnsi="Book Antiqua"/>
        </w:rPr>
        <w:t xml:space="preserve">r Hussain did not submit that </w:t>
      </w:r>
      <w:hyperlink r:id="rId13" w:history="1">
        <w:r w:rsidR="00A208E3">
          <w:rPr>
            <w:rFonts w:ascii="Book Antiqua" w:hAnsi="Book Antiqua"/>
          </w:rPr>
          <w:t>r</w:t>
        </w:r>
        <w:r w:rsidR="002E2F95" w:rsidRPr="006A4B73">
          <w:rPr>
            <w:rFonts w:ascii="Book Antiqua" w:hAnsi="Book Antiqua"/>
          </w:rPr>
          <w:t>egulation 9</w:t>
        </w:r>
      </w:hyperlink>
      <w:r w:rsidR="007217C6">
        <w:rPr>
          <w:rFonts w:ascii="Book Antiqua" w:hAnsi="Book Antiqua"/>
        </w:rPr>
        <w:t xml:space="preserve"> was unlawful or that in applying it in the manner it did</w:t>
      </w:r>
      <w:r w:rsidR="00536E23">
        <w:rPr>
          <w:rFonts w:ascii="Book Antiqua" w:hAnsi="Book Antiqua"/>
        </w:rPr>
        <w:t>, the FTT erred in its construction of it</w:t>
      </w:r>
      <w:r w:rsidR="00A208E3">
        <w:rPr>
          <w:rFonts w:ascii="Book Antiqua" w:hAnsi="Book Antiqua"/>
        </w:rPr>
        <w:t>.</w:t>
      </w:r>
    </w:p>
    <w:p w:rsidR="002E2F95" w:rsidRDefault="002E2F95" w:rsidP="00883655">
      <w:pPr>
        <w:pStyle w:val="ListParagraph"/>
        <w:spacing w:before="240"/>
        <w:ind w:left="567"/>
        <w:jc w:val="both"/>
        <w:rPr>
          <w:rFonts w:ascii="Book Antiqua" w:hAnsi="Book Antiqua"/>
        </w:rPr>
      </w:pPr>
    </w:p>
    <w:p w:rsidR="001A0D83" w:rsidRPr="00883655" w:rsidRDefault="001A0D83" w:rsidP="00883655">
      <w:pPr>
        <w:pStyle w:val="indent11"/>
        <w:jc w:val="both"/>
        <w:rPr>
          <w:rFonts w:ascii="Book Antiqua" w:hAnsi="Book Antiqua"/>
          <w:i/>
        </w:rPr>
      </w:pPr>
      <w:r w:rsidRPr="00883655">
        <w:rPr>
          <w:rFonts w:ascii="Book Antiqua" w:hAnsi="Book Antiqua"/>
          <w:i/>
        </w:rPr>
        <w:t xml:space="preserve">The FTT focused unfairly on the parties’ length of residence and failed to make any clear finding about this; even if the FTT was only minded </w:t>
      </w:r>
      <w:proofErr w:type="gramStart"/>
      <w:r w:rsidRPr="00883655">
        <w:rPr>
          <w:rFonts w:ascii="Book Antiqua" w:hAnsi="Book Antiqua"/>
          <w:i/>
        </w:rPr>
        <w:t>to find</w:t>
      </w:r>
      <w:proofErr w:type="gramEnd"/>
      <w:r w:rsidRPr="00883655">
        <w:rPr>
          <w:rFonts w:ascii="Book Antiqua" w:hAnsi="Book Antiqua"/>
          <w:i/>
        </w:rPr>
        <w:t xml:space="preserve"> residence in Ireland was for a period of some six months ending in January 2016, it erred in finding this period inadequate to demonstrate genuine residence.</w:t>
      </w:r>
    </w:p>
    <w:p w:rsidR="001A0D83" w:rsidRDefault="001A0D83" w:rsidP="00883655">
      <w:pPr>
        <w:pStyle w:val="indent11"/>
        <w:jc w:val="both"/>
        <w:rPr>
          <w:rFonts w:ascii="Book Antiqua" w:hAnsi="Book Antiqua"/>
        </w:rPr>
      </w:pPr>
    </w:p>
    <w:p w:rsidR="00536E23" w:rsidRDefault="00536E23" w:rsidP="00A208E3">
      <w:pPr>
        <w:pStyle w:val="indent11"/>
        <w:numPr>
          <w:ilvl w:val="0"/>
          <w:numId w:val="1"/>
        </w:numPr>
        <w:jc w:val="both"/>
        <w:rPr>
          <w:rFonts w:ascii="Book Antiqua" w:hAnsi="Book Antiqua"/>
        </w:rPr>
      </w:pPr>
      <w:r>
        <w:rPr>
          <w:rFonts w:ascii="Book Antiqua" w:hAnsi="Book Antiqua"/>
        </w:rPr>
        <w:t>The FTT clearly had significant concerns regarding the inconsistent evidence regarding the length of the parties’ residence in Ireland.  The FTT considered the explanations provided and was entitled to doubt the veracity of these.</w:t>
      </w:r>
    </w:p>
    <w:p w:rsidR="00536E23" w:rsidRDefault="00536E23" w:rsidP="00883655">
      <w:pPr>
        <w:pStyle w:val="indent11"/>
        <w:ind w:left="567"/>
        <w:jc w:val="both"/>
        <w:rPr>
          <w:rFonts w:ascii="Book Antiqua" w:hAnsi="Book Antiqua"/>
        </w:rPr>
      </w:pPr>
    </w:p>
    <w:p w:rsidR="00A208E3" w:rsidRDefault="00A208E3" w:rsidP="00A208E3">
      <w:pPr>
        <w:pStyle w:val="indent11"/>
        <w:numPr>
          <w:ilvl w:val="0"/>
          <w:numId w:val="1"/>
        </w:numPr>
        <w:jc w:val="both"/>
        <w:rPr>
          <w:rFonts w:ascii="Book Antiqua" w:hAnsi="Book Antiqua"/>
        </w:rPr>
      </w:pPr>
      <w:r w:rsidRPr="006A4B73">
        <w:rPr>
          <w:rFonts w:ascii="Book Antiqua" w:hAnsi="Book Antiqua"/>
        </w:rPr>
        <w:t xml:space="preserve">In </w:t>
      </w:r>
      <w:hyperlink r:id="rId14" w:history="1">
        <w:r w:rsidRPr="006A4B73">
          <w:rPr>
            <w:rStyle w:val="Emphasis"/>
            <w:rFonts w:ascii="Book Antiqua" w:hAnsi="Book Antiqua"/>
            <w:i w:val="0"/>
            <w:u w:val="single"/>
          </w:rPr>
          <w:t>O and B</w:t>
        </w:r>
      </w:hyperlink>
      <w:r w:rsidRPr="006A4B73">
        <w:rPr>
          <w:rFonts w:ascii="Book Antiqua" w:hAnsi="Book Antiqua"/>
        </w:rPr>
        <w:t xml:space="preserve"> the Court noted that it would be an obstacle to free movement were equivalent rights not available on return to the citizen's home state: however, a refusal to grant such rights would only create such an obstacle if </w:t>
      </w:r>
      <w:r>
        <w:rPr>
          <w:rFonts w:ascii="Book Antiqua" w:hAnsi="Book Antiqua"/>
        </w:rPr>
        <w:t>[</w:t>
      </w:r>
      <w:r w:rsidRPr="006A4B73">
        <w:rPr>
          <w:rFonts w:ascii="Book Antiqua" w:hAnsi="Book Antiqua"/>
        </w:rPr>
        <w:t>51</w:t>
      </w:r>
      <w:r>
        <w:rPr>
          <w:rFonts w:ascii="Book Antiqua" w:hAnsi="Book Antiqua"/>
        </w:rPr>
        <w:t>]</w:t>
      </w:r>
      <w:r w:rsidRPr="006A4B73">
        <w:rPr>
          <w:rFonts w:ascii="Book Antiqua" w:hAnsi="Book Antiqua"/>
        </w:rPr>
        <w:t xml:space="preserve">: </w:t>
      </w:r>
    </w:p>
    <w:p w:rsidR="00536E23" w:rsidRDefault="00536E23" w:rsidP="00A208E3">
      <w:pPr>
        <w:pStyle w:val="indent11"/>
        <w:ind w:left="1134"/>
        <w:jc w:val="both"/>
        <w:rPr>
          <w:rFonts w:ascii="Book Antiqua" w:hAnsi="Book Antiqua"/>
        </w:rPr>
      </w:pPr>
    </w:p>
    <w:p w:rsidR="00536E23" w:rsidRDefault="00A208E3" w:rsidP="00A208E3">
      <w:pPr>
        <w:pStyle w:val="indent11"/>
        <w:ind w:left="1134"/>
        <w:jc w:val="both"/>
        <w:rPr>
          <w:rFonts w:ascii="Book Antiqua" w:hAnsi="Book Antiqua"/>
        </w:rPr>
      </w:pPr>
      <w:r w:rsidRPr="006A4B73">
        <w:rPr>
          <w:rFonts w:ascii="Book Antiqua" w:hAnsi="Book Antiqua"/>
        </w:rPr>
        <w:t xml:space="preserve">"the residence of the Union citizen in the host member state has been </w:t>
      </w:r>
      <w:r w:rsidRPr="00883655">
        <w:rPr>
          <w:rFonts w:ascii="Book Antiqua" w:hAnsi="Book Antiqua"/>
          <w:u w:val="single"/>
        </w:rPr>
        <w:t>sufficiently genuine</w:t>
      </w:r>
      <w:r w:rsidRPr="006A4B73">
        <w:rPr>
          <w:rFonts w:ascii="Book Antiqua" w:hAnsi="Book Antiqua"/>
        </w:rPr>
        <w:t xml:space="preserve"> so as to enable that citizen to create or strengthen family life in that member state."</w:t>
      </w:r>
    </w:p>
    <w:p w:rsidR="00536E23" w:rsidRPr="00536E23" w:rsidRDefault="00536E23" w:rsidP="00A208E3">
      <w:pPr>
        <w:pStyle w:val="indent11"/>
        <w:ind w:left="1134"/>
        <w:jc w:val="both"/>
        <w:rPr>
          <w:rFonts w:ascii="Book Antiqua" w:hAnsi="Book Antiqua"/>
        </w:rPr>
      </w:pPr>
    </w:p>
    <w:p w:rsidR="00A208E3" w:rsidRPr="00883655" w:rsidRDefault="00A208E3" w:rsidP="00883655">
      <w:pPr>
        <w:pStyle w:val="indent11"/>
        <w:numPr>
          <w:ilvl w:val="0"/>
          <w:numId w:val="1"/>
        </w:numPr>
        <w:jc w:val="both"/>
        <w:rPr>
          <w:rFonts w:ascii="Book Antiqua" w:hAnsi="Book Antiqua"/>
        </w:rPr>
      </w:pPr>
      <w:r w:rsidRPr="00883655">
        <w:rPr>
          <w:rFonts w:ascii="Book Antiqua" w:hAnsi="Book Antiqua"/>
        </w:rPr>
        <w:t xml:space="preserve">In </w:t>
      </w:r>
      <w:r w:rsidRPr="00883655">
        <w:rPr>
          <w:rFonts w:ascii="Book Antiqua" w:hAnsi="Book Antiqua"/>
          <w:u w:val="single"/>
        </w:rPr>
        <w:t>AA (Nigeria) v SSHD</w:t>
      </w:r>
      <w:r w:rsidRPr="00883655">
        <w:rPr>
          <w:rFonts w:ascii="Book Antiqua" w:hAnsi="Book Antiqua"/>
        </w:rPr>
        <w:t xml:space="preserve"> [2017] CSIH 38 the Court of Session rejected the submission that as long as the residence in question lasted for at least three months, the terms of the article had been met and were sufficient for the purposes of </w:t>
      </w:r>
      <w:hyperlink r:id="rId15" w:history="1">
        <w:r w:rsidRPr="00883655">
          <w:rPr>
            <w:rFonts w:ascii="Book Antiqua" w:hAnsi="Book Antiqua"/>
          </w:rPr>
          <w:t>Regulation 9</w:t>
        </w:r>
      </w:hyperlink>
      <w:r w:rsidRPr="00883655">
        <w:rPr>
          <w:rFonts w:ascii="Book Antiqua" w:hAnsi="Book Antiqua"/>
        </w:rPr>
        <w:t xml:space="preserve">.  </w:t>
      </w:r>
      <w:r w:rsidR="00536E23">
        <w:rPr>
          <w:rFonts w:ascii="Book Antiqua" w:hAnsi="Book Antiqua"/>
        </w:rPr>
        <w:t>In</w:t>
      </w:r>
      <w:r w:rsidR="00B800C5">
        <w:rPr>
          <w:rFonts w:ascii="Book Antiqua" w:hAnsi="Book Antiqua"/>
        </w:rPr>
        <w:t xml:space="preserve"> </w:t>
      </w:r>
      <w:r w:rsidR="00536E23">
        <w:rPr>
          <w:rFonts w:ascii="Book Antiqua" w:hAnsi="Book Antiqua"/>
        </w:rPr>
        <w:t xml:space="preserve">so far as the grounds submit that </w:t>
      </w:r>
      <w:r w:rsidR="00B800C5">
        <w:rPr>
          <w:rFonts w:ascii="Book Antiqua" w:hAnsi="Book Antiqua"/>
        </w:rPr>
        <w:t xml:space="preserve">the period of residence of at least three months, </w:t>
      </w:r>
      <w:r w:rsidR="00536E23">
        <w:rPr>
          <w:rFonts w:ascii="Book Antiqua" w:hAnsi="Book Antiqua"/>
        </w:rPr>
        <w:t>without more</w:t>
      </w:r>
      <w:r w:rsidR="00B800C5">
        <w:rPr>
          <w:rFonts w:ascii="Book Antiqua" w:hAnsi="Book Antiqua"/>
        </w:rPr>
        <w:t>,</w:t>
      </w:r>
      <w:r w:rsidR="00536E23">
        <w:rPr>
          <w:rFonts w:ascii="Book Antiqua" w:hAnsi="Book Antiqua"/>
        </w:rPr>
        <w:t xml:space="preserve"> is sufficient, they are misconceived.  In </w:t>
      </w:r>
      <w:r w:rsidR="00536E23" w:rsidRPr="00883655">
        <w:rPr>
          <w:rFonts w:ascii="Book Antiqua" w:hAnsi="Book Antiqua"/>
          <w:u w:val="single"/>
        </w:rPr>
        <w:t>AA (Nigeria)</w:t>
      </w:r>
      <w:r w:rsidR="00536E23" w:rsidRPr="00536E23">
        <w:rPr>
          <w:rFonts w:ascii="Book Antiqua" w:hAnsi="Book Antiqua"/>
        </w:rPr>
        <w:t xml:space="preserve"> </w:t>
      </w:r>
      <w:r w:rsidR="00536E23">
        <w:rPr>
          <w:rFonts w:ascii="Book Antiqua" w:hAnsi="Book Antiqua"/>
        </w:rPr>
        <w:t>the C</w:t>
      </w:r>
      <w:r w:rsidRPr="00883655">
        <w:rPr>
          <w:rFonts w:ascii="Book Antiqua" w:hAnsi="Book Antiqua"/>
        </w:rPr>
        <w:t>ourt</w:t>
      </w:r>
      <w:r w:rsidR="00536E23">
        <w:rPr>
          <w:rFonts w:ascii="Book Antiqua" w:hAnsi="Book Antiqua"/>
        </w:rPr>
        <w:t xml:space="preserve"> of Session</w:t>
      </w:r>
      <w:r w:rsidRPr="00883655">
        <w:rPr>
          <w:rFonts w:ascii="Book Antiqua" w:hAnsi="Book Antiqua"/>
        </w:rPr>
        <w:t xml:space="preserve"> emphasised that it is central to the decision in </w:t>
      </w:r>
      <w:hyperlink r:id="rId16" w:history="1">
        <w:r w:rsidRPr="00536E23">
          <w:rPr>
            <w:rStyle w:val="Emphasis"/>
            <w:rFonts w:ascii="Book Antiqua" w:hAnsi="Book Antiqua"/>
            <w:i w:val="0"/>
            <w:u w:val="single"/>
          </w:rPr>
          <w:t>O and B</w:t>
        </w:r>
      </w:hyperlink>
      <w:r w:rsidRPr="00883655">
        <w:rPr>
          <w:rFonts w:ascii="Book Antiqua" w:hAnsi="Book Antiqua"/>
        </w:rPr>
        <w:t xml:space="preserve"> that for </w:t>
      </w:r>
      <w:r w:rsidR="00536E23">
        <w:rPr>
          <w:rFonts w:ascii="Book Antiqua" w:hAnsi="Book Antiqua"/>
        </w:rPr>
        <w:t>‘</w:t>
      </w:r>
      <w:r w:rsidRPr="00883655">
        <w:rPr>
          <w:rFonts w:ascii="Book Antiqua" w:hAnsi="Book Antiqua"/>
        </w:rPr>
        <w:t>residence in</w:t>
      </w:r>
      <w:r w:rsidR="00536E23">
        <w:rPr>
          <w:rFonts w:ascii="Book Antiqua" w:hAnsi="Book Antiqua"/>
        </w:rPr>
        <w:t>’</w:t>
      </w:r>
      <w:r w:rsidRPr="00883655">
        <w:rPr>
          <w:rFonts w:ascii="Book Antiqua" w:hAnsi="Book Antiqua"/>
        </w:rPr>
        <w:t xml:space="preserve"> the host state</w:t>
      </w:r>
      <w:r w:rsidR="00536E23">
        <w:rPr>
          <w:rFonts w:ascii="Book Antiqua" w:hAnsi="Book Antiqua"/>
        </w:rPr>
        <w:t>,</w:t>
      </w:r>
      <w:r w:rsidRPr="00883655">
        <w:rPr>
          <w:rFonts w:ascii="Book Antiqua" w:hAnsi="Book Antiqua"/>
        </w:rPr>
        <w:t xml:space="preserve"> it is a </w:t>
      </w:r>
      <w:r w:rsidR="00536E23">
        <w:rPr>
          <w:rFonts w:ascii="Book Antiqua" w:hAnsi="Book Antiqua"/>
        </w:rPr>
        <w:t>‘</w:t>
      </w:r>
      <w:r w:rsidRPr="00883655">
        <w:rPr>
          <w:rFonts w:ascii="Book Antiqua" w:hAnsi="Book Antiqua"/>
        </w:rPr>
        <w:t>genuine residence</w:t>
      </w:r>
      <w:r w:rsidR="00536E23">
        <w:rPr>
          <w:rFonts w:ascii="Book Antiqua" w:hAnsi="Book Antiqua"/>
        </w:rPr>
        <w:t>’</w:t>
      </w:r>
      <w:r w:rsidRPr="00883655">
        <w:rPr>
          <w:rFonts w:ascii="Book Antiqua" w:hAnsi="Book Antiqua"/>
        </w:rPr>
        <w:t xml:space="preserve"> which requires to be established, not a residence of any specific duration, albeit duration may be a relevant factor, but it is only one factor.  The Court therefore emphasised the concern was with a residence which was </w:t>
      </w:r>
      <w:r w:rsidR="00536E23">
        <w:rPr>
          <w:rFonts w:ascii="Book Antiqua" w:hAnsi="Book Antiqua"/>
        </w:rPr>
        <w:t>‘</w:t>
      </w:r>
      <w:r w:rsidRPr="00883655">
        <w:rPr>
          <w:rFonts w:ascii="Book Antiqua" w:hAnsi="Book Antiqua"/>
        </w:rPr>
        <w:t>sufficiently genuine</w:t>
      </w:r>
      <w:r w:rsidR="00536E23">
        <w:rPr>
          <w:rFonts w:ascii="Book Antiqua" w:hAnsi="Book Antiqua"/>
        </w:rPr>
        <w:t>’</w:t>
      </w:r>
      <w:r w:rsidRPr="00883655">
        <w:rPr>
          <w:rFonts w:ascii="Book Antiqua" w:hAnsi="Book Antiqua"/>
        </w:rPr>
        <w:t xml:space="preserve"> as to enable a person to create or strengthen family life there, which indicated a qualitative element. This required of the decision maker to make a judgement of fact and degree as to whether the individual has lived in the EEA State in question with sufficient permanence, continuity, or at least some expectation of continuity, to warrant the conclusion that he</w:t>
      </w:r>
      <w:r w:rsidR="00536E23">
        <w:rPr>
          <w:rFonts w:ascii="Book Antiqua" w:hAnsi="Book Antiqua"/>
        </w:rPr>
        <w:t xml:space="preserve"> or she</w:t>
      </w:r>
      <w:r w:rsidRPr="00883655">
        <w:rPr>
          <w:rFonts w:ascii="Book Antiqua" w:hAnsi="Book Antiqua"/>
        </w:rPr>
        <w:t xml:space="preserve"> </w:t>
      </w:r>
      <w:r w:rsidR="00536E23">
        <w:rPr>
          <w:rFonts w:ascii="Book Antiqua" w:hAnsi="Book Antiqua"/>
        </w:rPr>
        <w:t>‘</w:t>
      </w:r>
      <w:r w:rsidRPr="00883655">
        <w:rPr>
          <w:rFonts w:ascii="Book Antiqua" w:hAnsi="Book Antiqua"/>
        </w:rPr>
        <w:t>resided</w:t>
      </w:r>
      <w:r w:rsidR="00536E23">
        <w:rPr>
          <w:rFonts w:ascii="Book Antiqua" w:hAnsi="Book Antiqua"/>
        </w:rPr>
        <w:t>’</w:t>
      </w:r>
      <w:r w:rsidRPr="00883655">
        <w:rPr>
          <w:rFonts w:ascii="Book Antiqua" w:hAnsi="Book Antiqua"/>
        </w:rPr>
        <w:t xml:space="preserve"> there within the ordinary meaning of the word.</w:t>
      </w:r>
    </w:p>
    <w:p w:rsidR="00A208E3" w:rsidRPr="006A4B73" w:rsidRDefault="00A208E3" w:rsidP="00A208E3">
      <w:pPr>
        <w:pStyle w:val="indent11"/>
        <w:jc w:val="both"/>
        <w:rPr>
          <w:rFonts w:ascii="Book Antiqua" w:hAnsi="Book Antiqua"/>
        </w:rPr>
      </w:pPr>
    </w:p>
    <w:p w:rsidR="00A208E3" w:rsidRPr="00883655" w:rsidRDefault="00A208E3" w:rsidP="00883655">
      <w:pPr>
        <w:pStyle w:val="indent11"/>
        <w:numPr>
          <w:ilvl w:val="0"/>
          <w:numId w:val="1"/>
        </w:numPr>
        <w:jc w:val="both"/>
        <w:rPr>
          <w:rFonts w:ascii="Book Antiqua" w:hAnsi="Book Antiqua"/>
        </w:rPr>
      </w:pPr>
      <w:r w:rsidRPr="006A4B73">
        <w:rPr>
          <w:rFonts w:ascii="Book Antiqua" w:hAnsi="Book Antiqua"/>
        </w:rPr>
        <w:t xml:space="preserve">The </w:t>
      </w:r>
      <w:r w:rsidR="00536E23">
        <w:rPr>
          <w:rFonts w:ascii="Book Antiqua" w:hAnsi="Book Antiqua"/>
        </w:rPr>
        <w:t>FT</w:t>
      </w:r>
      <w:r w:rsidRPr="006A4B73">
        <w:rPr>
          <w:rFonts w:ascii="Book Antiqua" w:hAnsi="Book Antiqua"/>
        </w:rPr>
        <w:t xml:space="preserve">T </w:t>
      </w:r>
      <w:r w:rsidR="00536E23">
        <w:rPr>
          <w:rFonts w:ascii="Book Antiqua" w:hAnsi="Book Antiqua"/>
        </w:rPr>
        <w:t xml:space="preserve">was </w:t>
      </w:r>
      <w:r w:rsidRPr="006A4B73">
        <w:rPr>
          <w:rFonts w:ascii="Book Antiqua" w:hAnsi="Book Antiqua"/>
        </w:rPr>
        <w:t xml:space="preserve">required to carry out a qualitative assessment of the evidence bearing on the residence in </w:t>
      </w:r>
      <w:r w:rsidR="00536E23">
        <w:rPr>
          <w:rFonts w:ascii="Book Antiqua" w:hAnsi="Book Antiqua"/>
        </w:rPr>
        <w:t>Ireland</w:t>
      </w:r>
      <w:r w:rsidRPr="006A4B73">
        <w:rPr>
          <w:rFonts w:ascii="Book Antiqua" w:hAnsi="Book Antiqua"/>
        </w:rPr>
        <w:t xml:space="preserve"> of the appellant and his wife </w:t>
      </w:r>
      <w:r w:rsidR="00B800C5">
        <w:rPr>
          <w:rFonts w:ascii="Book Antiqua" w:hAnsi="Book Antiqua"/>
        </w:rPr>
        <w:t xml:space="preserve">in order </w:t>
      </w:r>
      <w:r w:rsidRPr="006A4B73">
        <w:rPr>
          <w:rFonts w:ascii="Book Antiqua" w:hAnsi="Book Antiqua"/>
        </w:rPr>
        <w:t>to determine whether it constituted genuine residence for the purpose</w:t>
      </w:r>
      <w:r w:rsidR="00B800C5">
        <w:rPr>
          <w:rFonts w:ascii="Book Antiqua" w:hAnsi="Book Antiqua"/>
        </w:rPr>
        <w:t>s</w:t>
      </w:r>
      <w:r w:rsidRPr="006A4B73">
        <w:rPr>
          <w:rFonts w:ascii="Book Antiqua" w:hAnsi="Book Antiqua"/>
        </w:rPr>
        <w:t xml:space="preserve"> of regulation</w:t>
      </w:r>
      <w:r w:rsidR="00536E23">
        <w:rPr>
          <w:rFonts w:ascii="Book Antiqua" w:hAnsi="Book Antiqua"/>
        </w:rPr>
        <w:t xml:space="preserve"> 9</w:t>
      </w:r>
      <w:r w:rsidRPr="006A4B73">
        <w:rPr>
          <w:rFonts w:ascii="Book Antiqua" w:hAnsi="Book Antiqua"/>
        </w:rPr>
        <w:t xml:space="preserve">. </w:t>
      </w:r>
      <w:r w:rsidR="00536E23">
        <w:rPr>
          <w:rFonts w:ascii="Book Antiqua" w:hAnsi="Book Antiqua"/>
        </w:rPr>
        <w:t xml:space="preserve"> </w:t>
      </w:r>
      <w:r w:rsidRPr="006A4B73">
        <w:rPr>
          <w:rFonts w:ascii="Book Antiqua" w:hAnsi="Book Antiqua"/>
        </w:rPr>
        <w:t xml:space="preserve">In carrying out that exercise it was entitled to consider </w:t>
      </w:r>
      <w:r w:rsidR="00536E23">
        <w:rPr>
          <w:rFonts w:ascii="Book Antiqua" w:hAnsi="Book Antiqua"/>
        </w:rPr>
        <w:t>the wide spectrum of evidence available, some of which supported the claim that the residence was genuine and some of which did not</w:t>
      </w:r>
      <w:r w:rsidR="00B800C5">
        <w:rPr>
          <w:rFonts w:ascii="Book Antiqua" w:hAnsi="Book Antiqua"/>
        </w:rPr>
        <w:t>.</w:t>
      </w:r>
      <w:r w:rsidRPr="006A4B73">
        <w:rPr>
          <w:rFonts w:ascii="Book Antiqua" w:hAnsi="Book Antiqua"/>
        </w:rPr>
        <w:t xml:space="preserve"> Reading its decision as a whole, </w:t>
      </w:r>
      <w:r w:rsidR="00536E23">
        <w:rPr>
          <w:rFonts w:ascii="Book Antiqua" w:hAnsi="Book Antiqua"/>
        </w:rPr>
        <w:t>the FTT considered all the relevant matters before it as guided by regulation 9(3), and made a factual finding</w:t>
      </w:r>
      <w:r w:rsidRPr="006A4B73">
        <w:rPr>
          <w:rFonts w:ascii="Book Antiqua" w:hAnsi="Book Antiqua"/>
        </w:rPr>
        <w:t xml:space="preserve"> that the</w:t>
      </w:r>
      <w:r w:rsidR="00536E23">
        <w:rPr>
          <w:rFonts w:ascii="Book Antiqua" w:hAnsi="Book Antiqua"/>
        </w:rPr>
        <w:t xml:space="preserve"> couple</w:t>
      </w:r>
      <w:r w:rsidRPr="006A4B73">
        <w:rPr>
          <w:rFonts w:ascii="Book Antiqua" w:hAnsi="Book Antiqua"/>
        </w:rPr>
        <w:t xml:space="preserve"> had no intention of </w:t>
      </w:r>
      <w:r w:rsidR="00B800C5">
        <w:rPr>
          <w:rFonts w:ascii="Book Antiqua" w:hAnsi="Book Antiqua"/>
        </w:rPr>
        <w:t xml:space="preserve">genuinely </w:t>
      </w:r>
      <w:r w:rsidRPr="006A4B73">
        <w:rPr>
          <w:rFonts w:ascii="Book Antiqua" w:hAnsi="Book Antiqua"/>
        </w:rPr>
        <w:t xml:space="preserve">trying to settle in </w:t>
      </w:r>
      <w:r w:rsidR="00916247">
        <w:rPr>
          <w:rFonts w:ascii="Book Antiqua" w:hAnsi="Book Antiqua"/>
        </w:rPr>
        <w:t>Ireland</w:t>
      </w:r>
      <w:r w:rsidRPr="006A4B73">
        <w:rPr>
          <w:rFonts w:ascii="Book Antiqua" w:hAnsi="Book Antiqua"/>
        </w:rPr>
        <w:t xml:space="preserve">, </w:t>
      </w:r>
      <w:r w:rsidR="00536E23">
        <w:rPr>
          <w:rFonts w:ascii="Book Antiqua" w:hAnsi="Book Antiqua"/>
        </w:rPr>
        <w:t xml:space="preserve">notwithstanding the sponsor’s employment there and their residence </w:t>
      </w:r>
      <w:r w:rsidR="00916247">
        <w:rPr>
          <w:rFonts w:ascii="Book Antiqua" w:hAnsi="Book Antiqua"/>
        </w:rPr>
        <w:t>there together – see in particular [42].  In effect,</w:t>
      </w:r>
      <w:r w:rsidRPr="006A4B73">
        <w:rPr>
          <w:rFonts w:ascii="Book Antiqua" w:hAnsi="Book Antiqua"/>
        </w:rPr>
        <w:t xml:space="preserve"> </w:t>
      </w:r>
      <w:r w:rsidR="00916247">
        <w:rPr>
          <w:rFonts w:ascii="Book Antiqua" w:hAnsi="Book Antiqua"/>
        </w:rPr>
        <w:t>t</w:t>
      </w:r>
      <w:r w:rsidRPr="006A4B73">
        <w:rPr>
          <w:rFonts w:ascii="Book Antiqua" w:hAnsi="Book Antiqua"/>
        </w:rPr>
        <w:t xml:space="preserve">he argument that the appellant and </w:t>
      </w:r>
      <w:r w:rsidR="00916247">
        <w:rPr>
          <w:rFonts w:ascii="Book Antiqua" w:hAnsi="Book Antiqua"/>
        </w:rPr>
        <w:t>the sponsor</w:t>
      </w:r>
      <w:r w:rsidRPr="006A4B73">
        <w:rPr>
          <w:rFonts w:ascii="Book Antiqua" w:hAnsi="Book Antiqua"/>
        </w:rPr>
        <w:t xml:space="preserve"> genuinely intended to settle in </w:t>
      </w:r>
      <w:r w:rsidR="00916247">
        <w:rPr>
          <w:rFonts w:ascii="Book Antiqua" w:hAnsi="Book Antiqua"/>
        </w:rPr>
        <w:t>Ireland</w:t>
      </w:r>
      <w:r w:rsidRPr="006A4B73">
        <w:rPr>
          <w:rFonts w:ascii="Book Antiqua" w:hAnsi="Book Antiqua"/>
        </w:rPr>
        <w:t xml:space="preserve"> but were driven to change their plans by circumstances was rejected on the facts. This was a decision which the </w:t>
      </w:r>
      <w:r w:rsidR="00916247">
        <w:rPr>
          <w:rFonts w:ascii="Book Antiqua" w:hAnsi="Book Antiqua"/>
        </w:rPr>
        <w:t>FT</w:t>
      </w:r>
      <w:r w:rsidRPr="006A4B73">
        <w:rPr>
          <w:rFonts w:ascii="Book Antiqua" w:hAnsi="Book Antiqua"/>
        </w:rPr>
        <w:t xml:space="preserve">T was entitled to reach. </w:t>
      </w:r>
      <w:r w:rsidR="00B800C5">
        <w:rPr>
          <w:rFonts w:ascii="Book Antiqua" w:hAnsi="Book Antiqua"/>
        </w:rPr>
        <w:t xml:space="preserve">  The grounds of appeal do no more than disagree with the factual assessment reached and do not establish any error of law in the reasoning of the FTT.</w:t>
      </w:r>
    </w:p>
    <w:p w:rsidR="00D949B7" w:rsidRPr="00D949B7" w:rsidRDefault="00D949B7">
      <w:pPr>
        <w:spacing w:before="240"/>
        <w:jc w:val="both"/>
        <w:rPr>
          <w:rFonts w:ascii="Book Antiqua" w:hAnsi="Book Antiqua" w:cs="Arial"/>
          <w:b/>
          <w:u w:val="single"/>
        </w:rPr>
      </w:pPr>
      <w:r w:rsidRPr="00D949B7">
        <w:rPr>
          <w:rFonts w:ascii="Book Antiqua" w:hAnsi="Book Antiqua" w:cs="Arial"/>
          <w:b/>
          <w:u w:val="single"/>
        </w:rPr>
        <w:t>Decision</w:t>
      </w:r>
    </w:p>
    <w:p w:rsidR="00D949B7" w:rsidRPr="00D949B7" w:rsidRDefault="00D949B7">
      <w:pPr>
        <w:jc w:val="both"/>
        <w:rPr>
          <w:rFonts w:ascii="Book Antiqua" w:hAnsi="Book Antiqua" w:cs="Arial"/>
        </w:rPr>
      </w:pPr>
    </w:p>
    <w:p w:rsidR="00D949B7" w:rsidRPr="00883655" w:rsidRDefault="00D46372">
      <w:pPr>
        <w:pStyle w:val="ListParagraph"/>
        <w:numPr>
          <w:ilvl w:val="0"/>
          <w:numId w:val="1"/>
        </w:numPr>
        <w:jc w:val="both"/>
        <w:rPr>
          <w:rFonts w:ascii="Book Antiqua" w:hAnsi="Book Antiqua" w:cs="Arial"/>
        </w:rPr>
      </w:pPr>
      <w:r w:rsidRPr="00883655">
        <w:rPr>
          <w:rFonts w:ascii="Book Antiqua" w:hAnsi="Book Antiqua" w:cs="Arial"/>
        </w:rPr>
        <w:t>The decision of the First-tier Tribunal to dismiss the appellant’s appeal did not involve the making of a material error of law.  That decision stands.</w:t>
      </w:r>
    </w:p>
    <w:p w:rsidR="00D46372" w:rsidRDefault="00D46372">
      <w:pPr>
        <w:jc w:val="both"/>
        <w:rPr>
          <w:rFonts w:ascii="Book Antiqua" w:hAnsi="Book Antiqua" w:cs="Arial"/>
        </w:rPr>
      </w:pPr>
    </w:p>
    <w:p w:rsidR="00D46372" w:rsidRPr="001864DF" w:rsidRDefault="00D46372">
      <w:pPr>
        <w:pStyle w:val="ListParagraph"/>
        <w:numPr>
          <w:ilvl w:val="0"/>
          <w:numId w:val="1"/>
        </w:numPr>
        <w:jc w:val="both"/>
        <w:rPr>
          <w:rFonts w:ascii="Book Antiqua" w:hAnsi="Book Antiqua" w:cs="Arial"/>
        </w:rPr>
      </w:pPr>
      <w:r w:rsidRPr="001864DF">
        <w:rPr>
          <w:rFonts w:ascii="Book Antiqua" w:hAnsi="Book Antiqua" w:cs="Arial"/>
        </w:rPr>
        <w:t>Accordingly, the appellant’s appeal to the Upper Tribunal is dismissed.</w:t>
      </w:r>
    </w:p>
    <w:p w:rsidR="009669C6" w:rsidRDefault="009669C6">
      <w:pPr>
        <w:jc w:val="both"/>
        <w:rPr>
          <w:rFonts w:ascii="Book Antiqua" w:hAnsi="Book Antiqua" w:cs="Arial"/>
        </w:rPr>
      </w:pPr>
    </w:p>
    <w:p w:rsidR="009669C6" w:rsidRPr="002B02F3" w:rsidRDefault="009669C6" w:rsidP="00883655">
      <w:pPr>
        <w:ind w:left="540" w:hanging="540"/>
        <w:jc w:val="both"/>
        <w:rPr>
          <w:rFonts w:ascii="Book Antiqua" w:hAnsi="Book Antiqua" w:cs="Arial"/>
        </w:rPr>
      </w:pPr>
      <w:r>
        <w:rPr>
          <w:rFonts w:ascii="Book Antiqua" w:hAnsi="Book Antiqua" w:cs="Arial"/>
        </w:rPr>
        <w:t>Signed</w:t>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r>
      <w:r w:rsidR="00474965">
        <w:rPr>
          <w:rFonts w:ascii="Book Antiqua" w:hAnsi="Book Antiqua" w:cs="Arial"/>
        </w:rPr>
        <w:tab/>
        <w:t>Dated</w:t>
      </w:r>
    </w:p>
    <w:p w:rsidR="009669C6" w:rsidRDefault="009E3E70" w:rsidP="00883655">
      <w:pPr>
        <w:tabs>
          <w:tab w:val="left" w:pos="2520"/>
        </w:tabs>
        <w:ind w:left="540" w:hanging="540"/>
        <w:jc w:val="both"/>
        <w:rPr>
          <w:rFonts w:ascii="Book Antiqua" w:hAnsi="Book Antiqua" w:cs="Arial"/>
          <w:i/>
        </w:rPr>
      </w:pPr>
      <w:r w:rsidRPr="00883655">
        <w:rPr>
          <w:rFonts w:ascii="Book Antiqua" w:hAnsi="Book Antiqua" w:cs="Arial"/>
          <w:i/>
        </w:rPr>
        <w:t>M. Plimmer</w:t>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sidR="00916247">
        <w:rPr>
          <w:rFonts w:ascii="Book Antiqua" w:hAnsi="Book Antiqua" w:cs="Arial"/>
        </w:rPr>
        <w:t>20 September</w:t>
      </w:r>
      <w:r w:rsidRPr="00883655">
        <w:rPr>
          <w:rFonts w:ascii="Book Antiqua" w:hAnsi="Book Antiqua" w:cs="Arial"/>
        </w:rPr>
        <w:t xml:space="preserve"> 2018</w:t>
      </w:r>
    </w:p>
    <w:p w:rsidR="009E3E70" w:rsidRPr="00883655" w:rsidRDefault="009E3E70" w:rsidP="00883655">
      <w:pPr>
        <w:tabs>
          <w:tab w:val="left" w:pos="2520"/>
        </w:tabs>
        <w:ind w:left="540" w:hanging="540"/>
        <w:jc w:val="both"/>
        <w:rPr>
          <w:rFonts w:ascii="Book Antiqua" w:hAnsi="Book Antiqua" w:cs="Arial"/>
          <w:i/>
        </w:rPr>
      </w:pPr>
    </w:p>
    <w:p w:rsidR="00474965" w:rsidRDefault="00474965" w:rsidP="00883655">
      <w:pPr>
        <w:tabs>
          <w:tab w:val="left" w:pos="2520"/>
        </w:tabs>
        <w:ind w:left="540" w:hanging="540"/>
        <w:jc w:val="both"/>
        <w:rPr>
          <w:rFonts w:ascii="Book Antiqua" w:hAnsi="Book Antiqua" w:cs="Arial"/>
        </w:rPr>
      </w:pPr>
      <w:r>
        <w:rPr>
          <w:rFonts w:ascii="Book Antiqua" w:hAnsi="Book Antiqua" w:cs="Arial"/>
        </w:rPr>
        <w:t>Melanie Plimmer</w:t>
      </w:r>
    </w:p>
    <w:p w:rsidR="00B95326" w:rsidRPr="009B7433" w:rsidRDefault="009669C6" w:rsidP="00883655">
      <w:pPr>
        <w:jc w:val="both"/>
        <w:rPr>
          <w:rFonts w:ascii="Book Antiqua" w:hAnsi="Book Antiqua" w:cs="Arial"/>
        </w:rPr>
      </w:pPr>
      <w:r>
        <w:rPr>
          <w:rFonts w:ascii="Book Antiqua" w:hAnsi="Book Antiqua" w:cs="Arial"/>
          <w:color w:val="000000"/>
        </w:rPr>
        <w:t>Judge of the Upper Tribunal</w:t>
      </w:r>
    </w:p>
    <w:sectPr w:rsidR="00B95326" w:rsidRPr="009B7433" w:rsidSect="00733614">
      <w:headerReference w:type="default" r:id="rId17"/>
      <w:footerReference w:type="default" r:id="rId18"/>
      <w:headerReference w:type="first" r:id="rId19"/>
      <w:footerReference w:type="first" r:id="rId20"/>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440" w:rsidRDefault="00234440">
      <w:r>
        <w:separator/>
      </w:r>
    </w:p>
  </w:endnote>
  <w:endnote w:type="continuationSeparator" w:id="0">
    <w:p w:rsidR="00234440" w:rsidRDefault="0023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C11" w:rsidRPr="00B662FC" w:rsidRDefault="00DC1C11" w:rsidP="00593795">
    <w:pPr>
      <w:pStyle w:val="Footer"/>
      <w:jc w:val="center"/>
      <w:rPr>
        <w:rFonts w:ascii="Book Antiqua" w:hAnsi="Book Antiqua" w:cs="Arial"/>
      </w:rPr>
    </w:pPr>
    <w:r w:rsidRPr="00B662FC">
      <w:rPr>
        <w:rStyle w:val="PageNumber"/>
        <w:rFonts w:ascii="Book Antiqua" w:hAnsi="Book Antiqua" w:cs="Arial"/>
      </w:rPr>
      <w:fldChar w:fldCharType="begin"/>
    </w:r>
    <w:r w:rsidRPr="00B662FC">
      <w:rPr>
        <w:rStyle w:val="PageNumber"/>
        <w:rFonts w:ascii="Book Antiqua" w:hAnsi="Book Antiqua" w:cs="Arial"/>
      </w:rPr>
      <w:instrText xml:space="preserve"> PAGE </w:instrText>
    </w:r>
    <w:r w:rsidRPr="00B662FC">
      <w:rPr>
        <w:rStyle w:val="PageNumber"/>
        <w:rFonts w:ascii="Book Antiqua" w:hAnsi="Book Antiqua" w:cs="Arial"/>
      </w:rPr>
      <w:fldChar w:fldCharType="separate"/>
    </w:r>
    <w:r w:rsidR="00816373">
      <w:rPr>
        <w:rStyle w:val="PageNumber"/>
        <w:rFonts w:ascii="Book Antiqua" w:hAnsi="Book Antiqua" w:cs="Arial"/>
        <w:noProof/>
      </w:rPr>
      <w:t>5</w:t>
    </w:r>
    <w:r w:rsidRPr="00B662F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C11" w:rsidRPr="009B7433" w:rsidRDefault="00DC1C11"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440" w:rsidRDefault="00234440">
      <w:r>
        <w:separator/>
      </w:r>
    </w:p>
  </w:footnote>
  <w:footnote w:type="continuationSeparator" w:id="0">
    <w:p w:rsidR="00234440" w:rsidRDefault="0023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C11" w:rsidRDefault="00DC1C11"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EA/05684/2017</w:t>
    </w:r>
  </w:p>
  <w:p w:rsidR="00F13070" w:rsidRPr="009B7433" w:rsidRDefault="00F1307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C11" w:rsidRPr="009B7433" w:rsidRDefault="00DC1C1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7A9"/>
    <w:multiLevelType w:val="hybridMultilevel"/>
    <w:tmpl w:val="0AFCA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62E95"/>
    <w:multiLevelType w:val="hybridMultilevel"/>
    <w:tmpl w:val="A8FC6C2E"/>
    <w:lvl w:ilvl="0" w:tplc="7D5A5E1A">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60EB8"/>
    <w:multiLevelType w:val="multilevel"/>
    <w:tmpl w:val="C2F0164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1332821"/>
    <w:multiLevelType w:val="multilevel"/>
    <w:tmpl w:val="E1D4240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7F70D80"/>
    <w:multiLevelType w:val="hybridMultilevel"/>
    <w:tmpl w:val="2A9E5A26"/>
    <w:lvl w:ilvl="0" w:tplc="3A6A5A7E">
      <w:start w:val="1"/>
      <w:numFmt w:val="decimal"/>
      <w:lvlText w:val="(%1)"/>
      <w:lvlJc w:val="left"/>
      <w:pPr>
        <w:ind w:left="1800" w:hanging="360"/>
      </w:pPr>
      <w:rPr>
        <w:rFonts w:ascii="Book Antiqua" w:hAnsi="Book Antiqua"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7ACB1666"/>
    <w:multiLevelType w:val="multilevel"/>
    <w:tmpl w:val="E1D4240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3"/>
    <w:rsid w:val="00000621"/>
    <w:rsid w:val="000036C2"/>
    <w:rsid w:val="00006854"/>
    <w:rsid w:val="00013A0C"/>
    <w:rsid w:val="00016C1A"/>
    <w:rsid w:val="00033588"/>
    <w:rsid w:val="00033D3D"/>
    <w:rsid w:val="00040419"/>
    <w:rsid w:val="0004776F"/>
    <w:rsid w:val="00052895"/>
    <w:rsid w:val="00062F02"/>
    <w:rsid w:val="00065A5E"/>
    <w:rsid w:val="0007072A"/>
    <w:rsid w:val="00071A7E"/>
    <w:rsid w:val="000746C0"/>
    <w:rsid w:val="00074D1D"/>
    <w:rsid w:val="00082998"/>
    <w:rsid w:val="00092580"/>
    <w:rsid w:val="00093D4D"/>
    <w:rsid w:val="000A0743"/>
    <w:rsid w:val="000A0B1F"/>
    <w:rsid w:val="000C7C92"/>
    <w:rsid w:val="000D5D94"/>
    <w:rsid w:val="000D7B21"/>
    <w:rsid w:val="000F1A0E"/>
    <w:rsid w:val="000F21F1"/>
    <w:rsid w:val="000F7D0C"/>
    <w:rsid w:val="00103A61"/>
    <w:rsid w:val="00104613"/>
    <w:rsid w:val="001165A7"/>
    <w:rsid w:val="00117FC6"/>
    <w:rsid w:val="00136829"/>
    <w:rsid w:val="0016508E"/>
    <w:rsid w:val="00167D3A"/>
    <w:rsid w:val="00173F50"/>
    <w:rsid w:val="00185986"/>
    <w:rsid w:val="001864DF"/>
    <w:rsid w:val="0019659B"/>
    <w:rsid w:val="001A05EC"/>
    <w:rsid w:val="001A0D83"/>
    <w:rsid w:val="001A3082"/>
    <w:rsid w:val="001A53AD"/>
    <w:rsid w:val="001A73A4"/>
    <w:rsid w:val="001B186A"/>
    <w:rsid w:val="001B2F75"/>
    <w:rsid w:val="001C6F5F"/>
    <w:rsid w:val="001D6167"/>
    <w:rsid w:val="001F2716"/>
    <w:rsid w:val="001F3AC0"/>
    <w:rsid w:val="00206077"/>
    <w:rsid w:val="00207617"/>
    <w:rsid w:val="0021180D"/>
    <w:rsid w:val="00213E7C"/>
    <w:rsid w:val="00216B65"/>
    <w:rsid w:val="00217FF7"/>
    <w:rsid w:val="0022430F"/>
    <w:rsid w:val="0023134B"/>
    <w:rsid w:val="00234440"/>
    <w:rsid w:val="002620B5"/>
    <w:rsid w:val="00271CCE"/>
    <w:rsid w:val="00283257"/>
    <w:rsid w:val="00283659"/>
    <w:rsid w:val="0029120B"/>
    <w:rsid w:val="0029725D"/>
    <w:rsid w:val="002B1DA3"/>
    <w:rsid w:val="002B3DE1"/>
    <w:rsid w:val="002B574F"/>
    <w:rsid w:val="002C6BD4"/>
    <w:rsid w:val="002C6BE3"/>
    <w:rsid w:val="002C6E9D"/>
    <w:rsid w:val="002D0C50"/>
    <w:rsid w:val="002D2702"/>
    <w:rsid w:val="002D68BF"/>
    <w:rsid w:val="002E2F95"/>
    <w:rsid w:val="002E4290"/>
    <w:rsid w:val="002E4541"/>
    <w:rsid w:val="002F3F3F"/>
    <w:rsid w:val="002F6B98"/>
    <w:rsid w:val="0031410B"/>
    <w:rsid w:val="00324B5E"/>
    <w:rsid w:val="00336CBF"/>
    <w:rsid w:val="0034188C"/>
    <w:rsid w:val="00343FE3"/>
    <w:rsid w:val="003546C8"/>
    <w:rsid w:val="0035496A"/>
    <w:rsid w:val="003704A6"/>
    <w:rsid w:val="00373670"/>
    <w:rsid w:val="00381B55"/>
    <w:rsid w:val="003825D4"/>
    <w:rsid w:val="00393C92"/>
    <w:rsid w:val="003A7CF2"/>
    <w:rsid w:val="003B7D6D"/>
    <w:rsid w:val="003C5CE5"/>
    <w:rsid w:val="003D3111"/>
    <w:rsid w:val="003D6A80"/>
    <w:rsid w:val="003D6FAD"/>
    <w:rsid w:val="003E267B"/>
    <w:rsid w:val="003E7CD1"/>
    <w:rsid w:val="00402B9E"/>
    <w:rsid w:val="0041345B"/>
    <w:rsid w:val="004249CB"/>
    <w:rsid w:val="00424B4A"/>
    <w:rsid w:val="0042638D"/>
    <w:rsid w:val="0044127D"/>
    <w:rsid w:val="004448DB"/>
    <w:rsid w:val="00446C9A"/>
    <w:rsid w:val="004503DB"/>
    <w:rsid w:val="00450CAF"/>
    <w:rsid w:val="00452F2B"/>
    <w:rsid w:val="00462BBF"/>
    <w:rsid w:val="004649F5"/>
    <w:rsid w:val="00474965"/>
    <w:rsid w:val="0047507E"/>
    <w:rsid w:val="00477193"/>
    <w:rsid w:val="00480C4E"/>
    <w:rsid w:val="00492E0F"/>
    <w:rsid w:val="00493751"/>
    <w:rsid w:val="004A1848"/>
    <w:rsid w:val="004A278D"/>
    <w:rsid w:val="004A2D15"/>
    <w:rsid w:val="004A534C"/>
    <w:rsid w:val="004A6F4A"/>
    <w:rsid w:val="004B70D7"/>
    <w:rsid w:val="004C795F"/>
    <w:rsid w:val="004D6B45"/>
    <w:rsid w:val="004E4717"/>
    <w:rsid w:val="004F2A45"/>
    <w:rsid w:val="00507FEC"/>
    <w:rsid w:val="00510F0E"/>
    <w:rsid w:val="00523179"/>
    <w:rsid w:val="005312E6"/>
    <w:rsid w:val="00533B6D"/>
    <w:rsid w:val="00536E23"/>
    <w:rsid w:val="005479E1"/>
    <w:rsid w:val="00553028"/>
    <w:rsid w:val="00553E0A"/>
    <w:rsid w:val="005570FD"/>
    <w:rsid w:val="005575EA"/>
    <w:rsid w:val="00564DA7"/>
    <w:rsid w:val="00566471"/>
    <w:rsid w:val="005723BB"/>
    <w:rsid w:val="0057790C"/>
    <w:rsid w:val="00584A3F"/>
    <w:rsid w:val="00585666"/>
    <w:rsid w:val="00591E8A"/>
    <w:rsid w:val="00593795"/>
    <w:rsid w:val="005A75FF"/>
    <w:rsid w:val="005D10AB"/>
    <w:rsid w:val="005D2831"/>
    <w:rsid w:val="005D5BC6"/>
    <w:rsid w:val="005E51EE"/>
    <w:rsid w:val="00601D8F"/>
    <w:rsid w:val="00605582"/>
    <w:rsid w:val="00606A60"/>
    <w:rsid w:val="00611F34"/>
    <w:rsid w:val="006203B4"/>
    <w:rsid w:val="00621FE8"/>
    <w:rsid w:val="006434B6"/>
    <w:rsid w:val="00647547"/>
    <w:rsid w:val="00653E97"/>
    <w:rsid w:val="006667DB"/>
    <w:rsid w:val="00667210"/>
    <w:rsid w:val="006703CC"/>
    <w:rsid w:val="00684A74"/>
    <w:rsid w:val="00684FE7"/>
    <w:rsid w:val="0068620A"/>
    <w:rsid w:val="0069040D"/>
    <w:rsid w:val="00690B8A"/>
    <w:rsid w:val="006A69A3"/>
    <w:rsid w:val="006B53B8"/>
    <w:rsid w:val="006C3EE2"/>
    <w:rsid w:val="006C6618"/>
    <w:rsid w:val="006C76E0"/>
    <w:rsid w:val="006F2CF1"/>
    <w:rsid w:val="007038ED"/>
    <w:rsid w:val="00703BC3"/>
    <w:rsid w:val="00704B61"/>
    <w:rsid w:val="00706104"/>
    <w:rsid w:val="00714B7B"/>
    <w:rsid w:val="00715A64"/>
    <w:rsid w:val="00715CF2"/>
    <w:rsid w:val="00717DC0"/>
    <w:rsid w:val="0072026B"/>
    <w:rsid w:val="007217C6"/>
    <w:rsid w:val="00733614"/>
    <w:rsid w:val="00737CCB"/>
    <w:rsid w:val="00740C1F"/>
    <w:rsid w:val="0075228D"/>
    <w:rsid w:val="007552A9"/>
    <w:rsid w:val="0075658A"/>
    <w:rsid w:val="00761858"/>
    <w:rsid w:val="00767D59"/>
    <w:rsid w:val="00776E97"/>
    <w:rsid w:val="00780F86"/>
    <w:rsid w:val="007912AD"/>
    <w:rsid w:val="007B0824"/>
    <w:rsid w:val="007B5D3C"/>
    <w:rsid w:val="007D2A2D"/>
    <w:rsid w:val="007F4C8F"/>
    <w:rsid w:val="00815011"/>
    <w:rsid w:val="00816373"/>
    <w:rsid w:val="00821B72"/>
    <w:rsid w:val="00823EF2"/>
    <w:rsid w:val="008303B8"/>
    <w:rsid w:val="00833373"/>
    <w:rsid w:val="00833DCE"/>
    <w:rsid w:val="00833E86"/>
    <w:rsid w:val="00834E20"/>
    <w:rsid w:val="008366A6"/>
    <w:rsid w:val="00842842"/>
    <w:rsid w:val="00843E1F"/>
    <w:rsid w:val="00846926"/>
    <w:rsid w:val="0085289D"/>
    <w:rsid w:val="00855865"/>
    <w:rsid w:val="00866109"/>
    <w:rsid w:val="00871D34"/>
    <w:rsid w:val="00877033"/>
    <w:rsid w:val="00883655"/>
    <w:rsid w:val="008879A0"/>
    <w:rsid w:val="00897BD7"/>
    <w:rsid w:val="008A25EC"/>
    <w:rsid w:val="008A5BF3"/>
    <w:rsid w:val="008A6059"/>
    <w:rsid w:val="008A70EC"/>
    <w:rsid w:val="008B270C"/>
    <w:rsid w:val="008B5078"/>
    <w:rsid w:val="008C3D3D"/>
    <w:rsid w:val="008D4131"/>
    <w:rsid w:val="008F1932"/>
    <w:rsid w:val="0090151B"/>
    <w:rsid w:val="009042A9"/>
    <w:rsid w:val="00916247"/>
    <w:rsid w:val="00921062"/>
    <w:rsid w:val="00941C7A"/>
    <w:rsid w:val="00964821"/>
    <w:rsid w:val="009669C6"/>
    <w:rsid w:val="009722BC"/>
    <w:rsid w:val="009724F9"/>
    <w:rsid w:val="009727A3"/>
    <w:rsid w:val="00974388"/>
    <w:rsid w:val="00981899"/>
    <w:rsid w:val="00984C13"/>
    <w:rsid w:val="00987774"/>
    <w:rsid w:val="009A11E8"/>
    <w:rsid w:val="009A4ADC"/>
    <w:rsid w:val="009B582F"/>
    <w:rsid w:val="009B7433"/>
    <w:rsid w:val="009C57C8"/>
    <w:rsid w:val="009D4A04"/>
    <w:rsid w:val="009D4FCB"/>
    <w:rsid w:val="009E3E70"/>
    <w:rsid w:val="009E71D9"/>
    <w:rsid w:val="009F028B"/>
    <w:rsid w:val="009F0431"/>
    <w:rsid w:val="009F2772"/>
    <w:rsid w:val="009F51BF"/>
    <w:rsid w:val="009F5220"/>
    <w:rsid w:val="00A02891"/>
    <w:rsid w:val="00A07919"/>
    <w:rsid w:val="00A15234"/>
    <w:rsid w:val="00A172F5"/>
    <w:rsid w:val="00A201AB"/>
    <w:rsid w:val="00A208E3"/>
    <w:rsid w:val="00A26A17"/>
    <w:rsid w:val="00A272CE"/>
    <w:rsid w:val="00A27EAF"/>
    <w:rsid w:val="00A3013F"/>
    <w:rsid w:val="00A31C8B"/>
    <w:rsid w:val="00A44490"/>
    <w:rsid w:val="00A509FA"/>
    <w:rsid w:val="00A619AE"/>
    <w:rsid w:val="00A669FF"/>
    <w:rsid w:val="00A77636"/>
    <w:rsid w:val="00A845DC"/>
    <w:rsid w:val="00A92FD0"/>
    <w:rsid w:val="00AE028B"/>
    <w:rsid w:val="00AE5E65"/>
    <w:rsid w:val="00AE6FC5"/>
    <w:rsid w:val="00AF3060"/>
    <w:rsid w:val="00AF3404"/>
    <w:rsid w:val="00AF4AFD"/>
    <w:rsid w:val="00B13C74"/>
    <w:rsid w:val="00B26AA2"/>
    <w:rsid w:val="00B34BD2"/>
    <w:rsid w:val="00B3524D"/>
    <w:rsid w:val="00B40F69"/>
    <w:rsid w:val="00B46616"/>
    <w:rsid w:val="00B47B0C"/>
    <w:rsid w:val="00B528BB"/>
    <w:rsid w:val="00B61DE6"/>
    <w:rsid w:val="00B662FC"/>
    <w:rsid w:val="00B7040A"/>
    <w:rsid w:val="00B70FBC"/>
    <w:rsid w:val="00B800C5"/>
    <w:rsid w:val="00B83391"/>
    <w:rsid w:val="00B95326"/>
    <w:rsid w:val="00B95EA5"/>
    <w:rsid w:val="00BA17D8"/>
    <w:rsid w:val="00BA1DA2"/>
    <w:rsid w:val="00BB2043"/>
    <w:rsid w:val="00BC5A1A"/>
    <w:rsid w:val="00BD4196"/>
    <w:rsid w:val="00BF22CA"/>
    <w:rsid w:val="00BF23BB"/>
    <w:rsid w:val="00BF6087"/>
    <w:rsid w:val="00BF65A6"/>
    <w:rsid w:val="00C218DC"/>
    <w:rsid w:val="00C23DFC"/>
    <w:rsid w:val="00C26032"/>
    <w:rsid w:val="00C345E1"/>
    <w:rsid w:val="00C43BFD"/>
    <w:rsid w:val="00C6048A"/>
    <w:rsid w:val="00C649D0"/>
    <w:rsid w:val="00C97CEE"/>
    <w:rsid w:val="00CA12ED"/>
    <w:rsid w:val="00CB31DE"/>
    <w:rsid w:val="00CB6E35"/>
    <w:rsid w:val="00CC4E6B"/>
    <w:rsid w:val="00CD1691"/>
    <w:rsid w:val="00CD21D8"/>
    <w:rsid w:val="00CD4AFE"/>
    <w:rsid w:val="00CE09B1"/>
    <w:rsid w:val="00CE1A46"/>
    <w:rsid w:val="00CF2E7B"/>
    <w:rsid w:val="00CF6EBD"/>
    <w:rsid w:val="00D053A1"/>
    <w:rsid w:val="00D05EA6"/>
    <w:rsid w:val="00D15920"/>
    <w:rsid w:val="00D20757"/>
    <w:rsid w:val="00D22636"/>
    <w:rsid w:val="00D22AAD"/>
    <w:rsid w:val="00D27CF5"/>
    <w:rsid w:val="00D40FD9"/>
    <w:rsid w:val="00D46372"/>
    <w:rsid w:val="00D53769"/>
    <w:rsid w:val="00D57009"/>
    <w:rsid w:val="00D606FA"/>
    <w:rsid w:val="00D6602D"/>
    <w:rsid w:val="00D73A36"/>
    <w:rsid w:val="00D85C13"/>
    <w:rsid w:val="00D9111A"/>
    <w:rsid w:val="00D91BE3"/>
    <w:rsid w:val="00D949B7"/>
    <w:rsid w:val="00D94AFC"/>
    <w:rsid w:val="00DB70AE"/>
    <w:rsid w:val="00DC1C11"/>
    <w:rsid w:val="00DD5071"/>
    <w:rsid w:val="00DD5C39"/>
    <w:rsid w:val="00DE5CD4"/>
    <w:rsid w:val="00DE7DB7"/>
    <w:rsid w:val="00DF6A8F"/>
    <w:rsid w:val="00E00A0A"/>
    <w:rsid w:val="00E0604D"/>
    <w:rsid w:val="00E066DE"/>
    <w:rsid w:val="00E07F57"/>
    <w:rsid w:val="00E119E6"/>
    <w:rsid w:val="00E30683"/>
    <w:rsid w:val="00E33BC3"/>
    <w:rsid w:val="00E403E4"/>
    <w:rsid w:val="00E42107"/>
    <w:rsid w:val="00E453D8"/>
    <w:rsid w:val="00E50BCE"/>
    <w:rsid w:val="00E55D78"/>
    <w:rsid w:val="00E574BF"/>
    <w:rsid w:val="00E61292"/>
    <w:rsid w:val="00E6478E"/>
    <w:rsid w:val="00E65539"/>
    <w:rsid w:val="00E76177"/>
    <w:rsid w:val="00E77C4D"/>
    <w:rsid w:val="00E80947"/>
    <w:rsid w:val="00E81D01"/>
    <w:rsid w:val="00E844A3"/>
    <w:rsid w:val="00E94009"/>
    <w:rsid w:val="00EA20DA"/>
    <w:rsid w:val="00EA57C7"/>
    <w:rsid w:val="00EA79AF"/>
    <w:rsid w:val="00EB485A"/>
    <w:rsid w:val="00EC1475"/>
    <w:rsid w:val="00EC2828"/>
    <w:rsid w:val="00EC5AC8"/>
    <w:rsid w:val="00EE45D8"/>
    <w:rsid w:val="00EF49A2"/>
    <w:rsid w:val="00F13070"/>
    <w:rsid w:val="00F13CCF"/>
    <w:rsid w:val="00F17538"/>
    <w:rsid w:val="00F22EDA"/>
    <w:rsid w:val="00F241E2"/>
    <w:rsid w:val="00F33FF2"/>
    <w:rsid w:val="00F470D6"/>
    <w:rsid w:val="00F5589A"/>
    <w:rsid w:val="00F65550"/>
    <w:rsid w:val="00F87916"/>
    <w:rsid w:val="00FC40FA"/>
    <w:rsid w:val="00FD5AB5"/>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69128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Normal1">
    <w:name w:val="Normal1"/>
    <w:basedOn w:val="Normal"/>
    <w:rsid w:val="004F2A45"/>
    <w:pPr>
      <w:spacing w:before="100" w:beforeAutospacing="1" w:after="100" w:afterAutospacing="1"/>
    </w:pPr>
  </w:style>
  <w:style w:type="character" w:customStyle="1" w:styleId="italic">
    <w:name w:val="italic"/>
    <w:basedOn w:val="DefaultParagraphFont"/>
    <w:rsid w:val="004F2A45"/>
  </w:style>
  <w:style w:type="paragraph" w:customStyle="1" w:styleId="count">
    <w:name w:val="count"/>
    <w:basedOn w:val="Normal"/>
    <w:rsid w:val="004F2A45"/>
    <w:pPr>
      <w:spacing w:before="100" w:beforeAutospacing="1" w:after="100" w:afterAutospacing="1"/>
    </w:pPr>
  </w:style>
  <w:style w:type="paragraph" w:styleId="ListParagraph">
    <w:name w:val="List Paragraph"/>
    <w:basedOn w:val="Normal"/>
    <w:uiPriority w:val="34"/>
    <w:qFormat/>
    <w:rsid w:val="001864DF"/>
    <w:pPr>
      <w:ind w:left="720"/>
      <w:contextualSpacing/>
    </w:pPr>
  </w:style>
  <w:style w:type="paragraph" w:customStyle="1" w:styleId="Default">
    <w:name w:val="Default"/>
    <w:rsid w:val="006A69A3"/>
    <w:pPr>
      <w:autoSpaceDE w:val="0"/>
      <w:autoSpaceDN w:val="0"/>
      <w:adjustRightInd w:val="0"/>
    </w:pPr>
    <w:rPr>
      <w:rFonts w:ascii="Arial" w:hAnsi="Arial" w:cs="Arial"/>
      <w:color w:val="000000"/>
      <w:sz w:val="24"/>
      <w:szCs w:val="24"/>
    </w:rPr>
  </w:style>
  <w:style w:type="paragraph" w:styleId="NormalWeb">
    <w:name w:val="Normal (Web)"/>
    <w:basedOn w:val="Normal"/>
    <w:uiPriority w:val="99"/>
    <w:rsid w:val="006A69A3"/>
    <w:pPr>
      <w:spacing w:beforeLines="1" w:afterLines="1"/>
    </w:pPr>
    <w:rPr>
      <w:rFonts w:ascii="Times" w:eastAsia="Cambria" w:hAnsi="Times"/>
      <w:sz w:val="20"/>
      <w:szCs w:val="20"/>
      <w:lang w:eastAsia="en-US"/>
    </w:rPr>
  </w:style>
  <w:style w:type="paragraph" w:customStyle="1" w:styleId="indent11">
    <w:name w:val="indent11"/>
    <w:basedOn w:val="Normal"/>
    <w:rsid w:val="0029120B"/>
  </w:style>
  <w:style w:type="character" w:styleId="Emphasis">
    <w:name w:val="Emphasis"/>
    <w:basedOn w:val="DefaultParagraphFont"/>
    <w:uiPriority w:val="20"/>
    <w:qFormat/>
    <w:rsid w:val="002912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80722">
      <w:bodyDiv w:val="1"/>
      <w:marLeft w:val="375"/>
      <w:marRight w:val="375"/>
      <w:marTop w:val="75"/>
      <w:marBottom w:val="75"/>
      <w:divBdr>
        <w:top w:val="none" w:sz="0" w:space="0" w:color="auto"/>
        <w:left w:val="none" w:sz="0" w:space="0" w:color="auto"/>
        <w:bottom w:val="none" w:sz="0" w:space="0" w:color="auto"/>
        <w:right w:val="none" w:sz="0" w:space="0" w:color="auto"/>
      </w:divBdr>
      <w:divsChild>
        <w:div w:id="1515920951">
          <w:marLeft w:val="0"/>
          <w:marRight w:val="0"/>
          <w:marTop w:val="0"/>
          <w:marBottom w:val="0"/>
          <w:divBdr>
            <w:top w:val="none" w:sz="0" w:space="0" w:color="auto"/>
            <w:left w:val="none" w:sz="0" w:space="0" w:color="auto"/>
            <w:bottom w:val="none" w:sz="0" w:space="0" w:color="auto"/>
            <w:right w:val="none" w:sz="0" w:space="0" w:color="auto"/>
          </w:divBdr>
          <w:divsChild>
            <w:div w:id="1412193923">
              <w:marLeft w:val="0"/>
              <w:marRight w:val="0"/>
              <w:marTop w:val="0"/>
              <w:marBottom w:val="0"/>
              <w:divBdr>
                <w:top w:val="none" w:sz="0" w:space="0" w:color="auto"/>
                <w:left w:val="none" w:sz="0" w:space="0" w:color="auto"/>
                <w:bottom w:val="none" w:sz="0" w:space="0" w:color="auto"/>
                <w:right w:val="none" w:sz="0" w:space="0" w:color="auto"/>
              </w:divBdr>
              <w:divsChild>
                <w:div w:id="559831842">
                  <w:marLeft w:val="0"/>
                  <w:marRight w:val="0"/>
                  <w:marTop w:val="0"/>
                  <w:marBottom w:val="0"/>
                  <w:divBdr>
                    <w:top w:val="none" w:sz="0" w:space="0" w:color="auto"/>
                    <w:left w:val="none" w:sz="0" w:space="0" w:color="auto"/>
                    <w:bottom w:val="none" w:sz="0" w:space="0" w:color="auto"/>
                    <w:right w:val="none" w:sz="0" w:space="0" w:color="auto"/>
                  </w:divBdr>
                  <w:divsChild>
                    <w:div w:id="1469123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19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3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896548632">
                      <w:blockQuote w:val="1"/>
                      <w:marLeft w:val="720"/>
                      <w:marRight w:val="720"/>
                      <w:marTop w:val="100"/>
                      <w:marBottom w:val="100"/>
                      <w:divBdr>
                        <w:top w:val="none" w:sz="0" w:space="0" w:color="auto"/>
                        <w:left w:val="none" w:sz="0" w:space="0" w:color="auto"/>
                        <w:bottom w:val="none" w:sz="0" w:space="0" w:color="auto"/>
                        <w:right w:val="none" w:sz="0" w:space="0" w:color="auto"/>
                      </w:divBdr>
                    </w:div>
                    <w:div w:id="5125692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42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82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331489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6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994575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720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westlaw.co.uk/maf/wluk/app/document?src=doc&amp;linktype=ref&amp;context=21&amp;crumb-action=replace&amp;docguid=IEFB20210E45311DA8D70A0E70A78ED6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gin.westlaw.co.uk/maf/wluk/app/document?src=doc&amp;linktype=ref&amp;context=21&amp;crumb-action=replace&amp;docguid=I88FA819031F311E4B8E9E4894498BDD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ogin.westlaw.co.uk/maf/wluk/app/document?src=doc&amp;linktype=ref&amp;context=21&amp;crumb-action=replace&amp;docguid=I88FA819031F311E4B8E9E4894498BDD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co.uk/maf/wluk/app/document?src=doc&amp;linktype=ref&amp;context=21&amp;crumb-action=replace&amp;docguid=I4D713320E42811DA8FC2A0F0355337E9" TargetMode="External"/><Relationship Id="rId5" Type="http://schemas.openxmlformats.org/officeDocument/2006/relationships/webSettings" Target="webSettings.xml"/><Relationship Id="rId15" Type="http://schemas.openxmlformats.org/officeDocument/2006/relationships/hyperlink" Target="https://login.westlaw.co.uk/maf/wluk/app/document?src=doc&amp;linktype=ref&amp;context=21&amp;crumb-action=replace&amp;docguid=IEFB20210E45311DA8D70A0E70A78ED65" TargetMode="External"/><Relationship Id="rId10" Type="http://schemas.openxmlformats.org/officeDocument/2006/relationships/hyperlink" Target="https://login.westlaw.co.uk/maf/wluk/app/document?src=doc&amp;linktype=ref&amp;context=21&amp;crumb-action=replace&amp;docguid=I4D713320E42811DA8FC2A0F0355337E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ogin.westlaw.co.uk/maf/wluk/app/document?src=doc&amp;linktype=ref&amp;context=21&amp;crumb-action=replace&amp;docguid=IEFB20210E45311DA8D70A0E70A78ED65" TargetMode="External"/><Relationship Id="rId14" Type="http://schemas.openxmlformats.org/officeDocument/2006/relationships/hyperlink" Target="https://login.westlaw.co.uk/maf/wluk/app/document?src=doc&amp;linktype=ref&amp;context=21&amp;crumb-action=replace&amp;docguid=I88FA819031F311E4B8E9E4894498BDD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C87B3-0DED-42E8-8AE9-F6C5C1A1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2129</Words>
  <Characters>11930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2018-10-08T13:59:00Z</dcterms:created>
  <dcterms:modified xsi:type="dcterms:W3CDTF">2018-10-08T13:59:00Z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