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231C6" w14:textId="77777777" w:rsidR="00C321B5" w:rsidRPr="00F5664C" w:rsidRDefault="00C72519" w:rsidP="00C321B5">
      <w:pPr>
        <w:jc w:val="center"/>
        <w:rPr>
          <w:rFonts w:ascii="Book Antiqua" w:hAnsi="Book Antiqua" w:cs="Arial"/>
          <w:sz w:val="16"/>
          <w:szCs w:val="16"/>
        </w:rPr>
      </w:pPr>
      <w:r>
        <w:rPr>
          <w:noProof/>
        </w:rPr>
        <w:drawing>
          <wp:inline distT="0" distB="0" distL="0" distR="0" wp14:anchorId="78B45048" wp14:editId="3878E4C6">
            <wp:extent cx="1047115" cy="906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1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ED79D" w14:textId="77777777" w:rsidR="00D94AFC" w:rsidRPr="00F5664C" w:rsidRDefault="00D94AFC">
      <w:pPr>
        <w:rPr>
          <w:rFonts w:ascii="Book Antiqua" w:hAnsi="Book Antiqua" w:cs="Arial"/>
        </w:rPr>
      </w:pPr>
    </w:p>
    <w:p w14:paraId="61126B8A" w14:textId="77777777" w:rsidR="00C321B5" w:rsidRPr="00F5664C" w:rsidRDefault="001A1E2C" w:rsidP="00B626FA">
      <w:pPr>
        <w:tabs>
          <w:tab w:val="right" w:pos="9639"/>
        </w:tabs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Upper </w:t>
      </w:r>
      <w:r w:rsidR="00C321B5" w:rsidRPr="00F5664C">
        <w:rPr>
          <w:rFonts w:ascii="Book Antiqua" w:hAnsi="Book Antiqua" w:cs="Arial"/>
          <w:b/>
        </w:rPr>
        <w:t xml:space="preserve">Tribunal </w:t>
      </w:r>
    </w:p>
    <w:p w14:paraId="1AB46E3E" w14:textId="77777777" w:rsidR="007B0824" w:rsidRPr="00F5664C" w:rsidRDefault="00C321B5" w:rsidP="00B626FA">
      <w:pPr>
        <w:tabs>
          <w:tab w:val="right" w:pos="9639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  <w:b/>
        </w:rPr>
        <w:t>(Immigration and Asylum Chamber)</w:t>
      </w:r>
      <w:r w:rsidR="00B626FA" w:rsidRPr="00F5664C">
        <w:rPr>
          <w:rFonts w:ascii="Book Antiqua" w:hAnsi="Book Antiqua" w:cs="Arial"/>
          <w:b/>
        </w:rPr>
        <w:tab/>
      </w:r>
      <w:r w:rsidR="00B3524D" w:rsidRPr="00F5664C">
        <w:rPr>
          <w:rFonts w:ascii="Book Antiqua" w:hAnsi="Book Antiqua" w:cs="Arial"/>
        </w:rPr>
        <w:t>Appeal Number</w:t>
      </w:r>
      <w:r w:rsidR="00D53769" w:rsidRPr="00F5664C">
        <w:rPr>
          <w:rFonts w:ascii="Book Antiqua" w:hAnsi="Book Antiqua" w:cs="Arial"/>
        </w:rPr>
        <w:t>:</w:t>
      </w:r>
      <w:r w:rsidR="00B3524D" w:rsidRPr="00F5664C">
        <w:rPr>
          <w:rFonts w:ascii="Book Antiqua" w:hAnsi="Book Antiqua" w:cs="Arial"/>
        </w:rPr>
        <w:t xml:space="preserve"> </w:t>
      </w:r>
      <w:bookmarkStart w:id="0" w:name="_GoBack"/>
      <w:r w:rsidR="00DA48D2" w:rsidRPr="00DA48D2">
        <w:rPr>
          <w:rFonts w:ascii="Book Antiqua" w:hAnsi="Book Antiqua" w:cs="Arial"/>
          <w:caps/>
        </w:rPr>
        <w:t>EA/05808/2016</w:t>
      </w:r>
      <w:bookmarkEnd w:id="0"/>
    </w:p>
    <w:p w14:paraId="16F60396" w14:textId="77777777" w:rsidR="00C345E1" w:rsidRPr="00F5664C" w:rsidRDefault="00C345E1" w:rsidP="00C345E1">
      <w:pPr>
        <w:jc w:val="center"/>
        <w:rPr>
          <w:rFonts w:ascii="Book Antiqua" w:hAnsi="Book Antiqua" w:cs="Arial"/>
        </w:rPr>
      </w:pPr>
    </w:p>
    <w:p w14:paraId="76F45AC5" w14:textId="77777777" w:rsidR="00C345E1" w:rsidRPr="00F5664C" w:rsidRDefault="00C345E1" w:rsidP="00C345E1">
      <w:pPr>
        <w:jc w:val="center"/>
        <w:rPr>
          <w:rFonts w:ascii="Book Antiqua" w:hAnsi="Book Antiqua" w:cs="Arial"/>
        </w:rPr>
      </w:pPr>
    </w:p>
    <w:p w14:paraId="174B2A22" w14:textId="77777777"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  <w:r w:rsidRPr="00F5664C">
        <w:rPr>
          <w:rFonts w:ascii="Book Antiqua" w:hAnsi="Book Antiqua" w:cs="Arial"/>
          <w:b/>
          <w:u w:val="single"/>
        </w:rPr>
        <w:t>THE IMMIGRATION ACTS</w:t>
      </w:r>
    </w:p>
    <w:p w14:paraId="399C29DA" w14:textId="77777777"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p w14:paraId="36FE5F52" w14:textId="77777777"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700"/>
        <w:gridCol w:w="3938"/>
      </w:tblGrid>
      <w:tr w:rsidR="00D22636" w:rsidRPr="00F5664C" w14:paraId="25C688C8" w14:textId="77777777" w:rsidTr="003F10C2">
        <w:tc>
          <w:tcPr>
            <w:tcW w:w="5700" w:type="dxa"/>
          </w:tcPr>
          <w:p w14:paraId="579B9F6F" w14:textId="77777777" w:rsidR="00D22636" w:rsidRPr="00F5664C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F5664C">
              <w:rPr>
                <w:rFonts w:ascii="Book Antiqua" w:hAnsi="Book Antiqua" w:cs="Arial"/>
                <w:b/>
              </w:rPr>
              <w:t xml:space="preserve">Heard at </w:t>
            </w:r>
            <w:r w:rsidR="00DA48D2">
              <w:rPr>
                <w:rFonts w:ascii="Book Antiqua" w:hAnsi="Book Antiqua" w:cs="Arial"/>
                <w:b/>
              </w:rPr>
              <w:t xml:space="preserve">Field House </w:t>
            </w:r>
          </w:p>
        </w:tc>
        <w:tc>
          <w:tcPr>
            <w:tcW w:w="3938" w:type="dxa"/>
          </w:tcPr>
          <w:p w14:paraId="08404C94" w14:textId="77777777" w:rsidR="00D22636" w:rsidRPr="00F5664C" w:rsidRDefault="00283659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F5664C">
              <w:rPr>
                <w:rFonts w:ascii="Book Antiqua" w:hAnsi="Book Antiqua" w:cs="Arial"/>
                <w:b/>
              </w:rPr>
              <w:t>De</w:t>
            </w:r>
            <w:r w:rsidR="00864126">
              <w:rPr>
                <w:rFonts w:ascii="Book Antiqua" w:hAnsi="Book Antiqua" w:cs="Arial"/>
                <w:b/>
              </w:rPr>
              <w:t>cision &amp; Reasons</w:t>
            </w:r>
            <w:r w:rsidRPr="00F5664C">
              <w:rPr>
                <w:rFonts w:ascii="Book Antiqua" w:hAnsi="Book Antiqua" w:cs="Arial"/>
                <w:b/>
              </w:rPr>
              <w:t xml:space="preserve"> Promulgated</w:t>
            </w:r>
          </w:p>
        </w:tc>
      </w:tr>
      <w:tr w:rsidR="00D22636" w:rsidRPr="00F5664C" w14:paraId="42E85D0A" w14:textId="77777777" w:rsidTr="003F10C2">
        <w:tc>
          <w:tcPr>
            <w:tcW w:w="5700" w:type="dxa"/>
          </w:tcPr>
          <w:p w14:paraId="4C7A3147" w14:textId="77777777" w:rsidR="00D22636" w:rsidRPr="00F5664C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F5664C">
              <w:rPr>
                <w:rFonts w:ascii="Book Antiqua" w:hAnsi="Book Antiqua" w:cs="Arial"/>
                <w:b/>
              </w:rPr>
              <w:t xml:space="preserve">On </w:t>
            </w:r>
            <w:r w:rsidR="00DA48D2">
              <w:rPr>
                <w:rFonts w:ascii="Book Antiqua" w:hAnsi="Book Antiqua" w:cs="Arial"/>
                <w:b/>
              </w:rPr>
              <w:t>24</w:t>
            </w:r>
            <w:r w:rsidR="00DA48D2" w:rsidRPr="00DA48D2">
              <w:rPr>
                <w:rFonts w:ascii="Book Antiqua" w:hAnsi="Book Antiqua" w:cs="Arial"/>
                <w:b/>
                <w:vertAlign w:val="superscript"/>
              </w:rPr>
              <w:t>th</w:t>
            </w:r>
            <w:r w:rsidR="00DA48D2">
              <w:rPr>
                <w:rFonts w:ascii="Book Antiqua" w:hAnsi="Book Antiqua" w:cs="Arial"/>
                <w:b/>
              </w:rPr>
              <w:t xml:space="preserve"> August 2018 </w:t>
            </w:r>
          </w:p>
        </w:tc>
        <w:tc>
          <w:tcPr>
            <w:tcW w:w="3938" w:type="dxa"/>
          </w:tcPr>
          <w:p w14:paraId="06C15BB8" w14:textId="74E758F9" w:rsidR="00D22636" w:rsidRPr="00F5664C" w:rsidRDefault="003F10C2" w:rsidP="004A184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13</w:t>
            </w:r>
            <w:r w:rsidRPr="003F10C2">
              <w:rPr>
                <w:rFonts w:ascii="Book Antiqua" w:hAnsi="Book Antiqua" w:cs="Arial"/>
                <w:b/>
                <w:vertAlign w:val="superscript"/>
              </w:rPr>
              <w:t>th</w:t>
            </w:r>
            <w:r>
              <w:rPr>
                <w:rFonts w:ascii="Book Antiqua" w:hAnsi="Book Antiqua" w:cs="Arial"/>
                <w:b/>
              </w:rPr>
              <w:t xml:space="preserve"> September 2018</w:t>
            </w:r>
          </w:p>
        </w:tc>
      </w:tr>
    </w:tbl>
    <w:p w14:paraId="684C9BA6" w14:textId="77777777" w:rsidR="00A15234" w:rsidRPr="00F5664C" w:rsidRDefault="00A15234" w:rsidP="00A15234">
      <w:pPr>
        <w:jc w:val="center"/>
        <w:rPr>
          <w:rFonts w:ascii="Book Antiqua" w:hAnsi="Book Antiqua" w:cs="Arial"/>
        </w:rPr>
      </w:pPr>
    </w:p>
    <w:p w14:paraId="5DFC1548" w14:textId="77777777" w:rsidR="00A15234" w:rsidRPr="00F5664C" w:rsidRDefault="00A15234" w:rsidP="00A15234">
      <w:pPr>
        <w:jc w:val="center"/>
        <w:rPr>
          <w:rFonts w:ascii="Book Antiqua" w:hAnsi="Book Antiqua" w:cs="Arial"/>
        </w:rPr>
      </w:pPr>
    </w:p>
    <w:p w14:paraId="2AC94D2A" w14:textId="77777777" w:rsidR="00A15234" w:rsidRPr="00F5664C" w:rsidRDefault="00207617" w:rsidP="00A15234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Befo</w:t>
      </w:r>
      <w:r w:rsidR="00A15234" w:rsidRPr="00F5664C">
        <w:rPr>
          <w:rFonts w:ascii="Book Antiqua" w:hAnsi="Book Antiqua" w:cs="Arial"/>
          <w:b/>
        </w:rPr>
        <w:t>re</w:t>
      </w:r>
    </w:p>
    <w:p w14:paraId="07A20E37" w14:textId="77777777" w:rsidR="00A15234" w:rsidRPr="00F5664C" w:rsidRDefault="00A15234" w:rsidP="00A15234">
      <w:pPr>
        <w:jc w:val="center"/>
        <w:rPr>
          <w:rFonts w:ascii="Book Antiqua" w:hAnsi="Book Antiqua" w:cs="Arial"/>
          <w:b/>
        </w:rPr>
      </w:pPr>
    </w:p>
    <w:p w14:paraId="6F08122B" w14:textId="77777777" w:rsidR="00A845DC" w:rsidRDefault="000A32A2" w:rsidP="00A15234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DEPUTY UPPER TRIBUNAL</w:t>
      </w:r>
      <w:r w:rsidR="00B16F58" w:rsidRPr="00F5664C">
        <w:rPr>
          <w:rFonts w:ascii="Book Antiqua" w:hAnsi="Book Antiqua" w:cs="Arial"/>
          <w:b/>
        </w:rPr>
        <w:t xml:space="preserve"> JUDGE </w:t>
      </w:r>
      <w:r w:rsidR="00BE4FE1">
        <w:rPr>
          <w:rFonts w:ascii="Book Antiqua" w:hAnsi="Book Antiqua" w:cs="Arial"/>
          <w:b/>
        </w:rPr>
        <w:t>ZUCKER</w:t>
      </w:r>
    </w:p>
    <w:p w14:paraId="23ADF2AF" w14:textId="77777777" w:rsidR="001A1E2C" w:rsidRDefault="001A1E2C" w:rsidP="00A15234">
      <w:pPr>
        <w:jc w:val="center"/>
        <w:rPr>
          <w:rFonts w:ascii="Book Antiqua" w:hAnsi="Book Antiqua" w:cs="Arial"/>
          <w:b/>
        </w:rPr>
      </w:pPr>
    </w:p>
    <w:p w14:paraId="6343EF2D" w14:textId="77777777" w:rsidR="00B16F58" w:rsidRPr="00F5664C" w:rsidRDefault="00B16F58" w:rsidP="00A15234">
      <w:pPr>
        <w:jc w:val="center"/>
        <w:rPr>
          <w:rFonts w:ascii="Book Antiqua" w:hAnsi="Book Antiqua" w:cs="Arial"/>
          <w:b/>
        </w:rPr>
      </w:pPr>
    </w:p>
    <w:p w14:paraId="403B75C0" w14:textId="77777777" w:rsidR="00A845DC" w:rsidRPr="00F5664C" w:rsidRDefault="00A845DC" w:rsidP="00A15234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Between</w:t>
      </w:r>
    </w:p>
    <w:p w14:paraId="44212FE0" w14:textId="77777777" w:rsidR="00A845DC" w:rsidRPr="00F5664C" w:rsidRDefault="00A845DC" w:rsidP="00A15234">
      <w:pPr>
        <w:jc w:val="center"/>
        <w:rPr>
          <w:rFonts w:ascii="Book Antiqua" w:hAnsi="Book Antiqua" w:cs="Arial"/>
          <w:b/>
        </w:rPr>
      </w:pPr>
    </w:p>
    <w:p w14:paraId="48367825" w14:textId="77777777" w:rsidR="00742A8D" w:rsidRDefault="00DA48D2" w:rsidP="00742A8D">
      <w:pPr>
        <w:jc w:val="center"/>
        <w:rPr>
          <w:rFonts w:ascii="Book Antiqua" w:hAnsi="Book Antiqua" w:cs="Arial"/>
          <w:b/>
          <w:caps/>
        </w:rPr>
      </w:pPr>
      <w:r w:rsidRPr="00DA48D2">
        <w:rPr>
          <w:rFonts w:ascii="Book Antiqua" w:hAnsi="Book Antiqua" w:cs="Arial"/>
          <w:b/>
          <w:caps/>
        </w:rPr>
        <w:t>Priscilla Ugboaku</w:t>
      </w:r>
      <w:r>
        <w:rPr>
          <w:rFonts w:ascii="Book Antiqua" w:hAnsi="Book Antiqua" w:cs="Arial"/>
          <w:b/>
          <w:caps/>
        </w:rPr>
        <w:t xml:space="preserve"> </w:t>
      </w:r>
      <w:r w:rsidRPr="00DA48D2">
        <w:rPr>
          <w:rFonts w:ascii="Book Antiqua" w:hAnsi="Book Antiqua" w:cs="Arial"/>
          <w:b/>
          <w:caps/>
        </w:rPr>
        <w:t>Nwoga</w:t>
      </w:r>
    </w:p>
    <w:p w14:paraId="6CAC0020" w14:textId="77777777" w:rsidR="005B4942" w:rsidRDefault="005B4942" w:rsidP="005B4942">
      <w:pPr>
        <w:jc w:val="center"/>
        <w:rPr>
          <w:rFonts w:ascii="Book Antiqua" w:hAnsi="Book Antiqua" w:cs="Arial"/>
          <w:b/>
          <w:caps/>
        </w:rPr>
      </w:pPr>
      <w:r w:rsidRPr="005B4942">
        <w:rPr>
          <w:rFonts w:ascii="Book Antiqua" w:hAnsi="Book Antiqua" w:cs="Arial"/>
          <w:b/>
          <w:caps/>
        </w:rPr>
        <w:t xml:space="preserve">(ANONYMITY DIRECTION </w:t>
      </w:r>
      <w:r w:rsidR="00DA48D2">
        <w:rPr>
          <w:rFonts w:ascii="Book Antiqua" w:hAnsi="Book Antiqua" w:cs="Arial"/>
          <w:b/>
          <w:caps/>
        </w:rPr>
        <w:t>not made</w:t>
      </w:r>
      <w:r w:rsidRPr="005B4942">
        <w:rPr>
          <w:rFonts w:ascii="Book Antiqua" w:hAnsi="Book Antiqua" w:cs="Arial"/>
          <w:b/>
          <w:caps/>
        </w:rPr>
        <w:t>)</w:t>
      </w:r>
    </w:p>
    <w:p w14:paraId="1D8DBFEB" w14:textId="77777777" w:rsidR="00704B61" w:rsidRPr="00F5664C" w:rsidRDefault="001B4B0D" w:rsidP="00704B61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Appellant</w:t>
      </w:r>
    </w:p>
    <w:p w14:paraId="62084A40" w14:textId="77777777" w:rsidR="006D1DFA" w:rsidRPr="00F5664C" w:rsidRDefault="006D1DFA" w:rsidP="00704B61">
      <w:pPr>
        <w:jc w:val="center"/>
        <w:rPr>
          <w:rFonts w:ascii="Book Antiqua" w:hAnsi="Book Antiqua" w:cs="Arial"/>
          <w:b/>
        </w:rPr>
      </w:pPr>
    </w:p>
    <w:p w14:paraId="731555B5" w14:textId="77777777" w:rsidR="00704B61" w:rsidRPr="00F5664C" w:rsidRDefault="00DD5071" w:rsidP="00704B61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and</w:t>
      </w:r>
    </w:p>
    <w:p w14:paraId="14860681" w14:textId="77777777" w:rsidR="00DD5071" w:rsidRPr="00F5664C" w:rsidRDefault="00DD5071" w:rsidP="00704B61">
      <w:pPr>
        <w:jc w:val="center"/>
        <w:rPr>
          <w:rFonts w:ascii="Book Antiqua" w:hAnsi="Book Antiqua" w:cs="Arial"/>
          <w:b/>
        </w:rPr>
      </w:pPr>
    </w:p>
    <w:p w14:paraId="74B43F2D" w14:textId="77777777" w:rsidR="00DD5071" w:rsidRPr="00F5664C" w:rsidRDefault="00DD5071" w:rsidP="00704B61">
      <w:pPr>
        <w:jc w:val="center"/>
        <w:rPr>
          <w:rFonts w:ascii="Book Antiqua" w:hAnsi="Book Antiqua" w:cs="Arial"/>
          <w:b/>
          <w:caps/>
        </w:rPr>
      </w:pPr>
      <w:r w:rsidRPr="00F5664C">
        <w:rPr>
          <w:rFonts w:ascii="Book Antiqua" w:hAnsi="Book Antiqua" w:cs="Arial"/>
          <w:b/>
          <w:caps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1" w:name="Text7"/>
      <w:r w:rsidRPr="00F5664C">
        <w:rPr>
          <w:rFonts w:ascii="Book Antiqua" w:hAnsi="Book Antiqua" w:cs="Arial"/>
          <w:b/>
          <w:caps/>
        </w:rPr>
        <w:instrText xml:space="preserve"> FORMTEXT </w:instrText>
      </w:r>
      <w:r w:rsidRPr="00F5664C">
        <w:rPr>
          <w:rFonts w:ascii="Book Antiqua" w:hAnsi="Book Antiqua" w:cs="Arial"/>
          <w:b/>
          <w:caps/>
        </w:rPr>
      </w:r>
      <w:r w:rsidRPr="00F5664C">
        <w:rPr>
          <w:rFonts w:ascii="Book Antiqua" w:hAnsi="Book Antiqua" w:cs="Arial"/>
          <w:b/>
          <w:caps/>
        </w:rPr>
        <w:fldChar w:fldCharType="separate"/>
      </w:r>
      <w:r w:rsidRPr="00F5664C">
        <w:rPr>
          <w:rFonts w:ascii="Book Antiqua" w:hAnsi="Book Antiqua" w:cs="Arial"/>
          <w:b/>
          <w:caps/>
          <w:noProof/>
        </w:rPr>
        <w:t>THE SECRETARY OF STATE FOR THE HOME DEPARTMENT</w:t>
      </w:r>
      <w:r w:rsidRPr="00F5664C">
        <w:rPr>
          <w:rFonts w:ascii="Book Antiqua" w:hAnsi="Book Antiqua" w:cs="Arial"/>
          <w:b/>
          <w:caps/>
        </w:rPr>
        <w:fldChar w:fldCharType="end"/>
      </w:r>
      <w:bookmarkEnd w:id="1"/>
    </w:p>
    <w:p w14:paraId="41E8AA04" w14:textId="77777777" w:rsidR="00DD5071" w:rsidRPr="00F5664C" w:rsidRDefault="00DD5071" w:rsidP="00704B61">
      <w:pPr>
        <w:jc w:val="center"/>
        <w:rPr>
          <w:rFonts w:ascii="Book Antiqua" w:hAnsi="Book Antiqua" w:cs="Arial"/>
          <w:b/>
          <w:caps/>
        </w:rPr>
      </w:pPr>
    </w:p>
    <w:p w14:paraId="15CF4149" w14:textId="77777777" w:rsidR="00DD5071" w:rsidRPr="00F5664C" w:rsidRDefault="001B4B0D" w:rsidP="00DD5071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Respondent</w:t>
      </w:r>
    </w:p>
    <w:p w14:paraId="4B083B3A" w14:textId="77777777"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14:paraId="255EFE82" w14:textId="77777777" w:rsidR="00DD5071" w:rsidRPr="00F5664C" w:rsidRDefault="00DE7DB7" w:rsidP="00DD5071">
      <w:pPr>
        <w:rPr>
          <w:rFonts w:ascii="Book Antiqua" w:hAnsi="Book Antiqua" w:cs="Arial"/>
        </w:rPr>
      </w:pPr>
      <w:r w:rsidRPr="00F5664C">
        <w:rPr>
          <w:rFonts w:ascii="Book Antiqua" w:hAnsi="Book Antiqua" w:cs="Arial"/>
          <w:b/>
          <w:u w:val="single"/>
        </w:rPr>
        <w:t>Representation</w:t>
      </w:r>
      <w:r w:rsidRPr="00F5664C">
        <w:rPr>
          <w:rFonts w:ascii="Book Antiqua" w:hAnsi="Book Antiqua" w:cs="Arial"/>
          <w:b/>
        </w:rPr>
        <w:t>:</w:t>
      </w:r>
    </w:p>
    <w:p w14:paraId="485698F8" w14:textId="77777777" w:rsidR="00DE7DB7" w:rsidRPr="00F5664C" w:rsidRDefault="00DE7DB7" w:rsidP="00DD5071">
      <w:pPr>
        <w:rPr>
          <w:rFonts w:ascii="Book Antiqua" w:hAnsi="Book Antiqua" w:cs="Arial"/>
        </w:rPr>
      </w:pPr>
    </w:p>
    <w:p w14:paraId="3D373078" w14:textId="77777777" w:rsidR="00DE7DB7" w:rsidRPr="00F5664C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</w:rPr>
        <w:t xml:space="preserve">For the </w:t>
      </w:r>
      <w:r w:rsidR="001B4B0D">
        <w:rPr>
          <w:rFonts w:ascii="Book Antiqua" w:hAnsi="Book Antiqua" w:cs="Arial"/>
        </w:rPr>
        <w:t>Appellant</w:t>
      </w:r>
      <w:r w:rsidRPr="00F5664C">
        <w:rPr>
          <w:rFonts w:ascii="Book Antiqua" w:hAnsi="Book Antiqua" w:cs="Arial"/>
        </w:rPr>
        <w:t>:</w:t>
      </w:r>
      <w:r w:rsidRPr="00F5664C">
        <w:rPr>
          <w:rFonts w:ascii="Book Antiqua" w:hAnsi="Book Antiqua" w:cs="Arial"/>
        </w:rPr>
        <w:tab/>
      </w:r>
      <w:r w:rsidR="00635F8C">
        <w:rPr>
          <w:rFonts w:ascii="Book Antiqua" w:hAnsi="Book Antiqua" w:cs="Arial"/>
        </w:rPr>
        <w:t>Mr A Malik, Counsel instructed by Global Solicitors &amp; Advocates</w:t>
      </w:r>
    </w:p>
    <w:p w14:paraId="094B4549" w14:textId="77777777" w:rsidR="00DE7DB7" w:rsidRPr="00F5664C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</w:rPr>
        <w:t xml:space="preserve">For the </w:t>
      </w:r>
      <w:r w:rsidR="001B4B0D">
        <w:rPr>
          <w:rFonts w:ascii="Book Antiqua" w:hAnsi="Book Antiqua" w:cs="Arial"/>
        </w:rPr>
        <w:t>Respondent</w:t>
      </w:r>
      <w:r w:rsidRPr="00F5664C">
        <w:rPr>
          <w:rFonts w:ascii="Book Antiqua" w:hAnsi="Book Antiqua" w:cs="Arial"/>
        </w:rPr>
        <w:t>:</w:t>
      </w:r>
      <w:r w:rsidRPr="00F5664C">
        <w:rPr>
          <w:rFonts w:ascii="Book Antiqua" w:hAnsi="Book Antiqua" w:cs="Arial"/>
        </w:rPr>
        <w:tab/>
      </w:r>
      <w:r w:rsidR="00635F8C">
        <w:rPr>
          <w:rFonts w:ascii="Book Antiqua" w:hAnsi="Book Antiqua" w:cs="Arial"/>
        </w:rPr>
        <w:t xml:space="preserve">Ms M Kiss, Senior Home Office Presenting Officer </w:t>
      </w:r>
    </w:p>
    <w:p w14:paraId="5075303F" w14:textId="77777777" w:rsidR="00DE7DB7" w:rsidRPr="00F5664C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14:paraId="3AC8AE5D" w14:textId="77777777" w:rsidR="00DE7DB7" w:rsidRPr="00F5664C" w:rsidRDefault="00402B9E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  <w:r w:rsidRPr="00F5664C">
        <w:rPr>
          <w:rFonts w:ascii="Book Antiqua" w:hAnsi="Book Antiqua" w:cs="Arial"/>
          <w:b/>
          <w:u w:val="single"/>
        </w:rPr>
        <w:t>DE</w:t>
      </w:r>
      <w:r w:rsidR="00864126">
        <w:rPr>
          <w:rFonts w:ascii="Book Antiqua" w:hAnsi="Book Antiqua" w:cs="Arial"/>
          <w:b/>
          <w:u w:val="single"/>
        </w:rPr>
        <w:t>CISION</w:t>
      </w:r>
      <w:r w:rsidRPr="00F5664C">
        <w:rPr>
          <w:rFonts w:ascii="Book Antiqua" w:hAnsi="Book Antiqua" w:cs="Arial"/>
          <w:b/>
          <w:u w:val="single"/>
        </w:rPr>
        <w:t xml:space="preserve"> AND REASONS</w:t>
      </w:r>
    </w:p>
    <w:p w14:paraId="5CF80F9D" w14:textId="77777777" w:rsidR="00326553" w:rsidRDefault="00635F8C" w:rsidP="006F4436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 w:rsidRPr="001B4B0D">
        <w:rPr>
          <w:rFonts w:ascii="Book Antiqua" w:hAnsi="Book Antiqua" w:cs="Arial"/>
        </w:rPr>
        <w:t xml:space="preserve">The </w:t>
      </w:r>
      <w:r w:rsidR="001B4B0D">
        <w:rPr>
          <w:rFonts w:ascii="Book Antiqua" w:hAnsi="Book Antiqua" w:cs="Arial"/>
        </w:rPr>
        <w:t>Appellant</w:t>
      </w:r>
      <w:r w:rsidRPr="001B4B0D">
        <w:rPr>
          <w:rFonts w:ascii="Book Antiqua" w:hAnsi="Book Antiqua" w:cs="Arial"/>
        </w:rPr>
        <w:t xml:space="preserve"> is a citizen of Nigeria whose date of birth is recorded as 10</w:t>
      </w:r>
      <w:r w:rsidRPr="001B4B0D">
        <w:rPr>
          <w:rFonts w:ascii="Book Antiqua" w:hAnsi="Book Antiqua" w:cs="Arial"/>
          <w:vertAlign w:val="superscript"/>
        </w:rPr>
        <w:t>th</w:t>
      </w:r>
      <w:r w:rsidRPr="001B4B0D">
        <w:rPr>
          <w:rFonts w:ascii="Book Antiqua" w:hAnsi="Book Antiqua" w:cs="Arial"/>
        </w:rPr>
        <w:t xml:space="preserve"> June 1976.  She applied for permanent residence as a family member with a retained right of residence on the termination of a marriage.  A decision was made on 25</w:t>
      </w:r>
      <w:r w:rsidRPr="001B4B0D">
        <w:rPr>
          <w:rFonts w:ascii="Book Antiqua" w:hAnsi="Book Antiqua" w:cs="Arial"/>
          <w:vertAlign w:val="superscript"/>
        </w:rPr>
        <w:t>th</w:t>
      </w:r>
      <w:r w:rsidRPr="001B4B0D">
        <w:rPr>
          <w:rFonts w:ascii="Book Antiqua" w:hAnsi="Book Antiqua" w:cs="Arial"/>
        </w:rPr>
        <w:t xml:space="preserve"> April 2016 to refuse the application and the </w:t>
      </w:r>
      <w:r w:rsidR="001B4B0D">
        <w:rPr>
          <w:rFonts w:ascii="Book Antiqua" w:hAnsi="Book Antiqua" w:cs="Arial"/>
        </w:rPr>
        <w:t>Appellant</w:t>
      </w:r>
      <w:r w:rsidRPr="001B4B0D">
        <w:rPr>
          <w:rFonts w:ascii="Book Antiqua" w:hAnsi="Book Antiqua" w:cs="Arial"/>
        </w:rPr>
        <w:t xml:space="preserve"> appealed.  The appeal was heard by Judge of the First-tier Tribunal Courtney sitting at Hatton Cross on 14</w:t>
      </w:r>
      <w:r w:rsidRPr="001B4B0D">
        <w:rPr>
          <w:rFonts w:ascii="Book Antiqua" w:hAnsi="Book Antiqua" w:cs="Arial"/>
          <w:vertAlign w:val="superscript"/>
        </w:rPr>
        <w:t>th</w:t>
      </w:r>
      <w:r w:rsidRPr="001B4B0D">
        <w:rPr>
          <w:rFonts w:ascii="Book Antiqua" w:hAnsi="Book Antiqua" w:cs="Arial"/>
        </w:rPr>
        <w:t xml:space="preserve"> March 2018.  Judge </w:t>
      </w:r>
      <w:r w:rsidRPr="001B4B0D">
        <w:rPr>
          <w:rFonts w:ascii="Book Antiqua" w:hAnsi="Book Antiqua" w:cs="Arial"/>
        </w:rPr>
        <w:lastRenderedPageBreak/>
        <w:t xml:space="preserve">Courtney dismissed the appeal having concerns about the quality of the evidence then relied upon.  </w:t>
      </w:r>
    </w:p>
    <w:p w14:paraId="6287AF76" w14:textId="77777777" w:rsidR="006220D4" w:rsidRDefault="00635F8C" w:rsidP="006F4436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 w:rsidRPr="001B4B0D">
        <w:rPr>
          <w:rFonts w:ascii="Book Antiqua" w:hAnsi="Book Antiqua" w:cs="Arial"/>
        </w:rPr>
        <w:t xml:space="preserve">Not content with that decision, by </w:t>
      </w:r>
      <w:r w:rsidR="00326553">
        <w:rPr>
          <w:rFonts w:ascii="Book Antiqua" w:hAnsi="Book Antiqua" w:cs="Arial"/>
        </w:rPr>
        <w:t>N</w:t>
      </w:r>
      <w:r w:rsidRPr="001B4B0D">
        <w:rPr>
          <w:rFonts w:ascii="Book Antiqua" w:hAnsi="Book Antiqua" w:cs="Arial"/>
        </w:rPr>
        <w:t>otice dated 9</w:t>
      </w:r>
      <w:r w:rsidRPr="001B4B0D">
        <w:rPr>
          <w:rFonts w:ascii="Book Antiqua" w:hAnsi="Book Antiqua" w:cs="Arial"/>
          <w:vertAlign w:val="superscript"/>
        </w:rPr>
        <w:t>th</w:t>
      </w:r>
      <w:r w:rsidRPr="001B4B0D">
        <w:rPr>
          <w:rFonts w:ascii="Book Antiqua" w:hAnsi="Book Antiqua" w:cs="Arial"/>
        </w:rPr>
        <w:t xml:space="preserve"> April 2018 the </w:t>
      </w:r>
      <w:r w:rsidR="001B4B0D">
        <w:rPr>
          <w:rFonts w:ascii="Book Antiqua" w:hAnsi="Book Antiqua" w:cs="Arial"/>
        </w:rPr>
        <w:t>Appellant</w:t>
      </w:r>
      <w:r w:rsidRPr="001B4B0D">
        <w:rPr>
          <w:rFonts w:ascii="Book Antiqua" w:hAnsi="Book Antiqua" w:cs="Arial"/>
        </w:rPr>
        <w:t xml:space="preserve"> made application for permission to appeal to the Upper Tribunal relying on the case of </w:t>
      </w:r>
      <w:r w:rsidRPr="001B4B0D">
        <w:rPr>
          <w:rFonts w:ascii="Book Antiqua" w:hAnsi="Book Antiqua" w:cs="Arial"/>
          <w:b/>
          <w:bCs/>
          <w:u w:val="single"/>
        </w:rPr>
        <w:t>Baigazieva</w:t>
      </w:r>
      <w:r w:rsidRPr="001B4B0D">
        <w:rPr>
          <w:rFonts w:ascii="Book Antiqua" w:hAnsi="Book Antiqua" w:cs="Arial"/>
          <w:b/>
          <w:bCs/>
        </w:rPr>
        <w:t xml:space="preserve"> </w:t>
      </w:r>
      <w:r w:rsidRPr="001B4B0D">
        <w:rPr>
          <w:rFonts w:ascii="Book Antiqua" w:hAnsi="Book Antiqua" w:cs="Arial"/>
          <w:b/>
        </w:rPr>
        <w:t>[2018] EWCA Civ 1088</w:t>
      </w:r>
      <w:r w:rsidRPr="001B4B0D">
        <w:rPr>
          <w:rFonts w:ascii="Book Antiqua" w:hAnsi="Book Antiqua" w:cs="Arial"/>
        </w:rPr>
        <w:t xml:space="preserve">.  The understanding of the law prior to that case was that the relevant date was the termination of the marriage rather than the commencement of proceedings.  </w:t>
      </w:r>
    </w:p>
    <w:p w14:paraId="0EAE3AF5" w14:textId="69079262" w:rsidR="00635F8C" w:rsidRDefault="00635F8C" w:rsidP="006F4436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 w:rsidRPr="001B4B0D">
        <w:rPr>
          <w:rFonts w:ascii="Book Antiqua" w:hAnsi="Book Antiqua" w:cs="Arial"/>
        </w:rPr>
        <w:t xml:space="preserve">Ms Kiss </w:t>
      </w:r>
      <w:r w:rsidR="001B4B0D" w:rsidRPr="001B4B0D">
        <w:rPr>
          <w:rFonts w:ascii="Book Antiqua" w:hAnsi="Book Antiqua" w:cs="Arial"/>
        </w:rPr>
        <w:t>accepts</w:t>
      </w:r>
      <w:r w:rsidRPr="001B4B0D">
        <w:rPr>
          <w:rFonts w:ascii="Book Antiqua" w:hAnsi="Book Antiqua" w:cs="Arial"/>
        </w:rPr>
        <w:t xml:space="preserve"> that there was an error of law in this matter</w:t>
      </w:r>
      <w:r w:rsidR="006220D4">
        <w:rPr>
          <w:rFonts w:ascii="Book Antiqua" w:hAnsi="Book Antiqua" w:cs="Arial"/>
        </w:rPr>
        <w:t>,</w:t>
      </w:r>
      <w:r w:rsidRPr="001B4B0D">
        <w:rPr>
          <w:rFonts w:ascii="Book Antiqua" w:hAnsi="Book Antiqua" w:cs="Arial"/>
        </w:rPr>
        <w:t xml:space="preserve"> </w:t>
      </w:r>
      <w:r w:rsidR="00A87708" w:rsidRPr="001B4B0D">
        <w:rPr>
          <w:rFonts w:ascii="Book Antiqua" w:hAnsi="Book Antiqua" w:cs="Arial"/>
        </w:rPr>
        <w:t>through</w:t>
      </w:r>
      <w:r w:rsidRPr="001B4B0D">
        <w:rPr>
          <w:rFonts w:ascii="Book Antiqua" w:hAnsi="Book Antiqua" w:cs="Arial"/>
        </w:rPr>
        <w:t xml:space="preserve"> no fault of the judge</w:t>
      </w:r>
      <w:r w:rsidR="006220D4">
        <w:rPr>
          <w:rFonts w:ascii="Book Antiqua" w:hAnsi="Book Antiqua" w:cs="Arial"/>
        </w:rPr>
        <w:t>,</w:t>
      </w:r>
      <w:r w:rsidRPr="001B4B0D">
        <w:rPr>
          <w:rFonts w:ascii="Book Antiqua" w:hAnsi="Book Antiqua" w:cs="Arial"/>
        </w:rPr>
        <w:t xml:space="preserve"> because that case was not available at the </w:t>
      </w:r>
      <w:r w:rsidR="00A87708" w:rsidRPr="001B4B0D">
        <w:rPr>
          <w:rFonts w:ascii="Book Antiqua" w:hAnsi="Book Antiqua" w:cs="Arial"/>
        </w:rPr>
        <w:t>material</w:t>
      </w:r>
      <w:r w:rsidRPr="001B4B0D">
        <w:rPr>
          <w:rFonts w:ascii="Book Antiqua" w:hAnsi="Book Antiqua" w:cs="Arial"/>
        </w:rPr>
        <w:t xml:space="preserve"> time.  The issue for me then is </w:t>
      </w:r>
      <w:r w:rsidR="00A87708" w:rsidRPr="001B4B0D">
        <w:rPr>
          <w:rFonts w:ascii="Book Antiqua" w:hAnsi="Book Antiqua" w:cs="Arial"/>
        </w:rPr>
        <w:t>whether</w:t>
      </w:r>
      <w:r w:rsidRPr="001B4B0D">
        <w:rPr>
          <w:rFonts w:ascii="Book Antiqua" w:hAnsi="Book Antiqua" w:cs="Arial"/>
        </w:rPr>
        <w:t xml:space="preserve"> to remake </w:t>
      </w:r>
      <w:r w:rsidR="001B4B0D" w:rsidRPr="001B4B0D">
        <w:rPr>
          <w:rFonts w:ascii="Book Antiqua" w:hAnsi="Book Antiqua" w:cs="Arial"/>
        </w:rPr>
        <w:t>the decision or remit.</w:t>
      </w:r>
    </w:p>
    <w:p w14:paraId="4D187FC7" w14:textId="77777777" w:rsidR="001B4B0D" w:rsidRDefault="001B4B0D" w:rsidP="006F4436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It was established before me that the relevant period for the retained right which would have given rise to the Appellant’s entitlement to a residence card was 6</w:t>
      </w:r>
      <w:r w:rsidRPr="001B4B0D">
        <w:rPr>
          <w:rFonts w:ascii="Book Antiqua" w:hAnsi="Book Antiqua" w:cs="Arial"/>
          <w:vertAlign w:val="superscript"/>
        </w:rPr>
        <w:t>th</w:t>
      </w:r>
      <w:r>
        <w:rPr>
          <w:rFonts w:ascii="Book Antiqua" w:hAnsi="Book Antiqua" w:cs="Arial"/>
        </w:rPr>
        <w:t xml:space="preserve"> May 2012 to 5</w:t>
      </w:r>
      <w:r w:rsidRPr="001B4B0D">
        <w:rPr>
          <w:rFonts w:ascii="Book Antiqua" w:hAnsi="Book Antiqua" w:cs="Arial"/>
          <w:vertAlign w:val="superscript"/>
        </w:rPr>
        <w:t>th</w:t>
      </w:r>
      <w:r>
        <w:rPr>
          <w:rFonts w:ascii="Book Antiqua" w:hAnsi="Book Antiqua" w:cs="Arial"/>
        </w:rPr>
        <w:t xml:space="preserve"> May 2015, and as far as permanent residence was concerned Mr Malik invited me to find that there was sufficient evidence relating to the period 28</w:t>
      </w:r>
      <w:r w:rsidRPr="001B4B0D">
        <w:rPr>
          <w:rFonts w:ascii="Book Antiqua" w:hAnsi="Book Antiqua" w:cs="Arial"/>
          <w:vertAlign w:val="superscript"/>
        </w:rPr>
        <w:t>th</w:t>
      </w:r>
      <w:r>
        <w:rPr>
          <w:rFonts w:ascii="Book Antiqua" w:hAnsi="Book Antiqua" w:cs="Arial"/>
        </w:rPr>
        <w:t xml:space="preserve"> March 2013 to 28</w:t>
      </w:r>
      <w:r w:rsidRPr="001B4B0D">
        <w:rPr>
          <w:rFonts w:ascii="Book Antiqua" w:hAnsi="Book Antiqua" w:cs="Arial"/>
          <w:vertAlign w:val="superscript"/>
        </w:rPr>
        <w:t>th</w:t>
      </w:r>
      <w:r>
        <w:rPr>
          <w:rFonts w:ascii="Book Antiqua" w:hAnsi="Book Antiqua" w:cs="Arial"/>
        </w:rPr>
        <w:t xml:space="preserve"> March 2018 to entitle the Appellant to a permanent right of residence.  </w:t>
      </w:r>
    </w:p>
    <w:p w14:paraId="1B4F70B5" w14:textId="77777777" w:rsidR="006220D4" w:rsidRDefault="001B4B0D" w:rsidP="006F4436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Being generous to Mr Malik, he has been disadvantaged in his ability to </w:t>
      </w:r>
      <w:r w:rsidR="00A87708">
        <w:rPr>
          <w:rFonts w:ascii="Book Antiqua" w:hAnsi="Book Antiqua" w:cs="Arial"/>
        </w:rPr>
        <w:t>prepare</w:t>
      </w:r>
      <w:r>
        <w:rPr>
          <w:rFonts w:ascii="Book Antiqua" w:hAnsi="Book Antiqua" w:cs="Arial"/>
        </w:rPr>
        <w:t xml:space="preserve"> the matter before me, certain it is that it would be </w:t>
      </w:r>
      <w:r w:rsidR="00A87708">
        <w:rPr>
          <w:rFonts w:ascii="Book Antiqua" w:hAnsi="Book Antiqua" w:cs="Arial"/>
        </w:rPr>
        <w:t>unfair</w:t>
      </w:r>
      <w:r>
        <w:rPr>
          <w:rFonts w:ascii="Book Antiqua" w:hAnsi="Book Antiqua" w:cs="Arial"/>
        </w:rPr>
        <w:t xml:space="preserve"> to the Appellant for me to deal with the matter.  The question then is whether the matter should stay in the Upper Tribunal to be heard on another </w:t>
      </w:r>
      <w:r w:rsidR="00A87708">
        <w:rPr>
          <w:rFonts w:ascii="Book Antiqua" w:hAnsi="Book Antiqua" w:cs="Arial"/>
        </w:rPr>
        <w:t>day</w:t>
      </w:r>
      <w:r>
        <w:rPr>
          <w:rFonts w:ascii="Book Antiqua" w:hAnsi="Book Antiqua" w:cs="Arial"/>
        </w:rPr>
        <w:t xml:space="preserve"> when Mr Malik would be in a better place to present </w:t>
      </w:r>
      <w:r w:rsidR="006875CF">
        <w:rPr>
          <w:rFonts w:ascii="Book Antiqua" w:hAnsi="Book Antiqua" w:cs="Arial"/>
        </w:rPr>
        <w:t>h</w:t>
      </w:r>
      <w:r>
        <w:rPr>
          <w:rFonts w:ascii="Book Antiqua" w:hAnsi="Book Antiqua" w:cs="Arial"/>
        </w:rPr>
        <w:t xml:space="preserve">is client’s case or have the matter remitted to the First-tier Tribunal.  </w:t>
      </w:r>
    </w:p>
    <w:p w14:paraId="3FEAC6AA" w14:textId="1D051540" w:rsidR="001B4B0D" w:rsidRDefault="001B4B0D" w:rsidP="006F4436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Miss Kiss tells me that there are a number of issues still live in this case.  She put the Appellant on notice as </w:t>
      </w:r>
      <w:r w:rsidR="006220D4">
        <w:rPr>
          <w:rFonts w:ascii="Book Antiqua" w:hAnsi="Book Antiqua" w:cs="Arial"/>
        </w:rPr>
        <w:t>a</w:t>
      </w:r>
      <w:r>
        <w:rPr>
          <w:rFonts w:ascii="Book Antiqua" w:hAnsi="Book Antiqua" w:cs="Arial"/>
        </w:rPr>
        <w:t xml:space="preserve"> matter going </w:t>
      </w:r>
      <w:r w:rsidR="00A87708">
        <w:rPr>
          <w:rFonts w:ascii="Book Antiqua" w:hAnsi="Book Antiqua" w:cs="Arial"/>
        </w:rPr>
        <w:t>to</w:t>
      </w:r>
      <w:r>
        <w:rPr>
          <w:rFonts w:ascii="Book Antiqua" w:hAnsi="Book Antiqua" w:cs="Arial"/>
        </w:rPr>
        <w:t xml:space="preserve"> the </w:t>
      </w:r>
      <w:r w:rsidR="006220D4">
        <w:rPr>
          <w:rFonts w:ascii="Book Antiqua" w:hAnsi="Book Antiqua" w:cs="Arial"/>
        </w:rPr>
        <w:t>credibility in this appeal</w:t>
      </w:r>
      <w:r>
        <w:rPr>
          <w:rFonts w:ascii="Book Antiqua" w:hAnsi="Book Antiqua" w:cs="Arial"/>
        </w:rPr>
        <w:t xml:space="preserve"> that the Appellant and the Sponsor still appear to be living at the same address</w:t>
      </w:r>
      <w:r w:rsidR="006875CF">
        <w:rPr>
          <w:rFonts w:ascii="Book Antiqua" w:hAnsi="Book Antiqua" w:cs="Arial"/>
        </w:rPr>
        <w:t>.  W</w:t>
      </w:r>
      <w:r>
        <w:rPr>
          <w:rFonts w:ascii="Book Antiqua" w:hAnsi="Book Antiqua" w:cs="Arial"/>
        </w:rPr>
        <w:t xml:space="preserve">hether that is in fact </w:t>
      </w:r>
      <w:r w:rsidR="00A87708">
        <w:rPr>
          <w:rFonts w:ascii="Book Antiqua" w:hAnsi="Book Antiqua" w:cs="Arial"/>
        </w:rPr>
        <w:t>material</w:t>
      </w:r>
      <w:r>
        <w:rPr>
          <w:rFonts w:ascii="Book Antiqua" w:hAnsi="Book Antiqua" w:cs="Arial"/>
        </w:rPr>
        <w:t xml:space="preserve"> will be a matter for the judge hearing the matter which I have decided would better be remitted to the First-tier Tribunal to be heard afresh and on the proper basis given the guidance in the case of </w:t>
      </w:r>
      <w:r w:rsidRPr="001B4B0D">
        <w:rPr>
          <w:rFonts w:ascii="Book Antiqua" w:hAnsi="Book Antiqua" w:cs="Arial"/>
          <w:b/>
          <w:bCs/>
          <w:u w:val="single"/>
        </w:rPr>
        <w:t>Baigazieva</w:t>
      </w:r>
      <w:r>
        <w:rPr>
          <w:rFonts w:ascii="Book Antiqua" w:hAnsi="Book Antiqua" w:cs="Arial"/>
        </w:rPr>
        <w:t>.</w:t>
      </w:r>
    </w:p>
    <w:p w14:paraId="2CD44BA4" w14:textId="77777777" w:rsidR="001B4B0D" w:rsidRPr="001B4B0D" w:rsidRDefault="001B4B0D" w:rsidP="001B4B0D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1B4B0D">
        <w:rPr>
          <w:rFonts w:ascii="Book Antiqua" w:hAnsi="Book Antiqua" w:cs="Arial"/>
          <w:b/>
          <w:u w:val="single"/>
        </w:rPr>
        <w:t xml:space="preserve">Notice of Decision </w:t>
      </w:r>
    </w:p>
    <w:p w14:paraId="67668AEC" w14:textId="77777777" w:rsidR="001B4B0D" w:rsidRDefault="001B4B0D" w:rsidP="006F4436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There is a material error of law in the decision of the First-tier Tribunal.  The decision of the First-tier Tribunal is set aside.  The matter is remitted to the First-tier Tribunal to be heard afresh with no preserved findings.  </w:t>
      </w:r>
    </w:p>
    <w:p w14:paraId="63EC705A" w14:textId="77777777" w:rsidR="00864126" w:rsidRPr="001B4B0D" w:rsidRDefault="001B4B0D" w:rsidP="0056685B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 w:rsidRPr="001B4B0D">
        <w:rPr>
          <w:rFonts w:ascii="Book Antiqua" w:hAnsi="Book Antiqua" w:cs="Arial"/>
        </w:rPr>
        <w:t xml:space="preserve">No </w:t>
      </w:r>
      <w:r w:rsidR="00864126" w:rsidRPr="001B4B0D">
        <w:rPr>
          <w:rFonts w:ascii="Book Antiqua" w:hAnsi="Book Antiqua" w:cs="Arial"/>
        </w:rPr>
        <w:t>anonymity direction is made.</w:t>
      </w:r>
    </w:p>
    <w:p w14:paraId="009F06C3" w14:textId="77777777" w:rsidR="000369F5" w:rsidRDefault="000369F5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230E19B8" w14:textId="77777777" w:rsidR="00864126" w:rsidRDefault="00864126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6EFD7B50" w14:textId="63FC9036" w:rsidR="00864126" w:rsidRPr="006220D4" w:rsidRDefault="00864126" w:rsidP="00864126">
      <w:pPr>
        <w:tabs>
          <w:tab w:val="left" w:pos="2520"/>
        </w:tabs>
        <w:jc w:val="both"/>
        <w:rPr>
          <w:rFonts w:ascii="Book Antiqua" w:hAnsi="Book Antiqua" w:cs="Arial"/>
          <w:b/>
        </w:rPr>
      </w:pPr>
      <w:r w:rsidRPr="006220D4">
        <w:rPr>
          <w:rFonts w:ascii="Book Antiqua" w:hAnsi="Book Antiqua" w:cs="Arial"/>
          <w:b/>
        </w:rPr>
        <w:t>Signed</w:t>
      </w:r>
      <w:r w:rsidRPr="006220D4">
        <w:rPr>
          <w:rFonts w:ascii="Book Antiqua" w:hAnsi="Book Antiqua" w:cs="Arial"/>
          <w:b/>
        </w:rPr>
        <w:tab/>
      </w:r>
      <w:r w:rsidRPr="006220D4">
        <w:rPr>
          <w:rFonts w:ascii="Book Antiqua" w:hAnsi="Book Antiqua" w:cs="Arial"/>
          <w:b/>
        </w:rPr>
        <w:tab/>
      </w:r>
      <w:r w:rsidRPr="006220D4">
        <w:rPr>
          <w:rFonts w:ascii="Book Antiqua" w:hAnsi="Book Antiqua" w:cs="Arial"/>
          <w:b/>
        </w:rPr>
        <w:tab/>
      </w:r>
      <w:r w:rsidRPr="006220D4">
        <w:rPr>
          <w:rFonts w:ascii="Book Antiqua" w:hAnsi="Book Antiqua" w:cs="Arial"/>
          <w:b/>
        </w:rPr>
        <w:tab/>
      </w:r>
      <w:r w:rsidRPr="006220D4">
        <w:rPr>
          <w:rFonts w:ascii="Book Antiqua" w:hAnsi="Book Antiqua" w:cs="Arial"/>
          <w:b/>
        </w:rPr>
        <w:tab/>
      </w:r>
      <w:r w:rsidRPr="006220D4">
        <w:rPr>
          <w:rFonts w:ascii="Book Antiqua" w:hAnsi="Book Antiqua" w:cs="Arial"/>
          <w:b/>
        </w:rPr>
        <w:tab/>
      </w:r>
      <w:r w:rsidRPr="006220D4">
        <w:rPr>
          <w:rFonts w:ascii="Book Antiqua" w:hAnsi="Book Antiqua" w:cs="Arial"/>
          <w:b/>
        </w:rPr>
        <w:tab/>
        <w:t>Date</w:t>
      </w:r>
      <w:r w:rsidR="006220D4" w:rsidRPr="006220D4">
        <w:rPr>
          <w:rFonts w:ascii="Book Antiqua" w:hAnsi="Book Antiqua" w:cs="Arial"/>
          <w:b/>
        </w:rPr>
        <w:t>: 11 September 2018</w:t>
      </w:r>
    </w:p>
    <w:p w14:paraId="0D70933E" w14:textId="77777777" w:rsidR="00864126" w:rsidRPr="006220D4" w:rsidRDefault="00864126" w:rsidP="00864126">
      <w:pPr>
        <w:tabs>
          <w:tab w:val="left" w:pos="2520"/>
        </w:tabs>
        <w:jc w:val="both"/>
        <w:rPr>
          <w:rFonts w:ascii="Book Antiqua" w:hAnsi="Book Antiqua" w:cs="Arial"/>
          <w:b/>
        </w:rPr>
      </w:pPr>
    </w:p>
    <w:p w14:paraId="32CD69A5" w14:textId="21D26ED4" w:rsidR="00864126" w:rsidRPr="006220D4" w:rsidRDefault="006220D4" w:rsidP="00864126">
      <w:pPr>
        <w:tabs>
          <w:tab w:val="left" w:pos="2520"/>
        </w:tabs>
        <w:jc w:val="both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431C8A0" wp14:editId="0B8530D9">
                <wp:simplePos x="0" y="0"/>
                <wp:positionH relativeFrom="column">
                  <wp:posOffset>194310</wp:posOffset>
                </wp:positionH>
                <wp:positionV relativeFrom="paragraph">
                  <wp:posOffset>-29343</wp:posOffset>
                </wp:positionV>
                <wp:extent cx="1030911" cy="361770"/>
                <wp:effectExtent l="57150" t="38100" r="0" b="5778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30911" cy="36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E6A6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4.6pt;margin-top:-3pt;width:82.55pt;height:2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">
                <v:imagedata r:id="rId9" o:title=""/>
              </v:shape>
            </w:pict>
          </mc:Fallback>
        </mc:AlternateContent>
      </w:r>
    </w:p>
    <w:p w14:paraId="2D1387E3" w14:textId="77777777" w:rsidR="006220D4" w:rsidRPr="006220D4" w:rsidRDefault="006220D4" w:rsidP="000369F5">
      <w:pPr>
        <w:tabs>
          <w:tab w:val="left" w:pos="2520"/>
        </w:tabs>
        <w:jc w:val="both"/>
        <w:rPr>
          <w:rFonts w:ascii="Book Antiqua" w:hAnsi="Book Antiqua" w:cs="Arial"/>
          <w:b/>
        </w:rPr>
      </w:pPr>
    </w:p>
    <w:p w14:paraId="3B2A1367" w14:textId="77777777" w:rsidR="006220D4" w:rsidRPr="006220D4" w:rsidRDefault="006220D4" w:rsidP="000369F5">
      <w:pPr>
        <w:tabs>
          <w:tab w:val="left" w:pos="2520"/>
        </w:tabs>
        <w:jc w:val="both"/>
        <w:rPr>
          <w:rFonts w:ascii="Book Antiqua" w:hAnsi="Book Antiqua" w:cs="Arial"/>
          <w:b/>
        </w:rPr>
      </w:pPr>
    </w:p>
    <w:p w14:paraId="0D5ABAA8" w14:textId="185976AA" w:rsidR="00864126" w:rsidRPr="006220D4" w:rsidRDefault="00864126" w:rsidP="000369F5">
      <w:pPr>
        <w:tabs>
          <w:tab w:val="left" w:pos="2520"/>
        </w:tabs>
        <w:jc w:val="both"/>
        <w:rPr>
          <w:rFonts w:ascii="Book Antiqua" w:hAnsi="Book Antiqua" w:cs="Arial"/>
          <w:b/>
        </w:rPr>
      </w:pPr>
      <w:r w:rsidRPr="006220D4">
        <w:rPr>
          <w:rFonts w:ascii="Book Antiqua" w:hAnsi="Book Antiqua" w:cs="Arial"/>
          <w:b/>
        </w:rPr>
        <w:t>Deputy Upper Tribunal Judge Zucker</w:t>
      </w:r>
    </w:p>
    <w:p w14:paraId="59D80812" w14:textId="77777777" w:rsidR="003F10C2" w:rsidRPr="00F5664C" w:rsidRDefault="003F10C2" w:rsidP="003F10C2">
      <w:pPr>
        <w:jc w:val="center"/>
        <w:rPr>
          <w:rFonts w:ascii="Book Antiqua" w:hAnsi="Book Antiqua" w:cs="Arial"/>
        </w:rPr>
      </w:pPr>
    </w:p>
    <w:sectPr w:rsidR="003F10C2" w:rsidRPr="00F5664C" w:rsidSect="00776E97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C8EC9" w14:textId="77777777" w:rsidR="00C72519" w:rsidRDefault="00C72519">
      <w:r>
        <w:separator/>
      </w:r>
    </w:p>
  </w:endnote>
  <w:endnote w:type="continuationSeparator" w:id="0">
    <w:p w14:paraId="6C352FC6" w14:textId="77777777" w:rsidR="00C72519" w:rsidRDefault="00C72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E5A4F" w14:textId="78A4AAD1" w:rsidR="00CF253F" w:rsidRPr="00F5664C" w:rsidRDefault="00CF253F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F5664C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F5664C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F5664C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7C090E">
      <w:rPr>
        <w:rStyle w:val="PageNumber"/>
        <w:rFonts w:ascii="Book Antiqua" w:hAnsi="Book Antiqua" w:cs="Arial"/>
        <w:noProof/>
        <w:sz w:val="16"/>
        <w:szCs w:val="16"/>
      </w:rPr>
      <w:t>2</w:t>
    </w:r>
    <w:r w:rsidRPr="00F5664C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29B31" w14:textId="77777777" w:rsidR="00CF253F" w:rsidRPr="00F5664C" w:rsidRDefault="00842418" w:rsidP="00842418">
    <w:pPr>
      <w:jc w:val="center"/>
      <w:rPr>
        <w:rFonts w:ascii="Book Antiqua" w:hAnsi="Book Antiqua" w:cs="Arial"/>
        <w:b/>
      </w:rPr>
    </w:pPr>
    <w:r w:rsidRPr="00F5664C">
      <w:rPr>
        <w:rFonts w:ascii="Book Antiqua" w:hAnsi="Book Antiqua" w:cs="Arial"/>
        <w:b/>
        <w:spacing w:val="-6"/>
      </w:rPr>
      <w:t>©</w:t>
    </w:r>
    <w:r w:rsidR="000C3506"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D5B45" w14:textId="77777777" w:rsidR="00C72519" w:rsidRDefault="00C72519">
      <w:r>
        <w:separator/>
      </w:r>
    </w:p>
  </w:footnote>
  <w:footnote w:type="continuationSeparator" w:id="0">
    <w:p w14:paraId="4BF1BF5D" w14:textId="77777777" w:rsidR="00C72519" w:rsidRDefault="00C725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CC6FC" w14:textId="67624B5B" w:rsidR="00CF253F" w:rsidRPr="00F5664C" w:rsidRDefault="00CF253F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  <w:r w:rsidRPr="00F5664C">
      <w:rPr>
        <w:rFonts w:ascii="Book Antiqua" w:hAnsi="Book Antiqua" w:cs="Arial"/>
        <w:sz w:val="16"/>
        <w:szCs w:val="16"/>
      </w:rPr>
      <w:t>Appeal Number:</w:t>
    </w:r>
    <w:r w:rsidR="000369F5" w:rsidRPr="00F5664C">
      <w:rPr>
        <w:rFonts w:ascii="Book Antiqua" w:hAnsi="Book Antiqua" w:cs="Arial"/>
        <w:sz w:val="16"/>
        <w:szCs w:val="16"/>
      </w:rPr>
      <w:t xml:space="preserve"> </w:t>
    </w:r>
    <w:r w:rsidR="00DA48D2" w:rsidRPr="00DA48D2">
      <w:rPr>
        <w:rFonts w:ascii="Book Antiqua" w:hAnsi="Book Antiqua" w:cs="Arial"/>
        <w:sz w:val="16"/>
        <w:szCs w:val="16"/>
      </w:rPr>
      <w:t>EA/05808/2016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19959" w14:textId="09F84A7A" w:rsidR="00F5664C" w:rsidRPr="00F5664C" w:rsidRDefault="00F5664C">
    <w:pPr>
      <w:pStyle w:val="Header"/>
      <w:rPr>
        <w:rFonts w:ascii="Book Antiqua" w:hAnsi="Book Antiqua"/>
      </w:rPr>
    </w:pPr>
    <w:r w:rsidRPr="00F5664C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24B7B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CE155D8"/>
    <w:multiLevelType w:val="multilevel"/>
    <w:tmpl w:val="22E410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14D60EB8"/>
    <w:multiLevelType w:val="multilevel"/>
    <w:tmpl w:val="D4962EC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D433F55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EE61A3F"/>
    <w:multiLevelType w:val="hybridMultilevel"/>
    <w:tmpl w:val="1D9C5F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966E42"/>
    <w:multiLevelType w:val="multilevel"/>
    <w:tmpl w:val="A12C84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29850DE7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CB44CC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6C5DEB"/>
    <w:multiLevelType w:val="multilevel"/>
    <w:tmpl w:val="54804E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53292343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56233834"/>
    <w:multiLevelType w:val="hybridMultilevel"/>
    <w:tmpl w:val="94527C5E"/>
    <w:lvl w:ilvl="0" w:tplc="CBA2A2F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8033103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FB45309"/>
    <w:multiLevelType w:val="multilevel"/>
    <w:tmpl w:val="2D20A6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616C488F"/>
    <w:multiLevelType w:val="hybridMultilevel"/>
    <w:tmpl w:val="52EC9AD4"/>
    <w:lvl w:ilvl="0" w:tplc="DB246E3C">
      <w:start w:val="2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2424B68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6B572AEE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73956A2C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788C63B3"/>
    <w:multiLevelType w:val="multilevel"/>
    <w:tmpl w:val="E1422E2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7A5720C0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DF20E2A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10"/>
  </w:num>
  <w:num w:numId="5">
    <w:abstractNumId w:val="19"/>
  </w:num>
  <w:num w:numId="6">
    <w:abstractNumId w:val="11"/>
  </w:num>
  <w:num w:numId="7">
    <w:abstractNumId w:val="18"/>
  </w:num>
  <w:num w:numId="8">
    <w:abstractNumId w:val="7"/>
  </w:num>
  <w:num w:numId="9">
    <w:abstractNumId w:val="6"/>
  </w:num>
  <w:num w:numId="10">
    <w:abstractNumId w:val="16"/>
  </w:num>
  <w:num w:numId="11">
    <w:abstractNumId w:val="15"/>
  </w:num>
  <w:num w:numId="12">
    <w:abstractNumId w:val="1"/>
  </w:num>
  <w:num w:numId="13">
    <w:abstractNumId w:val="14"/>
  </w:num>
  <w:num w:numId="14">
    <w:abstractNumId w:val="0"/>
  </w:num>
  <w:num w:numId="15">
    <w:abstractNumId w:val="3"/>
  </w:num>
  <w:num w:numId="16">
    <w:abstractNumId w:val="5"/>
  </w:num>
  <w:num w:numId="17">
    <w:abstractNumId w:val="12"/>
  </w:num>
  <w:num w:numId="18">
    <w:abstractNumId w:val="8"/>
  </w:num>
  <w:num w:numId="19">
    <w:abstractNumId w:val="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519"/>
    <w:rsid w:val="00000621"/>
    <w:rsid w:val="000036C2"/>
    <w:rsid w:val="0000577C"/>
    <w:rsid w:val="00033D3D"/>
    <w:rsid w:val="000369F5"/>
    <w:rsid w:val="00071A7E"/>
    <w:rsid w:val="000746C0"/>
    <w:rsid w:val="00074D1D"/>
    <w:rsid w:val="00087037"/>
    <w:rsid w:val="00092580"/>
    <w:rsid w:val="000A32A2"/>
    <w:rsid w:val="000C3506"/>
    <w:rsid w:val="000D5D94"/>
    <w:rsid w:val="00100545"/>
    <w:rsid w:val="001165A7"/>
    <w:rsid w:val="00150E9A"/>
    <w:rsid w:val="00151BB7"/>
    <w:rsid w:val="00167D3A"/>
    <w:rsid w:val="001A1E2C"/>
    <w:rsid w:val="001B4B0D"/>
    <w:rsid w:val="001E12F7"/>
    <w:rsid w:val="001F2716"/>
    <w:rsid w:val="0020133A"/>
    <w:rsid w:val="00207617"/>
    <w:rsid w:val="00283659"/>
    <w:rsid w:val="00284E94"/>
    <w:rsid w:val="00291D5E"/>
    <w:rsid w:val="002C4E73"/>
    <w:rsid w:val="002D68BF"/>
    <w:rsid w:val="00305FBC"/>
    <w:rsid w:val="00326553"/>
    <w:rsid w:val="00334945"/>
    <w:rsid w:val="00336CBF"/>
    <w:rsid w:val="003546C8"/>
    <w:rsid w:val="00392D87"/>
    <w:rsid w:val="003A7CF2"/>
    <w:rsid w:val="003C0DF3"/>
    <w:rsid w:val="003C5CE5"/>
    <w:rsid w:val="003E267B"/>
    <w:rsid w:val="003E7CD1"/>
    <w:rsid w:val="003F10C2"/>
    <w:rsid w:val="00402B9E"/>
    <w:rsid w:val="00423932"/>
    <w:rsid w:val="004249CB"/>
    <w:rsid w:val="0044127D"/>
    <w:rsid w:val="004448DB"/>
    <w:rsid w:val="00446C9A"/>
    <w:rsid w:val="00456521"/>
    <w:rsid w:val="00477193"/>
    <w:rsid w:val="004852B5"/>
    <w:rsid w:val="004A1848"/>
    <w:rsid w:val="00507FEC"/>
    <w:rsid w:val="00510F0E"/>
    <w:rsid w:val="00516E48"/>
    <w:rsid w:val="005354D1"/>
    <w:rsid w:val="00541D19"/>
    <w:rsid w:val="005479E1"/>
    <w:rsid w:val="005570FD"/>
    <w:rsid w:val="005575EA"/>
    <w:rsid w:val="00564626"/>
    <w:rsid w:val="0057790C"/>
    <w:rsid w:val="00593795"/>
    <w:rsid w:val="005A75FF"/>
    <w:rsid w:val="005B4942"/>
    <w:rsid w:val="005B7789"/>
    <w:rsid w:val="006220D4"/>
    <w:rsid w:val="00622725"/>
    <w:rsid w:val="00635F8C"/>
    <w:rsid w:val="00640E14"/>
    <w:rsid w:val="0065791C"/>
    <w:rsid w:val="00677176"/>
    <w:rsid w:val="00687480"/>
    <w:rsid w:val="006875CF"/>
    <w:rsid w:val="00690B8A"/>
    <w:rsid w:val="006D1DFA"/>
    <w:rsid w:val="006D506B"/>
    <w:rsid w:val="006D5949"/>
    <w:rsid w:val="006E3C90"/>
    <w:rsid w:val="006F08DA"/>
    <w:rsid w:val="00704B61"/>
    <w:rsid w:val="00742A8D"/>
    <w:rsid w:val="0075191E"/>
    <w:rsid w:val="007552A9"/>
    <w:rsid w:val="00761858"/>
    <w:rsid w:val="00767D59"/>
    <w:rsid w:val="00776E97"/>
    <w:rsid w:val="00780FD7"/>
    <w:rsid w:val="0078597D"/>
    <w:rsid w:val="007912AD"/>
    <w:rsid w:val="007A1F28"/>
    <w:rsid w:val="007B0824"/>
    <w:rsid w:val="007C090E"/>
    <w:rsid w:val="008303B8"/>
    <w:rsid w:val="00833DCE"/>
    <w:rsid w:val="00841581"/>
    <w:rsid w:val="00842418"/>
    <w:rsid w:val="00864126"/>
    <w:rsid w:val="00871D34"/>
    <w:rsid w:val="008B270C"/>
    <w:rsid w:val="008C3D3D"/>
    <w:rsid w:val="008D4131"/>
    <w:rsid w:val="008F1932"/>
    <w:rsid w:val="008F294D"/>
    <w:rsid w:val="00911478"/>
    <w:rsid w:val="00921062"/>
    <w:rsid w:val="0093083E"/>
    <w:rsid w:val="009451FF"/>
    <w:rsid w:val="009553DD"/>
    <w:rsid w:val="00955B0E"/>
    <w:rsid w:val="00966ECF"/>
    <w:rsid w:val="009727A3"/>
    <w:rsid w:val="00987774"/>
    <w:rsid w:val="009A11E8"/>
    <w:rsid w:val="009A43A1"/>
    <w:rsid w:val="009C3902"/>
    <w:rsid w:val="009E4E62"/>
    <w:rsid w:val="009F5220"/>
    <w:rsid w:val="009F7C4D"/>
    <w:rsid w:val="00A15234"/>
    <w:rsid w:val="00A201AB"/>
    <w:rsid w:val="00A31C8B"/>
    <w:rsid w:val="00A54733"/>
    <w:rsid w:val="00A845DC"/>
    <w:rsid w:val="00A87708"/>
    <w:rsid w:val="00A97AEE"/>
    <w:rsid w:val="00AC5CF6"/>
    <w:rsid w:val="00AC7862"/>
    <w:rsid w:val="00AF15F6"/>
    <w:rsid w:val="00B144FA"/>
    <w:rsid w:val="00B16F58"/>
    <w:rsid w:val="00B30648"/>
    <w:rsid w:val="00B322F4"/>
    <w:rsid w:val="00B3524D"/>
    <w:rsid w:val="00B40F69"/>
    <w:rsid w:val="00B46616"/>
    <w:rsid w:val="00B57A65"/>
    <w:rsid w:val="00B610E3"/>
    <w:rsid w:val="00B61205"/>
    <w:rsid w:val="00B617C4"/>
    <w:rsid w:val="00B626FA"/>
    <w:rsid w:val="00B66D87"/>
    <w:rsid w:val="00B7040A"/>
    <w:rsid w:val="00B96FA0"/>
    <w:rsid w:val="00BB2AA8"/>
    <w:rsid w:val="00BB787E"/>
    <w:rsid w:val="00BD4196"/>
    <w:rsid w:val="00BE4FE1"/>
    <w:rsid w:val="00BF22CA"/>
    <w:rsid w:val="00C26032"/>
    <w:rsid w:val="00C265B0"/>
    <w:rsid w:val="00C321B5"/>
    <w:rsid w:val="00C345E1"/>
    <w:rsid w:val="00C72519"/>
    <w:rsid w:val="00C9551E"/>
    <w:rsid w:val="00C977BA"/>
    <w:rsid w:val="00CB6E35"/>
    <w:rsid w:val="00CE1A46"/>
    <w:rsid w:val="00CF253F"/>
    <w:rsid w:val="00CF56B4"/>
    <w:rsid w:val="00D20F09"/>
    <w:rsid w:val="00D22636"/>
    <w:rsid w:val="00D40FD9"/>
    <w:rsid w:val="00D42256"/>
    <w:rsid w:val="00D53769"/>
    <w:rsid w:val="00D67604"/>
    <w:rsid w:val="00D74CFD"/>
    <w:rsid w:val="00D85C13"/>
    <w:rsid w:val="00D91BE3"/>
    <w:rsid w:val="00D94AFC"/>
    <w:rsid w:val="00DA48D2"/>
    <w:rsid w:val="00DB70AE"/>
    <w:rsid w:val="00DB7231"/>
    <w:rsid w:val="00DD07FC"/>
    <w:rsid w:val="00DD5071"/>
    <w:rsid w:val="00DD5C39"/>
    <w:rsid w:val="00DE26AF"/>
    <w:rsid w:val="00DE7DB7"/>
    <w:rsid w:val="00E00A0A"/>
    <w:rsid w:val="00E07F57"/>
    <w:rsid w:val="00E4586A"/>
    <w:rsid w:val="00E50BCE"/>
    <w:rsid w:val="00E61292"/>
    <w:rsid w:val="00E76309"/>
    <w:rsid w:val="00E77C4D"/>
    <w:rsid w:val="00E81D01"/>
    <w:rsid w:val="00E876CE"/>
    <w:rsid w:val="00E90C08"/>
    <w:rsid w:val="00EA4F85"/>
    <w:rsid w:val="00EE45D8"/>
    <w:rsid w:val="00F004CD"/>
    <w:rsid w:val="00F22EDA"/>
    <w:rsid w:val="00F26555"/>
    <w:rsid w:val="00F3224D"/>
    <w:rsid w:val="00F33E0E"/>
    <w:rsid w:val="00F3723B"/>
    <w:rsid w:val="00F5664C"/>
    <w:rsid w:val="00F64613"/>
    <w:rsid w:val="00F72B81"/>
    <w:rsid w:val="00FB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FFFF7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84E9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35F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06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5B778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635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1T13:56:02.5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562 248 9225,'0'0'4004,"0"0"-481,0 0-672,0 0-481,0 0-801,-31 30-1505,16-15-192,0 15 64,0 1-32,-16 14 32,1-30-64,15 46 0,-31-46 0,16 46-33,-31-46 129,16 46-160,-1-46 96,1 0 0,15 30 64,-16-45 64,16 0 32,30 0 0,-31 0 32,31 0 64,0-30-63,31 0 127,-31 15-128,30-16 64,16 1-64,-31 15 32,15-16-96,0 16 96,1 0-128,-16 15-64,15 0-64,-30 15-64,-30 31 64,30-31-64,-15 15 64,-16 1-97,31-16 97,-30 15 0,15 0 96,15-30 0,0 0-32,0 16 64,15-16 64,15-16-32,1 16 0,14-30 64,-14 0 0,14-16 32,1 16-31,-1-16 31,16 1-32,-46-16 96,15 16-32,1-1-96,-31 16 32,0-15-32,-31 14-32,1 16 0,15-15-64,-16 30-32,1 0 0,15 0 32,-15 0-32,14 0 64,1 30 0,0-15 32,15 16 0,-30 14 32,15-15-32,15 1 32,0-16-64,15 15 64,15-30-64,-15 0 0,16 0 0,14-30 0,16 15 0,-16-16-32,16 1 64,-16 0-64,31 15 64,-45-16-96,14 16 32,-30 0-32,0 15 0,-15 15-32,0 0 0,0 16 32,-15-1-32,0 15 64,15-29 32,0-1 32,0 0 0,0 15 32,15-30 32,16 0 32,-1-30-32,0 15 0,16 0-32,-1-1-32,1 16 32,-16-30-96,0 30 0,-15 30 0,-15-14-32,-15 14 0,-15 0-96,0 16-32,-16 14 64,1-14 0,-16-1 32,0 1-65,31 14 65,-31-44-32,1 44 160,29-45 0,1 16 0,-15 14 64,45-14-32,-31-1-160,16-15-2050,15 15-993,0-30-1057,0 31-160,15-31-96,16-31 160</inkml:trace>
  <inkml:trace contextRef="#ctx0" brushRef="#br0" timeOffset="831.1567">1468 258 12876,'30'-30'4677,"-14"-1"-321,44-14-1666,-29 14-1665,14 1-993,1 15 0,-1-31 32,16 16-96,-46 30 0,15 0-64,1 0 0,-16 15 0,-15 16 0,0 14-32,-15 16-32,-16-16 32,1 1 63,-16 14-31,1 16 64,-1-30-96,16-1-32,-31 16 32,1-46 0,29 15 64,-14 1 0,15-31 64,30 15-96,0-15 128,0-15 96,0 15-64,15-31 128,0 1-96,30 15 0,-14-31 32,14 16 65,1 30-97,-1-30-64,-14 15-64,-1 15 32,-15 15-32,-15 15-32,-15-30-65,15 30-31,-30 16 32,14-31 0,-14 15 64,0 1-32,15-16 64,15 0 0,0 0 64,0-15-32,15 0 64,15 0-32,0-15 32,16 0-32,-31 15-32,15-15 0,16 15 0,-16 0 0,1 0 32,-1 0-32,15 0 64,-45-31-32,31 31 32,14 0-32,-30 0 0,0 31 0,31-31 0,-31 0 0,0 0-32,31 0 0,-16 0 0,16 0 32,-16 0 64,15 0 161,31 0-97,-45-31 32,29 16-128,1-15-2658,15 30-1250,-31-31-608,16 16-129,0 0-255,-1 0-1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580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2018-10-01T13:41:00Z</dcterms:created>
  <dcterms:modified xsi:type="dcterms:W3CDTF">2018-10-01T13:41:00Z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