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916" w:rsidRDefault="00F50916" w:rsidP="0050388A">
      <w:pPr>
        <w:jc w:val="center"/>
        <w:rPr>
          <w:rFonts w:ascii="Book Antiqua" w:hAnsi="Book Antiqua" w:cs="Arial"/>
          <w:caps/>
          <w:color w:val="000000"/>
          <w:sz w:val="16"/>
          <w:szCs w:val="16"/>
        </w:rPr>
      </w:pPr>
    </w:p>
    <w:p w:rsidR="003257CA" w:rsidRPr="00AE6DDE" w:rsidRDefault="00A53185" w:rsidP="0050388A">
      <w:pPr>
        <w:jc w:val="center"/>
        <w:rPr>
          <w:rFonts w:ascii="Book Antiqua" w:hAnsi="Book Antiqua" w:cs="Arial"/>
          <w:caps/>
          <w:color w:val="000000"/>
          <w:sz w:val="16"/>
          <w:szCs w:val="16"/>
        </w:rPr>
      </w:pPr>
      <w:r>
        <w:rPr>
          <w:noProof/>
        </w:rPr>
        <w:drawing>
          <wp:inline distT="0" distB="0" distL="0" distR="0" wp14:anchorId="092DEA82" wp14:editId="43B2AF34">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3257CA" w:rsidRPr="002630D9" w:rsidRDefault="003257CA" w:rsidP="002630D9">
      <w:pPr>
        <w:tabs>
          <w:tab w:val="right" w:pos="9720"/>
        </w:tabs>
        <w:spacing w:line="360" w:lineRule="auto"/>
        <w:ind w:right="-82"/>
        <w:rPr>
          <w:rFonts w:cs="Arial"/>
          <w:b/>
          <w:color w:val="000000"/>
        </w:rPr>
      </w:pPr>
      <w:r w:rsidRPr="002630D9">
        <w:rPr>
          <w:rFonts w:cs="Arial"/>
          <w:b/>
          <w:color w:val="000000"/>
        </w:rPr>
        <w:t xml:space="preserve">Upper Tribunal </w:t>
      </w:r>
    </w:p>
    <w:p w:rsidR="003257CA" w:rsidRDefault="003257CA" w:rsidP="002630D9">
      <w:pPr>
        <w:tabs>
          <w:tab w:val="right" w:pos="9720"/>
        </w:tabs>
        <w:spacing w:line="360" w:lineRule="auto"/>
        <w:ind w:right="-82"/>
        <w:rPr>
          <w:rFonts w:cs="Arial"/>
          <w:b/>
          <w:color w:val="000000"/>
        </w:rPr>
      </w:pPr>
      <w:r w:rsidRPr="002630D9">
        <w:rPr>
          <w:rFonts w:cs="Arial"/>
          <w:b/>
          <w:color w:val="000000"/>
        </w:rPr>
        <w:t>(</w:t>
      </w:r>
      <w:r w:rsidR="00F50916">
        <w:rPr>
          <w:rFonts w:cs="Arial"/>
          <w:b/>
          <w:color w:val="000000"/>
        </w:rPr>
        <w:t xml:space="preserve">Immigration and Asylum </w:t>
      </w:r>
      <w:proofErr w:type="gramStart"/>
      <w:r w:rsidR="00F50916">
        <w:rPr>
          <w:rFonts w:cs="Arial"/>
          <w:b/>
          <w:color w:val="000000"/>
        </w:rPr>
        <w:t xml:space="preserve">Chamber)   </w:t>
      </w:r>
      <w:proofErr w:type="gramEnd"/>
      <w:r w:rsidR="00F50916">
        <w:rPr>
          <w:rFonts w:cs="Arial"/>
          <w:b/>
          <w:color w:val="000000"/>
        </w:rPr>
        <w:t xml:space="preserve">                      </w:t>
      </w:r>
      <w:r>
        <w:rPr>
          <w:rFonts w:cs="Arial"/>
          <w:b/>
          <w:color w:val="000000"/>
        </w:rPr>
        <w:t xml:space="preserve">Appeal Number: </w:t>
      </w:r>
      <w:r w:rsidR="001501EB">
        <w:rPr>
          <w:rFonts w:cs="Arial"/>
          <w:b/>
          <w:color w:val="000000"/>
        </w:rPr>
        <w:t>EA</w:t>
      </w:r>
      <w:r w:rsidR="00FA2D5F">
        <w:rPr>
          <w:rFonts w:cs="Arial"/>
          <w:b/>
          <w:color w:val="000000"/>
        </w:rPr>
        <w:t>/</w:t>
      </w:r>
      <w:r w:rsidR="00FF5412">
        <w:rPr>
          <w:rFonts w:cs="Arial"/>
          <w:b/>
          <w:color w:val="000000"/>
        </w:rPr>
        <w:t>05861</w:t>
      </w:r>
      <w:r w:rsidR="00FA2D5F">
        <w:rPr>
          <w:rFonts w:cs="Arial"/>
          <w:b/>
          <w:color w:val="000000"/>
        </w:rPr>
        <w:t>/201</w:t>
      </w:r>
      <w:r w:rsidR="001501EB">
        <w:rPr>
          <w:rFonts w:cs="Arial"/>
          <w:b/>
          <w:color w:val="000000"/>
        </w:rPr>
        <w:t>6</w:t>
      </w:r>
    </w:p>
    <w:p w:rsidR="00CB6CFF" w:rsidRDefault="00CB6CFF" w:rsidP="00F50916">
      <w:pPr>
        <w:tabs>
          <w:tab w:val="right" w:pos="9720"/>
        </w:tabs>
        <w:ind w:right="-79"/>
        <w:rPr>
          <w:rFonts w:cs="Arial"/>
          <w:b/>
          <w:color w:val="000000"/>
        </w:rPr>
      </w:pPr>
      <w:r>
        <w:rPr>
          <w:rFonts w:cs="Arial"/>
          <w:b/>
          <w:color w:val="000000"/>
        </w:rPr>
        <w:t xml:space="preserve">                                                                                                                                                                                                                                                   </w:t>
      </w:r>
    </w:p>
    <w:p w:rsidR="003257CA" w:rsidRPr="00217865" w:rsidRDefault="003257CA" w:rsidP="002630D9">
      <w:pPr>
        <w:spacing w:line="360" w:lineRule="auto"/>
        <w:jc w:val="center"/>
        <w:rPr>
          <w:rFonts w:cs="Arial"/>
          <w:b/>
          <w:color w:val="000000"/>
          <w:u w:val="single"/>
        </w:rPr>
      </w:pPr>
      <w:r w:rsidRPr="00217865">
        <w:rPr>
          <w:rFonts w:cs="Arial"/>
          <w:b/>
          <w:color w:val="000000"/>
          <w:u w:val="single"/>
        </w:rPr>
        <w:t>THE IMMIGRATION ACTS</w:t>
      </w:r>
    </w:p>
    <w:tbl>
      <w:tblPr>
        <w:tblW w:w="0" w:type="auto"/>
        <w:tblLook w:val="01E0" w:firstRow="1" w:lastRow="1" w:firstColumn="1" w:lastColumn="1" w:noHBand="0" w:noVBand="0"/>
      </w:tblPr>
      <w:tblGrid>
        <w:gridCol w:w="5103"/>
        <w:gridCol w:w="4535"/>
      </w:tblGrid>
      <w:tr w:rsidR="003257CA" w:rsidRPr="002630D9" w:rsidTr="00F50916">
        <w:tc>
          <w:tcPr>
            <w:tcW w:w="5103" w:type="dxa"/>
          </w:tcPr>
          <w:p w:rsidR="003257CA" w:rsidRPr="002630D9" w:rsidRDefault="003257CA" w:rsidP="002630D9">
            <w:pPr>
              <w:spacing w:line="360" w:lineRule="auto"/>
              <w:jc w:val="both"/>
              <w:rPr>
                <w:rFonts w:cs="Arial"/>
                <w:b/>
              </w:rPr>
            </w:pPr>
            <w:r w:rsidRPr="002630D9">
              <w:rPr>
                <w:rFonts w:cs="Arial"/>
                <w:b/>
              </w:rPr>
              <w:t xml:space="preserve">Heard at </w:t>
            </w:r>
            <w:r>
              <w:rPr>
                <w:rFonts w:cs="Arial"/>
                <w:b/>
              </w:rPr>
              <w:t>Field House</w:t>
            </w:r>
          </w:p>
        </w:tc>
        <w:tc>
          <w:tcPr>
            <w:tcW w:w="4535" w:type="dxa"/>
          </w:tcPr>
          <w:p w:rsidR="003257CA" w:rsidRPr="002630D9" w:rsidRDefault="00F50916" w:rsidP="002630D9">
            <w:pPr>
              <w:spacing w:line="360" w:lineRule="auto"/>
              <w:jc w:val="both"/>
              <w:rPr>
                <w:rFonts w:cs="Arial"/>
                <w:b/>
                <w:color w:val="000000"/>
              </w:rPr>
            </w:pPr>
            <w:r>
              <w:rPr>
                <w:rFonts w:cs="Arial"/>
                <w:b/>
                <w:color w:val="000000"/>
              </w:rPr>
              <w:t xml:space="preserve"> </w:t>
            </w:r>
            <w:r w:rsidR="003257CA" w:rsidRPr="002630D9">
              <w:rPr>
                <w:rFonts w:cs="Arial"/>
                <w:b/>
                <w:color w:val="000000"/>
              </w:rPr>
              <w:t>Decision &amp; Reasons Promulgated</w:t>
            </w:r>
          </w:p>
        </w:tc>
      </w:tr>
      <w:tr w:rsidR="003257CA" w:rsidRPr="002630D9" w:rsidTr="00F50916">
        <w:tc>
          <w:tcPr>
            <w:tcW w:w="5103" w:type="dxa"/>
          </w:tcPr>
          <w:p w:rsidR="003257CA" w:rsidRPr="002630D9" w:rsidRDefault="003257CA" w:rsidP="002630D9">
            <w:pPr>
              <w:spacing w:line="360" w:lineRule="auto"/>
              <w:jc w:val="both"/>
              <w:rPr>
                <w:rFonts w:cs="Arial"/>
                <w:b/>
              </w:rPr>
            </w:pPr>
            <w:r w:rsidRPr="002630D9">
              <w:rPr>
                <w:rFonts w:cs="Arial"/>
                <w:b/>
              </w:rPr>
              <w:t xml:space="preserve">On </w:t>
            </w:r>
            <w:r w:rsidR="00FA2D5F">
              <w:rPr>
                <w:rFonts w:cs="Arial"/>
                <w:b/>
              </w:rPr>
              <w:t>3 September</w:t>
            </w:r>
            <w:r>
              <w:rPr>
                <w:rFonts w:cs="Arial"/>
                <w:b/>
              </w:rPr>
              <w:t xml:space="preserve"> 2018</w:t>
            </w:r>
          </w:p>
        </w:tc>
        <w:tc>
          <w:tcPr>
            <w:tcW w:w="4535" w:type="dxa"/>
          </w:tcPr>
          <w:p w:rsidR="003257CA" w:rsidRPr="002630D9" w:rsidRDefault="00F50916" w:rsidP="002630D9">
            <w:pPr>
              <w:spacing w:line="360" w:lineRule="auto"/>
              <w:jc w:val="both"/>
              <w:rPr>
                <w:rFonts w:cs="Arial"/>
                <w:b/>
              </w:rPr>
            </w:pPr>
            <w:r>
              <w:rPr>
                <w:rFonts w:cs="Arial"/>
                <w:b/>
              </w:rPr>
              <w:t xml:space="preserve"> </w:t>
            </w:r>
            <w:r w:rsidR="00513E1D">
              <w:rPr>
                <w:rFonts w:cs="Arial"/>
                <w:b/>
              </w:rPr>
              <w:t>On 12 September 2018</w:t>
            </w:r>
          </w:p>
        </w:tc>
      </w:tr>
      <w:tr w:rsidR="003257CA" w:rsidRPr="002630D9" w:rsidTr="00F50916">
        <w:tc>
          <w:tcPr>
            <w:tcW w:w="5103" w:type="dxa"/>
          </w:tcPr>
          <w:p w:rsidR="003257CA" w:rsidRPr="002630D9" w:rsidRDefault="003257CA" w:rsidP="002630D9">
            <w:pPr>
              <w:spacing w:line="360" w:lineRule="auto"/>
              <w:jc w:val="both"/>
              <w:rPr>
                <w:rFonts w:cs="Arial"/>
                <w:b/>
              </w:rPr>
            </w:pPr>
          </w:p>
        </w:tc>
        <w:tc>
          <w:tcPr>
            <w:tcW w:w="4535" w:type="dxa"/>
          </w:tcPr>
          <w:p w:rsidR="003257CA" w:rsidRPr="002630D9" w:rsidRDefault="003257CA" w:rsidP="002630D9">
            <w:pPr>
              <w:spacing w:line="360" w:lineRule="auto"/>
              <w:jc w:val="both"/>
              <w:rPr>
                <w:rFonts w:cs="Arial"/>
                <w:b/>
              </w:rPr>
            </w:pPr>
          </w:p>
        </w:tc>
      </w:tr>
    </w:tbl>
    <w:p w:rsidR="003257CA" w:rsidRDefault="003257CA" w:rsidP="002630D9">
      <w:pPr>
        <w:spacing w:line="360" w:lineRule="auto"/>
        <w:jc w:val="center"/>
        <w:rPr>
          <w:rFonts w:cs="Arial"/>
          <w:b/>
        </w:rPr>
      </w:pPr>
      <w:r w:rsidRPr="002630D9">
        <w:rPr>
          <w:rFonts w:cs="Arial"/>
          <w:b/>
        </w:rPr>
        <w:t>Before</w:t>
      </w:r>
    </w:p>
    <w:p w:rsidR="00F50916" w:rsidRDefault="00F50916" w:rsidP="00F50916">
      <w:pPr>
        <w:jc w:val="center"/>
        <w:rPr>
          <w:rFonts w:cs="Arial"/>
          <w:b/>
        </w:rPr>
      </w:pPr>
    </w:p>
    <w:p w:rsidR="003257CA" w:rsidRPr="002630D9" w:rsidRDefault="003257CA" w:rsidP="002630D9">
      <w:pPr>
        <w:spacing w:line="360" w:lineRule="auto"/>
        <w:jc w:val="center"/>
        <w:rPr>
          <w:rFonts w:cs="Arial"/>
          <w:b/>
          <w:color w:val="000000"/>
        </w:rPr>
      </w:pPr>
      <w:r w:rsidRPr="002630D9">
        <w:rPr>
          <w:rFonts w:cs="Arial"/>
          <w:b/>
          <w:color w:val="000000"/>
        </w:rPr>
        <w:t>UPPER TRIBUNAL JUDGE FINCH</w:t>
      </w:r>
    </w:p>
    <w:p w:rsidR="00F50916" w:rsidRDefault="00F50916" w:rsidP="00F50916">
      <w:pPr>
        <w:jc w:val="center"/>
        <w:rPr>
          <w:rFonts w:cs="Arial"/>
          <w:b/>
        </w:rPr>
      </w:pPr>
    </w:p>
    <w:p w:rsidR="003257CA" w:rsidRDefault="003257CA" w:rsidP="002630D9">
      <w:pPr>
        <w:spacing w:line="360" w:lineRule="auto"/>
        <w:jc w:val="center"/>
        <w:rPr>
          <w:rFonts w:cs="Arial"/>
          <w:b/>
        </w:rPr>
      </w:pPr>
      <w:r w:rsidRPr="002630D9">
        <w:rPr>
          <w:rFonts w:cs="Arial"/>
          <w:b/>
        </w:rPr>
        <w:t>Between</w:t>
      </w:r>
    </w:p>
    <w:p w:rsidR="00EC7B40" w:rsidRDefault="00EC7B40" w:rsidP="00F50916">
      <w:pPr>
        <w:jc w:val="center"/>
        <w:rPr>
          <w:rFonts w:cs="Arial"/>
          <w:b/>
        </w:rPr>
      </w:pPr>
    </w:p>
    <w:p w:rsidR="00EC7B40" w:rsidRDefault="00FF5412" w:rsidP="002630D9">
      <w:pPr>
        <w:spacing w:line="360" w:lineRule="auto"/>
        <w:jc w:val="center"/>
        <w:rPr>
          <w:rFonts w:cs="Arial"/>
          <w:b/>
        </w:rPr>
      </w:pPr>
      <w:r>
        <w:rPr>
          <w:rFonts w:cs="Arial"/>
          <w:b/>
        </w:rPr>
        <w:t>CHIOMA MOUREEN LIVINUS</w:t>
      </w:r>
    </w:p>
    <w:p w:rsidR="00EC7B40" w:rsidRPr="00F50916" w:rsidRDefault="00EC7B40" w:rsidP="00F50916">
      <w:pPr>
        <w:jc w:val="center"/>
        <w:rPr>
          <w:rFonts w:cs="Arial"/>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sidR="00F50916">
        <w:rPr>
          <w:rFonts w:cs="Arial"/>
          <w:b/>
        </w:rPr>
        <w:t xml:space="preserve"> </w:t>
      </w:r>
      <w:r>
        <w:rPr>
          <w:rFonts w:cs="Arial"/>
          <w:b/>
        </w:rPr>
        <w:tab/>
      </w:r>
      <w:r>
        <w:rPr>
          <w:rFonts w:cs="Arial"/>
          <w:b/>
        </w:rPr>
        <w:tab/>
      </w:r>
      <w:r w:rsidRPr="00F50916">
        <w:rPr>
          <w:rFonts w:cs="Arial"/>
          <w:u w:val="single"/>
        </w:rPr>
        <w:t>Appellant</w:t>
      </w:r>
    </w:p>
    <w:p w:rsidR="00EC7B40" w:rsidRDefault="00EC7B40" w:rsidP="002630D9">
      <w:pPr>
        <w:spacing w:line="360" w:lineRule="auto"/>
        <w:jc w:val="center"/>
        <w:rPr>
          <w:rFonts w:cs="Arial"/>
          <w:b/>
        </w:rPr>
      </w:pPr>
      <w:r>
        <w:rPr>
          <w:rFonts w:cs="Arial"/>
          <w:b/>
        </w:rPr>
        <w:t>-and-</w:t>
      </w:r>
    </w:p>
    <w:p w:rsidR="001207DF" w:rsidRDefault="001207DF" w:rsidP="002630D9">
      <w:pPr>
        <w:spacing w:line="360" w:lineRule="auto"/>
        <w:jc w:val="center"/>
        <w:rPr>
          <w:rFonts w:cs="Arial"/>
          <w:b/>
        </w:rPr>
      </w:pPr>
    </w:p>
    <w:p w:rsidR="001207DF" w:rsidRDefault="001207DF" w:rsidP="002630D9">
      <w:pPr>
        <w:spacing w:line="360" w:lineRule="auto"/>
        <w:jc w:val="center"/>
        <w:rPr>
          <w:rFonts w:cs="Arial"/>
          <w:b/>
        </w:rPr>
      </w:pPr>
      <w:r>
        <w:rPr>
          <w:rFonts w:cs="Arial"/>
          <w:b/>
        </w:rPr>
        <w:t>THE SECRETARY OF STATE FOR THE HOME DEPARTMENT</w:t>
      </w:r>
    </w:p>
    <w:p w:rsidR="001207DF" w:rsidRPr="00F50916" w:rsidRDefault="001207DF" w:rsidP="00F50916">
      <w:pPr>
        <w:jc w:val="center"/>
        <w:rPr>
          <w:rFonts w:cs="Arial"/>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00EC7B40" w:rsidRPr="00F50916">
        <w:rPr>
          <w:rFonts w:cs="Arial"/>
          <w:u w:val="single"/>
        </w:rPr>
        <w:t>Respondent</w:t>
      </w:r>
    </w:p>
    <w:p w:rsidR="00F50916" w:rsidRDefault="00F50916" w:rsidP="001C5143">
      <w:pPr>
        <w:tabs>
          <w:tab w:val="left" w:pos="2520"/>
        </w:tabs>
        <w:spacing w:line="360" w:lineRule="auto"/>
        <w:rPr>
          <w:rFonts w:cs="Arial"/>
          <w:b/>
          <w:u w:val="single"/>
        </w:rPr>
      </w:pPr>
    </w:p>
    <w:p w:rsidR="00827B41" w:rsidRDefault="00827B41" w:rsidP="001C5143">
      <w:pPr>
        <w:tabs>
          <w:tab w:val="left" w:pos="2520"/>
        </w:tabs>
        <w:spacing w:line="360" w:lineRule="auto"/>
        <w:rPr>
          <w:rFonts w:cs="Arial"/>
          <w:b/>
          <w:u w:val="single"/>
        </w:rPr>
      </w:pPr>
      <w:r w:rsidRPr="00827B41">
        <w:rPr>
          <w:rFonts w:cs="Arial"/>
          <w:b/>
          <w:u w:val="single"/>
        </w:rPr>
        <w:t xml:space="preserve">Representation </w:t>
      </w:r>
    </w:p>
    <w:p w:rsidR="00F50916" w:rsidRPr="00827B41" w:rsidRDefault="00F50916" w:rsidP="00F50916">
      <w:pPr>
        <w:tabs>
          <w:tab w:val="left" w:pos="2520"/>
        </w:tabs>
        <w:rPr>
          <w:rFonts w:cs="Arial"/>
          <w:b/>
          <w:u w:val="single"/>
        </w:rPr>
      </w:pPr>
    </w:p>
    <w:p w:rsidR="001C5143" w:rsidRPr="002630D9" w:rsidRDefault="003257CA" w:rsidP="001C5143">
      <w:pPr>
        <w:tabs>
          <w:tab w:val="left" w:pos="2520"/>
        </w:tabs>
        <w:spacing w:line="360" w:lineRule="auto"/>
        <w:rPr>
          <w:rFonts w:cs="Arial"/>
        </w:rPr>
      </w:pPr>
      <w:r w:rsidRPr="002630D9">
        <w:rPr>
          <w:rFonts w:cs="Arial"/>
        </w:rPr>
        <w:t>For the Appellant:</w:t>
      </w:r>
      <w:r w:rsidRPr="002630D9">
        <w:rPr>
          <w:rFonts w:cs="Arial"/>
        </w:rPr>
        <w:tab/>
      </w:r>
      <w:r>
        <w:rPr>
          <w:rFonts w:cs="Arial"/>
        </w:rPr>
        <w:tab/>
      </w:r>
      <w:r>
        <w:rPr>
          <w:rFonts w:cs="Arial"/>
        </w:rPr>
        <w:tab/>
      </w:r>
      <w:r w:rsidR="008D5E08">
        <w:rPr>
          <w:rFonts w:cs="Arial"/>
        </w:rPr>
        <w:t xml:space="preserve">Mr. P. </w:t>
      </w:r>
      <w:proofErr w:type="spellStart"/>
      <w:r w:rsidR="008D5E08">
        <w:rPr>
          <w:rFonts w:cs="Arial"/>
        </w:rPr>
        <w:t>Georget</w:t>
      </w:r>
      <w:proofErr w:type="spellEnd"/>
      <w:r w:rsidR="008D5E08">
        <w:rPr>
          <w:rFonts w:cs="Arial"/>
        </w:rPr>
        <w:t xml:space="preserve"> </w:t>
      </w:r>
      <w:r w:rsidR="00FA2D5F">
        <w:rPr>
          <w:rFonts w:cs="Arial"/>
        </w:rPr>
        <w:t>of counsel</w:t>
      </w:r>
      <w:r w:rsidR="008D5E08">
        <w:rPr>
          <w:rFonts w:cs="Arial"/>
        </w:rPr>
        <w:t xml:space="preserve">, instructed by </w:t>
      </w:r>
      <w:proofErr w:type="spellStart"/>
      <w:r w:rsidR="008D5E08">
        <w:rPr>
          <w:rFonts w:cs="Arial"/>
        </w:rPr>
        <w:t>Farani</w:t>
      </w:r>
      <w:proofErr w:type="spellEnd"/>
      <w:r w:rsidR="008D5E08">
        <w:rPr>
          <w:rFonts w:cs="Arial"/>
        </w:rPr>
        <w:t xml:space="preserve"> Taylor Solicitors</w:t>
      </w:r>
    </w:p>
    <w:p w:rsidR="005D603D" w:rsidRPr="002630D9" w:rsidRDefault="003257CA" w:rsidP="005D603D">
      <w:pPr>
        <w:tabs>
          <w:tab w:val="left" w:pos="2520"/>
        </w:tabs>
        <w:spacing w:line="360" w:lineRule="auto"/>
        <w:rPr>
          <w:rFonts w:cs="Arial"/>
        </w:rPr>
      </w:pPr>
      <w:r w:rsidRPr="002630D9">
        <w:rPr>
          <w:rFonts w:cs="Arial"/>
        </w:rPr>
        <w:t>For the Respondent:</w:t>
      </w:r>
      <w:r w:rsidRPr="002630D9">
        <w:rPr>
          <w:rFonts w:cs="Arial"/>
        </w:rPr>
        <w:tab/>
      </w:r>
      <w:r>
        <w:rPr>
          <w:rFonts w:cs="Arial"/>
        </w:rPr>
        <w:t xml:space="preserve">             </w:t>
      </w:r>
      <w:r w:rsidR="00FA2D5F">
        <w:rPr>
          <w:rFonts w:cs="Arial"/>
        </w:rPr>
        <w:t xml:space="preserve"> </w:t>
      </w:r>
      <w:r w:rsidR="008D5E08">
        <w:rPr>
          <w:rFonts w:cs="Arial"/>
        </w:rPr>
        <w:t xml:space="preserve">Ms A. </w:t>
      </w:r>
      <w:proofErr w:type="spellStart"/>
      <w:r w:rsidR="008D5E08">
        <w:rPr>
          <w:rFonts w:cs="Arial"/>
        </w:rPr>
        <w:t>Fijiwala</w:t>
      </w:r>
      <w:proofErr w:type="spellEnd"/>
      <w:r w:rsidR="008D5E08">
        <w:rPr>
          <w:rFonts w:cs="Arial"/>
        </w:rPr>
        <w:t xml:space="preserve">, </w:t>
      </w:r>
      <w:r w:rsidR="00FA2D5F">
        <w:rPr>
          <w:rFonts w:cs="Arial"/>
        </w:rPr>
        <w:t>Home Office Presenting Officer</w:t>
      </w:r>
    </w:p>
    <w:p w:rsidR="003257CA" w:rsidRPr="002630D9" w:rsidRDefault="003257CA" w:rsidP="002630D9">
      <w:pPr>
        <w:tabs>
          <w:tab w:val="left" w:pos="2520"/>
        </w:tabs>
        <w:spacing w:line="360" w:lineRule="auto"/>
        <w:rPr>
          <w:rFonts w:cs="Arial"/>
        </w:rPr>
      </w:pPr>
    </w:p>
    <w:p w:rsidR="003257CA" w:rsidRDefault="003257CA" w:rsidP="002630D9">
      <w:pPr>
        <w:spacing w:line="360" w:lineRule="auto"/>
        <w:jc w:val="center"/>
        <w:rPr>
          <w:rFonts w:cs="Arial"/>
          <w:b/>
          <w:u w:val="single"/>
        </w:rPr>
      </w:pPr>
      <w:r w:rsidRPr="002630D9">
        <w:rPr>
          <w:rFonts w:cs="Arial"/>
          <w:b/>
          <w:u w:val="single"/>
        </w:rPr>
        <w:t>DECISION AND REASONS</w:t>
      </w:r>
    </w:p>
    <w:p w:rsidR="003257CA" w:rsidRPr="00303BAF" w:rsidRDefault="003257CA" w:rsidP="002630D9">
      <w:pPr>
        <w:spacing w:line="360" w:lineRule="auto"/>
        <w:jc w:val="both"/>
        <w:rPr>
          <w:rFonts w:cs="Arial"/>
          <w:b/>
        </w:rPr>
      </w:pPr>
      <w:r>
        <w:rPr>
          <w:rFonts w:cs="Arial"/>
          <w:b/>
        </w:rPr>
        <w:t xml:space="preserve">                                                                                                                                                                                                                                                                                                                                                                                                                                                        </w:t>
      </w:r>
    </w:p>
    <w:p w:rsidR="003257CA" w:rsidRDefault="003257CA" w:rsidP="002630D9">
      <w:pPr>
        <w:spacing w:line="360" w:lineRule="auto"/>
        <w:jc w:val="both"/>
        <w:rPr>
          <w:rFonts w:cs="Arial"/>
          <w:b/>
        </w:rPr>
      </w:pPr>
      <w:r w:rsidRPr="009D341B">
        <w:rPr>
          <w:rFonts w:cs="Arial"/>
          <w:b/>
        </w:rPr>
        <w:t xml:space="preserve">BACKGROUND TO THE APPEAL </w:t>
      </w:r>
    </w:p>
    <w:p w:rsidR="00F72ABC" w:rsidRDefault="00F72ABC" w:rsidP="002630D9">
      <w:pPr>
        <w:spacing w:line="360" w:lineRule="auto"/>
        <w:jc w:val="both"/>
        <w:rPr>
          <w:rFonts w:cs="Arial"/>
          <w:b/>
        </w:rPr>
      </w:pPr>
    </w:p>
    <w:p w:rsidR="003257CA" w:rsidRDefault="003257CA" w:rsidP="002630D9">
      <w:pPr>
        <w:spacing w:line="360" w:lineRule="auto"/>
        <w:ind w:left="567" w:hanging="567"/>
        <w:jc w:val="both"/>
        <w:rPr>
          <w:rFonts w:cs="Arial"/>
        </w:rPr>
      </w:pPr>
      <w:r w:rsidRPr="002630D9">
        <w:rPr>
          <w:rFonts w:cs="Arial"/>
        </w:rPr>
        <w:t>1.</w:t>
      </w:r>
      <w:r w:rsidRPr="002630D9">
        <w:rPr>
          <w:rFonts w:cs="Arial"/>
        </w:rPr>
        <w:tab/>
        <w:t xml:space="preserve">The </w:t>
      </w:r>
      <w:r w:rsidR="001C5143">
        <w:rPr>
          <w:rFonts w:cs="Arial"/>
        </w:rPr>
        <w:t>Appellan</w:t>
      </w:r>
      <w:r w:rsidR="00EC7B40">
        <w:rPr>
          <w:rFonts w:cs="Arial"/>
        </w:rPr>
        <w:t>t</w:t>
      </w:r>
      <w:r w:rsidR="001C5143">
        <w:rPr>
          <w:rFonts w:cs="Arial"/>
        </w:rPr>
        <w:t xml:space="preserve"> is a national of </w:t>
      </w:r>
      <w:r w:rsidR="001501EB">
        <w:rPr>
          <w:rFonts w:cs="Arial"/>
        </w:rPr>
        <w:t>Nigeria</w:t>
      </w:r>
      <w:r w:rsidR="001C5143">
        <w:rPr>
          <w:rFonts w:cs="Arial"/>
        </w:rPr>
        <w:t xml:space="preserve">. </w:t>
      </w:r>
      <w:r w:rsidR="00D7506F">
        <w:rPr>
          <w:rFonts w:cs="Arial"/>
        </w:rPr>
        <w:t xml:space="preserve">On </w:t>
      </w:r>
      <w:r w:rsidR="004E047E">
        <w:rPr>
          <w:rFonts w:cs="Arial"/>
        </w:rPr>
        <w:t>9 November</w:t>
      </w:r>
      <w:r w:rsidR="00D7506F">
        <w:rPr>
          <w:rFonts w:cs="Arial"/>
        </w:rPr>
        <w:t xml:space="preserve"> 201</w:t>
      </w:r>
      <w:r w:rsidR="004E047E">
        <w:rPr>
          <w:rFonts w:cs="Arial"/>
        </w:rPr>
        <w:t>5</w:t>
      </w:r>
      <w:r w:rsidR="00D7506F">
        <w:rPr>
          <w:rFonts w:cs="Arial"/>
        </w:rPr>
        <w:t xml:space="preserve"> the Appellant applied for indefinite leave to remain </w:t>
      </w:r>
      <w:r w:rsidR="00913B3E">
        <w:rPr>
          <w:rFonts w:cs="Arial"/>
        </w:rPr>
        <w:t xml:space="preserve">on the basis that she had retained a right of residence when she divorced her husband </w:t>
      </w:r>
      <w:r w:rsidR="00D7506F">
        <w:rPr>
          <w:rFonts w:cs="Arial"/>
        </w:rPr>
        <w:t>under regulation 10(5) of the Immigration (European Economic Area) Regulations 2006</w:t>
      </w:r>
      <w:r w:rsidR="00EF118C">
        <w:rPr>
          <w:rFonts w:cs="Arial"/>
        </w:rPr>
        <w:t xml:space="preserve"> (“the EEA Regulations”)</w:t>
      </w:r>
      <w:r w:rsidR="000E101D">
        <w:rPr>
          <w:rFonts w:cs="Arial"/>
        </w:rPr>
        <w:t xml:space="preserve">. </w:t>
      </w:r>
      <w:r w:rsidR="00EC7B40">
        <w:rPr>
          <w:rFonts w:cs="Arial"/>
        </w:rPr>
        <w:t>H</w:t>
      </w:r>
      <w:r w:rsidR="004E047E">
        <w:rPr>
          <w:rFonts w:cs="Arial"/>
        </w:rPr>
        <w:t>er</w:t>
      </w:r>
      <w:r w:rsidR="00EC7B40">
        <w:rPr>
          <w:rFonts w:cs="Arial"/>
        </w:rPr>
        <w:t xml:space="preserve"> application was refused on</w:t>
      </w:r>
      <w:r w:rsidR="000E101D">
        <w:rPr>
          <w:rFonts w:cs="Arial"/>
        </w:rPr>
        <w:t xml:space="preserve"> </w:t>
      </w:r>
      <w:r w:rsidR="004E047E">
        <w:rPr>
          <w:rFonts w:cs="Arial"/>
        </w:rPr>
        <w:t>5 May</w:t>
      </w:r>
      <w:r w:rsidR="00D7506F">
        <w:rPr>
          <w:rFonts w:cs="Arial"/>
        </w:rPr>
        <w:t xml:space="preserve"> 2016</w:t>
      </w:r>
      <w:r w:rsidR="00EC7B40">
        <w:rPr>
          <w:rFonts w:cs="Arial"/>
        </w:rPr>
        <w:t xml:space="preserve">. </w:t>
      </w:r>
      <w:r w:rsidR="004E047E">
        <w:rPr>
          <w:rFonts w:cs="Arial"/>
        </w:rPr>
        <w:t>She</w:t>
      </w:r>
      <w:r w:rsidR="00963ED3">
        <w:rPr>
          <w:rFonts w:cs="Arial"/>
        </w:rPr>
        <w:t xml:space="preserve"> appealed </w:t>
      </w:r>
      <w:r w:rsidR="00EC7B40">
        <w:rPr>
          <w:rFonts w:cs="Arial"/>
        </w:rPr>
        <w:lastRenderedPageBreak/>
        <w:t xml:space="preserve">against this decision </w:t>
      </w:r>
      <w:r w:rsidR="001207DF">
        <w:rPr>
          <w:rFonts w:cs="Arial"/>
        </w:rPr>
        <w:t>and Firs</w:t>
      </w:r>
      <w:bookmarkStart w:id="0" w:name="_GoBack"/>
      <w:bookmarkEnd w:id="0"/>
      <w:r w:rsidR="001207DF">
        <w:rPr>
          <w:rFonts w:cs="Arial"/>
        </w:rPr>
        <w:t xml:space="preserve">t-tier Tribunal Judge </w:t>
      </w:r>
      <w:r w:rsidR="004E047E">
        <w:rPr>
          <w:rFonts w:cs="Arial"/>
        </w:rPr>
        <w:t>Miles</w:t>
      </w:r>
      <w:r w:rsidR="00EC7B40">
        <w:rPr>
          <w:rFonts w:cs="Arial"/>
        </w:rPr>
        <w:t xml:space="preserve"> dismissed h</w:t>
      </w:r>
      <w:r w:rsidR="004E047E">
        <w:rPr>
          <w:rFonts w:cs="Arial"/>
        </w:rPr>
        <w:t>er</w:t>
      </w:r>
      <w:r w:rsidR="00EC7B40">
        <w:rPr>
          <w:rFonts w:cs="Arial"/>
        </w:rPr>
        <w:t xml:space="preserve"> appeal in a decision promulgated on </w:t>
      </w:r>
      <w:r w:rsidR="004E047E">
        <w:rPr>
          <w:rFonts w:cs="Arial"/>
        </w:rPr>
        <w:t>17 May</w:t>
      </w:r>
      <w:r w:rsidR="001501EB">
        <w:rPr>
          <w:rFonts w:cs="Arial"/>
        </w:rPr>
        <w:t xml:space="preserve"> </w:t>
      </w:r>
      <w:r w:rsidR="00EC7B40">
        <w:rPr>
          <w:rFonts w:cs="Arial"/>
        </w:rPr>
        <w:t>2018</w:t>
      </w:r>
      <w:r w:rsidR="00F86A0A">
        <w:rPr>
          <w:rFonts w:cs="Arial"/>
        </w:rPr>
        <w:t xml:space="preserve">. </w:t>
      </w:r>
      <w:r w:rsidR="00EC7B40">
        <w:rPr>
          <w:rFonts w:cs="Arial"/>
        </w:rPr>
        <w:t xml:space="preserve">First-tier Tribunal Judge </w:t>
      </w:r>
      <w:r w:rsidR="004E047E">
        <w:rPr>
          <w:rFonts w:cs="Arial"/>
        </w:rPr>
        <w:t>Hollingworth</w:t>
      </w:r>
      <w:r w:rsidR="00EC7B40">
        <w:rPr>
          <w:rFonts w:cs="Arial"/>
        </w:rPr>
        <w:t xml:space="preserve"> </w:t>
      </w:r>
      <w:r w:rsidR="00F86A0A">
        <w:rPr>
          <w:rFonts w:cs="Arial"/>
        </w:rPr>
        <w:t>grant</w:t>
      </w:r>
      <w:r w:rsidR="00EC7B40">
        <w:rPr>
          <w:rFonts w:cs="Arial"/>
        </w:rPr>
        <w:t>ed</w:t>
      </w:r>
      <w:r w:rsidR="00F86A0A">
        <w:rPr>
          <w:rFonts w:cs="Arial"/>
        </w:rPr>
        <w:t xml:space="preserve"> h</w:t>
      </w:r>
      <w:r w:rsidR="004E047E">
        <w:rPr>
          <w:rFonts w:cs="Arial"/>
        </w:rPr>
        <w:t>er</w:t>
      </w:r>
      <w:r w:rsidR="00F86A0A">
        <w:rPr>
          <w:rFonts w:cs="Arial"/>
        </w:rPr>
        <w:t xml:space="preserve"> permission to appeal on </w:t>
      </w:r>
      <w:r w:rsidR="004E047E">
        <w:rPr>
          <w:rFonts w:cs="Arial"/>
        </w:rPr>
        <w:t>6</w:t>
      </w:r>
      <w:r w:rsidR="00FA2D5F">
        <w:rPr>
          <w:rFonts w:cs="Arial"/>
        </w:rPr>
        <w:t xml:space="preserve"> July</w:t>
      </w:r>
      <w:r w:rsidR="00F86A0A">
        <w:rPr>
          <w:rFonts w:cs="Arial"/>
        </w:rPr>
        <w:t xml:space="preserve"> 2018.</w:t>
      </w:r>
      <w:r w:rsidR="008130CE">
        <w:rPr>
          <w:rFonts w:cs="Arial"/>
        </w:rPr>
        <w:t xml:space="preserve"> </w:t>
      </w:r>
    </w:p>
    <w:p w:rsidR="003257CA" w:rsidRDefault="003257CA" w:rsidP="002630D9">
      <w:pPr>
        <w:spacing w:line="360" w:lineRule="auto"/>
        <w:ind w:left="567" w:hanging="567"/>
        <w:jc w:val="both"/>
        <w:rPr>
          <w:rFonts w:cs="Arial"/>
        </w:rPr>
      </w:pPr>
      <w:r>
        <w:rPr>
          <w:rFonts w:cs="Arial"/>
        </w:rPr>
        <w:t xml:space="preserve">                                                                                                                                                                                                                                                                                   </w:t>
      </w:r>
    </w:p>
    <w:p w:rsidR="003257CA" w:rsidRPr="009D341B" w:rsidRDefault="003257CA" w:rsidP="002630D9">
      <w:pPr>
        <w:spacing w:line="360" w:lineRule="auto"/>
        <w:ind w:left="567" w:hanging="567"/>
        <w:jc w:val="both"/>
        <w:rPr>
          <w:rFonts w:cs="Arial"/>
          <w:b/>
        </w:rPr>
      </w:pPr>
      <w:r w:rsidRPr="009D341B">
        <w:rPr>
          <w:rFonts w:cs="Arial"/>
          <w:b/>
        </w:rPr>
        <w:t xml:space="preserve">ERROR OF LAW HEARING </w:t>
      </w:r>
    </w:p>
    <w:p w:rsidR="003257CA" w:rsidRDefault="003257CA" w:rsidP="002630D9">
      <w:pPr>
        <w:spacing w:line="360" w:lineRule="auto"/>
        <w:ind w:left="567" w:hanging="567"/>
        <w:jc w:val="both"/>
        <w:rPr>
          <w:rFonts w:cs="Arial"/>
        </w:rPr>
      </w:pPr>
    </w:p>
    <w:p w:rsidR="003257CA" w:rsidRDefault="00D7506F" w:rsidP="002630D9">
      <w:pPr>
        <w:spacing w:line="360" w:lineRule="auto"/>
        <w:ind w:left="567" w:hanging="567"/>
        <w:jc w:val="both"/>
        <w:rPr>
          <w:rFonts w:cs="Arial"/>
        </w:rPr>
      </w:pPr>
      <w:r>
        <w:rPr>
          <w:rFonts w:cs="Arial"/>
        </w:rPr>
        <w:t>2</w:t>
      </w:r>
      <w:r w:rsidR="003257CA">
        <w:rPr>
          <w:rFonts w:cs="Arial"/>
        </w:rPr>
        <w:t>.</w:t>
      </w:r>
      <w:r w:rsidR="003257CA">
        <w:rPr>
          <w:rFonts w:cs="Arial"/>
        </w:rPr>
        <w:tab/>
        <w:t xml:space="preserve">Both </w:t>
      </w:r>
      <w:r w:rsidR="00EC7B40">
        <w:rPr>
          <w:rFonts w:cs="Arial"/>
        </w:rPr>
        <w:t xml:space="preserve">counsel for the Appellant and </w:t>
      </w:r>
      <w:r w:rsidR="00F86A0A">
        <w:rPr>
          <w:rFonts w:cs="Arial"/>
        </w:rPr>
        <w:t xml:space="preserve">the Home Office Presenting Officer </w:t>
      </w:r>
      <w:r w:rsidR="003257CA">
        <w:rPr>
          <w:rFonts w:cs="Arial"/>
        </w:rPr>
        <w:t xml:space="preserve">made oral submissions and I have referred to the content of these submissions, where relevant, in my decision below.   </w:t>
      </w:r>
    </w:p>
    <w:p w:rsidR="003257CA" w:rsidRDefault="003257CA" w:rsidP="00590558">
      <w:pPr>
        <w:spacing w:line="360" w:lineRule="auto"/>
        <w:ind w:left="567" w:hanging="567"/>
        <w:jc w:val="both"/>
        <w:rPr>
          <w:rFonts w:cs="Arial"/>
          <w:b/>
        </w:rPr>
      </w:pPr>
    </w:p>
    <w:p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rsidR="003257CA" w:rsidRPr="00590558" w:rsidRDefault="003257CA" w:rsidP="00590558">
      <w:pPr>
        <w:spacing w:line="360" w:lineRule="auto"/>
        <w:ind w:left="567" w:hanging="567"/>
        <w:jc w:val="both"/>
        <w:rPr>
          <w:rFonts w:cs="Arial"/>
          <w:b/>
        </w:rPr>
      </w:pPr>
    </w:p>
    <w:p w:rsidR="001A2377" w:rsidRDefault="00D7506F" w:rsidP="00D7506F">
      <w:pPr>
        <w:spacing w:line="360" w:lineRule="auto"/>
        <w:ind w:left="567" w:hanging="567"/>
        <w:jc w:val="both"/>
        <w:rPr>
          <w:rFonts w:cs="Arial"/>
        </w:rPr>
      </w:pPr>
      <w:r>
        <w:rPr>
          <w:rFonts w:cs="Arial"/>
        </w:rPr>
        <w:t>3</w:t>
      </w:r>
      <w:r w:rsidR="00827B41">
        <w:rPr>
          <w:rFonts w:cs="Arial"/>
        </w:rPr>
        <w:t>.</w:t>
      </w:r>
      <w:r w:rsidR="00827B41">
        <w:rPr>
          <w:rFonts w:cs="Arial"/>
        </w:rPr>
        <w:tab/>
      </w:r>
      <w:r>
        <w:rPr>
          <w:rFonts w:cs="Arial"/>
        </w:rPr>
        <w:t xml:space="preserve">The Appellant applied for permanent residence </w:t>
      </w:r>
      <w:r w:rsidR="00A75E2E">
        <w:rPr>
          <w:rFonts w:cs="Arial"/>
        </w:rPr>
        <w:t>on the basis that she had initially been granted a right of residence as the partner of an EEA national from 19 November 2010 until 9 November 2015 and that, when she divorced her husband within this period, she retained a right of residence. The period of her residence as a partner was not disputed by the Respondent but her right to retain her residence had been.</w:t>
      </w:r>
    </w:p>
    <w:p w:rsidR="001A2377" w:rsidRDefault="001A2377" w:rsidP="00D7506F">
      <w:pPr>
        <w:spacing w:line="360" w:lineRule="auto"/>
        <w:ind w:left="567" w:hanging="567"/>
        <w:jc w:val="both"/>
        <w:rPr>
          <w:rFonts w:cs="Arial"/>
          <w:color w:val="000000"/>
          <w:szCs w:val="18"/>
        </w:rPr>
      </w:pPr>
    </w:p>
    <w:p w:rsidR="001D6CFF" w:rsidRDefault="001A2377" w:rsidP="00D7506F">
      <w:pPr>
        <w:spacing w:line="360" w:lineRule="auto"/>
        <w:ind w:left="567" w:hanging="567"/>
        <w:jc w:val="both"/>
        <w:rPr>
          <w:rFonts w:cs="Arial"/>
          <w:color w:val="000000"/>
          <w:szCs w:val="18"/>
        </w:rPr>
      </w:pPr>
      <w:r>
        <w:rPr>
          <w:rFonts w:cs="Arial"/>
          <w:color w:val="000000"/>
          <w:szCs w:val="18"/>
        </w:rPr>
        <w:t>4</w:t>
      </w:r>
      <w:r w:rsidR="001D6CFF">
        <w:rPr>
          <w:rFonts w:cs="Arial"/>
          <w:color w:val="000000"/>
          <w:szCs w:val="18"/>
        </w:rPr>
        <w:t>.</w:t>
      </w:r>
      <w:r w:rsidR="001D6CFF">
        <w:rPr>
          <w:rFonts w:cs="Arial"/>
          <w:color w:val="000000"/>
          <w:szCs w:val="18"/>
        </w:rPr>
        <w:tab/>
        <w:t xml:space="preserve">Regulation 10(5) </w:t>
      </w:r>
      <w:r>
        <w:rPr>
          <w:rFonts w:cs="Arial"/>
          <w:color w:val="000000"/>
          <w:szCs w:val="18"/>
        </w:rPr>
        <w:t xml:space="preserve">of the EEA Regulations </w:t>
      </w:r>
      <w:r w:rsidR="001D6CFF">
        <w:rPr>
          <w:rFonts w:cs="Arial"/>
          <w:color w:val="000000"/>
          <w:szCs w:val="18"/>
        </w:rPr>
        <w:t>state</w:t>
      </w:r>
      <w:r>
        <w:rPr>
          <w:rFonts w:cs="Arial"/>
          <w:color w:val="000000"/>
          <w:szCs w:val="18"/>
        </w:rPr>
        <w:t>s</w:t>
      </w:r>
      <w:r w:rsidR="001D6CFF">
        <w:rPr>
          <w:rFonts w:cs="Arial"/>
          <w:color w:val="000000"/>
          <w:szCs w:val="18"/>
        </w:rPr>
        <w:t xml:space="preserve"> that:</w:t>
      </w:r>
    </w:p>
    <w:p w:rsidR="001D6CFF" w:rsidRPr="001A2377" w:rsidRDefault="001D6CFF" w:rsidP="00D7506F">
      <w:pPr>
        <w:spacing w:line="360" w:lineRule="auto"/>
        <w:ind w:left="567" w:hanging="567"/>
        <w:jc w:val="both"/>
        <w:rPr>
          <w:rFonts w:cs="Arial"/>
          <w:color w:val="000000"/>
          <w:szCs w:val="18"/>
        </w:rPr>
      </w:pPr>
    </w:p>
    <w:p w:rsidR="001D6CFF" w:rsidRPr="001A2377" w:rsidRDefault="001D6CFF" w:rsidP="00D7506F">
      <w:pPr>
        <w:spacing w:line="360" w:lineRule="auto"/>
        <w:ind w:left="567" w:hanging="567"/>
        <w:jc w:val="both"/>
        <w:rPr>
          <w:rFonts w:cs="Arial"/>
          <w:color w:val="000000"/>
          <w:szCs w:val="18"/>
        </w:rPr>
      </w:pPr>
      <w:r w:rsidRPr="001A2377">
        <w:rPr>
          <w:rFonts w:cs="Arial"/>
          <w:color w:val="000000"/>
          <w:szCs w:val="18"/>
        </w:rPr>
        <w:tab/>
        <w:t>“A person satisfies the conditions in his paragraph if-</w:t>
      </w:r>
    </w:p>
    <w:p w:rsidR="001D6CFF" w:rsidRPr="001A2377" w:rsidRDefault="001D6CFF" w:rsidP="00D7506F">
      <w:pPr>
        <w:spacing w:line="360" w:lineRule="auto"/>
        <w:ind w:left="567" w:hanging="567"/>
        <w:jc w:val="both"/>
        <w:rPr>
          <w:rFonts w:cs="Arial"/>
          <w:color w:val="000000"/>
          <w:szCs w:val="18"/>
        </w:rPr>
      </w:pPr>
    </w:p>
    <w:p w:rsidR="001A2377" w:rsidRPr="001A2377" w:rsidRDefault="001D6CFF" w:rsidP="001A2377">
      <w:pPr>
        <w:pStyle w:val="legp2paratext"/>
        <w:shd w:val="clear" w:color="auto" w:fill="FFFFFF"/>
        <w:spacing w:before="0" w:beforeAutospacing="0" w:after="105" w:afterAutospacing="0" w:line="315" w:lineRule="atLeast"/>
        <w:ind w:firstLine="210"/>
        <w:jc w:val="both"/>
        <w:rPr>
          <w:rFonts w:cs="Arial"/>
          <w:color w:val="494949"/>
          <w:szCs w:val="21"/>
        </w:rPr>
      </w:pPr>
      <w:r w:rsidRPr="001A2377">
        <w:rPr>
          <w:rFonts w:cs="Arial"/>
          <w:color w:val="000000"/>
          <w:szCs w:val="18"/>
        </w:rPr>
        <w:tab/>
        <w:t xml:space="preserve">(a) he ceased to be a family member of a qualified </w:t>
      </w:r>
      <w:r w:rsidR="001A2377" w:rsidRPr="001A2377">
        <w:rPr>
          <w:rStyle w:val="legds"/>
          <w:rFonts w:cs="Arial"/>
          <w:color w:val="494949"/>
          <w:szCs w:val="21"/>
        </w:rPr>
        <w:t xml:space="preserve">person or an EEA national with a right of </w:t>
      </w:r>
      <w:r w:rsidR="001A2377" w:rsidRPr="001A2377">
        <w:rPr>
          <w:rStyle w:val="legds"/>
          <w:rFonts w:cs="Arial"/>
          <w:color w:val="494949"/>
          <w:szCs w:val="21"/>
        </w:rPr>
        <w:tab/>
        <w:t xml:space="preserve">permanent </w:t>
      </w:r>
      <w:r w:rsidR="001A2377" w:rsidRPr="001A2377">
        <w:rPr>
          <w:rStyle w:val="legds"/>
          <w:rFonts w:cs="Arial"/>
          <w:color w:val="494949"/>
          <w:szCs w:val="21"/>
        </w:rPr>
        <w:tab/>
        <w:t>residence on the termination of the marriage or civil partnership of A;</w:t>
      </w:r>
      <w:r w:rsidR="001A2377" w:rsidRPr="001A2377">
        <w:rPr>
          <w:rFonts w:cs="Arial"/>
          <w:color w:val="494949"/>
          <w:szCs w:val="21"/>
        </w:rPr>
        <w:t xml:space="preserve"> </w:t>
      </w:r>
    </w:p>
    <w:p w:rsidR="001A2377" w:rsidRPr="001A2377" w:rsidRDefault="001A2377" w:rsidP="001A2377">
      <w:pPr>
        <w:pStyle w:val="legclearfix"/>
        <w:shd w:val="clear" w:color="auto" w:fill="FFFFFF"/>
        <w:spacing w:before="0" w:beforeAutospacing="0" w:after="105" w:afterAutospacing="0" w:line="315" w:lineRule="atLeast"/>
        <w:rPr>
          <w:rFonts w:cs="Arial"/>
          <w:color w:val="494949"/>
          <w:szCs w:val="21"/>
        </w:rPr>
      </w:pPr>
      <w:r w:rsidRPr="001A2377">
        <w:rPr>
          <w:rStyle w:val="legds"/>
          <w:rFonts w:cs="Arial"/>
          <w:color w:val="494949"/>
          <w:szCs w:val="21"/>
        </w:rPr>
        <w:tab/>
        <w:t>(b)</w:t>
      </w:r>
      <w:r w:rsidRPr="001A2377">
        <w:rPr>
          <w:rFonts w:cs="Arial"/>
          <w:color w:val="494949"/>
          <w:szCs w:val="21"/>
        </w:rPr>
        <w:t xml:space="preserve"> </w:t>
      </w:r>
      <w:r w:rsidRPr="001A2377">
        <w:rPr>
          <w:rStyle w:val="legds"/>
          <w:rFonts w:cs="Arial"/>
          <w:color w:val="494949"/>
          <w:szCs w:val="21"/>
        </w:rPr>
        <w:t xml:space="preserve">was residing in the United Kingdom in accordance with these Regulations at the date of </w:t>
      </w:r>
      <w:r>
        <w:rPr>
          <w:rStyle w:val="legds"/>
          <w:rFonts w:cs="Arial"/>
          <w:color w:val="494949"/>
          <w:szCs w:val="21"/>
        </w:rPr>
        <w:tab/>
      </w:r>
      <w:r w:rsidRPr="001A2377">
        <w:rPr>
          <w:rStyle w:val="legds"/>
          <w:rFonts w:cs="Arial"/>
          <w:color w:val="494949"/>
          <w:szCs w:val="21"/>
        </w:rPr>
        <w:t>the termination;</w:t>
      </w:r>
      <w:r w:rsidRPr="001A2377">
        <w:rPr>
          <w:rFonts w:cs="Arial"/>
          <w:color w:val="494949"/>
          <w:szCs w:val="21"/>
        </w:rPr>
        <w:t xml:space="preserve"> </w:t>
      </w:r>
    </w:p>
    <w:p w:rsidR="001A2377" w:rsidRPr="001A2377" w:rsidRDefault="001A2377" w:rsidP="001A2377">
      <w:pPr>
        <w:pStyle w:val="legclearfix"/>
        <w:shd w:val="clear" w:color="auto" w:fill="FFFFFF"/>
        <w:spacing w:before="0" w:beforeAutospacing="0" w:after="105" w:afterAutospacing="0" w:line="315" w:lineRule="atLeast"/>
        <w:rPr>
          <w:rFonts w:cs="Arial"/>
          <w:color w:val="494949"/>
          <w:szCs w:val="21"/>
        </w:rPr>
      </w:pPr>
      <w:r w:rsidRPr="001A2377">
        <w:rPr>
          <w:rStyle w:val="legds"/>
          <w:rFonts w:cs="Arial"/>
          <w:color w:val="494949"/>
          <w:szCs w:val="21"/>
        </w:rPr>
        <w:tab/>
        <w:t>(c)</w:t>
      </w:r>
      <w:r w:rsidRPr="001A2377">
        <w:rPr>
          <w:rFonts w:cs="Arial"/>
          <w:color w:val="494949"/>
          <w:szCs w:val="21"/>
        </w:rPr>
        <w:t xml:space="preserve"> </w:t>
      </w:r>
      <w:r w:rsidRPr="001A2377">
        <w:rPr>
          <w:rStyle w:val="legds"/>
          <w:rFonts w:cs="Arial"/>
          <w:color w:val="494949"/>
          <w:szCs w:val="21"/>
        </w:rPr>
        <w:t>satisfies the condition in paragraph (6); and</w:t>
      </w:r>
      <w:r w:rsidRPr="001A2377">
        <w:rPr>
          <w:rFonts w:cs="Arial"/>
          <w:color w:val="494949"/>
          <w:szCs w:val="21"/>
        </w:rPr>
        <w:t xml:space="preserve"> </w:t>
      </w:r>
    </w:p>
    <w:p w:rsidR="001A2377" w:rsidRPr="001A2377" w:rsidRDefault="001A2377" w:rsidP="001A2377">
      <w:pPr>
        <w:pStyle w:val="legclearfix"/>
        <w:shd w:val="clear" w:color="auto" w:fill="FFFFFF"/>
        <w:spacing w:before="0" w:beforeAutospacing="0" w:after="105" w:afterAutospacing="0" w:line="315" w:lineRule="atLeast"/>
        <w:rPr>
          <w:rFonts w:cs="Arial"/>
          <w:color w:val="494949"/>
          <w:szCs w:val="21"/>
        </w:rPr>
      </w:pPr>
      <w:r w:rsidRPr="001A2377">
        <w:rPr>
          <w:rStyle w:val="legds"/>
          <w:rFonts w:cs="Arial"/>
          <w:color w:val="494949"/>
          <w:szCs w:val="21"/>
        </w:rPr>
        <w:tab/>
        <w:t>(d)</w:t>
      </w:r>
      <w:r w:rsidRPr="001A2377">
        <w:rPr>
          <w:rFonts w:cs="Arial"/>
          <w:color w:val="494949"/>
          <w:szCs w:val="21"/>
        </w:rPr>
        <w:t xml:space="preserve"> </w:t>
      </w:r>
      <w:r w:rsidRPr="001A2377">
        <w:rPr>
          <w:rStyle w:val="legds"/>
          <w:rFonts w:cs="Arial"/>
          <w:color w:val="494949"/>
          <w:szCs w:val="21"/>
        </w:rPr>
        <w:t>either—</w:t>
      </w:r>
      <w:r w:rsidRPr="001A2377">
        <w:rPr>
          <w:rFonts w:cs="Arial"/>
          <w:color w:val="494949"/>
          <w:szCs w:val="21"/>
        </w:rPr>
        <w:t xml:space="preserve"> </w:t>
      </w:r>
    </w:p>
    <w:p w:rsidR="001A2377" w:rsidRPr="001A2377" w:rsidRDefault="001A2377" w:rsidP="001A2377">
      <w:pPr>
        <w:pStyle w:val="legclearfix"/>
        <w:shd w:val="clear" w:color="auto" w:fill="FFFFFF"/>
        <w:spacing w:before="0" w:beforeAutospacing="0" w:after="105" w:afterAutospacing="0" w:line="315" w:lineRule="atLeast"/>
        <w:rPr>
          <w:rFonts w:cs="Arial"/>
          <w:color w:val="494949"/>
          <w:szCs w:val="21"/>
        </w:rPr>
      </w:pPr>
      <w:r w:rsidRPr="001A2377">
        <w:rPr>
          <w:rStyle w:val="legds"/>
          <w:rFonts w:cs="Arial"/>
          <w:color w:val="494949"/>
          <w:szCs w:val="21"/>
        </w:rPr>
        <w:tab/>
        <w:t>(</w:t>
      </w:r>
      <w:proofErr w:type="spellStart"/>
      <w:r w:rsidRPr="001A2377">
        <w:rPr>
          <w:rStyle w:val="legds"/>
          <w:rFonts w:cs="Arial"/>
          <w:color w:val="494949"/>
          <w:szCs w:val="21"/>
        </w:rPr>
        <w:t>i</w:t>
      </w:r>
      <w:proofErr w:type="spellEnd"/>
      <w:r w:rsidRPr="001A2377">
        <w:rPr>
          <w:rStyle w:val="legds"/>
          <w:rFonts w:cs="Arial"/>
          <w:color w:val="494949"/>
          <w:szCs w:val="21"/>
        </w:rPr>
        <w:t>)</w:t>
      </w:r>
      <w:r w:rsidRPr="001A2377">
        <w:rPr>
          <w:rFonts w:cs="Arial"/>
          <w:color w:val="494949"/>
          <w:szCs w:val="21"/>
        </w:rPr>
        <w:t xml:space="preserve"> </w:t>
      </w:r>
      <w:r w:rsidRPr="001A2377">
        <w:rPr>
          <w:rStyle w:val="legds"/>
          <w:rFonts w:cs="Arial"/>
          <w:color w:val="494949"/>
          <w:szCs w:val="21"/>
        </w:rPr>
        <w:t xml:space="preserve">prior to the initiation of the proceedings for the termination of the marriage or the civil </w:t>
      </w:r>
      <w:r w:rsidRPr="001A2377">
        <w:rPr>
          <w:rStyle w:val="legds"/>
          <w:rFonts w:cs="Arial"/>
          <w:color w:val="494949"/>
          <w:szCs w:val="21"/>
        </w:rPr>
        <w:tab/>
        <w:t xml:space="preserve">partnership, the marriage or civil partnership had lasted for at least three years and the parties </w:t>
      </w:r>
      <w:r>
        <w:rPr>
          <w:rStyle w:val="legds"/>
          <w:rFonts w:cs="Arial"/>
          <w:color w:val="494949"/>
          <w:szCs w:val="21"/>
        </w:rPr>
        <w:tab/>
      </w:r>
      <w:r w:rsidRPr="001A2377">
        <w:rPr>
          <w:rStyle w:val="legds"/>
          <w:rFonts w:cs="Arial"/>
          <w:color w:val="494949"/>
          <w:szCs w:val="21"/>
        </w:rPr>
        <w:t xml:space="preserve">to the marriage or civil partnership had resided in the United Kingdom for at least one year </w:t>
      </w:r>
      <w:r>
        <w:rPr>
          <w:rStyle w:val="legds"/>
          <w:rFonts w:cs="Arial"/>
          <w:color w:val="494949"/>
          <w:szCs w:val="21"/>
        </w:rPr>
        <w:tab/>
      </w:r>
      <w:r w:rsidRPr="001A2377">
        <w:rPr>
          <w:rStyle w:val="legds"/>
          <w:rFonts w:cs="Arial"/>
          <w:color w:val="494949"/>
          <w:szCs w:val="21"/>
        </w:rPr>
        <w:t>during its</w:t>
      </w:r>
      <w:r>
        <w:rPr>
          <w:rStyle w:val="legds"/>
          <w:rFonts w:cs="Arial"/>
          <w:color w:val="494949"/>
          <w:szCs w:val="21"/>
        </w:rPr>
        <w:t xml:space="preserve"> </w:t>
      </w:r>
      <w:r w:rsidRPr="001A2377">
        <w:rPr>
          <w:rStyle w:val="legds"/>
          <w:rFonts w:cs="Arial"/>
          <w:color w:val="494949"/>
          <w:szCs w:val="21"/>
        </w:rPr>
        <w:t>duration;</w:t>
      </w:r>
      <w:r w:rsidRPr="001A2377">
        <w:rPr>
          <w:rFonts w:cs="Arial"/>
          <w:color w:val="494949"/>
          <w:szCs w:val="21"/>
        </w:rPr>
        <w:t xml:space="preserve"> </w:t>
      </w:r>
    </w:p>
    <w:p w:rsidR="001A2377" w:rsidRPr="001A2377" w:rsidRDefault="001A2377" w:rsidP="001A2377">
      <w:pPr>
        <w:pStyle w:val="legclearfix"/>
        <w:shd w:val="clear" w:color="auto" w:fill="FFFFFF"/>
        <w:spacing w:before="0" w:beforeAutospacing="0" w:after="105" w:afterAutospacing="0" w:line="315" w:lineRule="atLeast"/>
        <w:rPr>
          <w:rFonts w:cs="Arial"/>
          <w:color w:val="494949"/>
          <w:szCs w:val="21"/>
        </w:rPr>
      </w:pPr>
      <w:r w:rsidRPr="001A2377">
        <w:rPr>
          <w:rFonts w:cs="Arial"/>
          <w:color w:val="494949"/>
          <w:szCs w:val="21"/>
        </w:rPr>
        <w:t xml:space="preserve"> </w:t>
      </w:r>
    </w:p>
    <w:p w:rsidR="001A2377" w:rsidRPr="001A2377" w:rsidRDefault="001A2377" w:rsidP="001A2377">
      <w:pPr>
        <w:pStyle w:val="legp2paratext"/>
        <w:shd w:val="clear" w:color="auto" w:fill="FFFFFF"/>
        <w:spacing w:before="0" w:beforeAutospacing="0" w:after="105" w:afterAutospacing="0" w:line="315" w:lineRule="atLeast"/>
        <w:ind w:firstLine="210"/>
        <w:jc w:val="both"/>
        <w:rPr>
          <w:rFonts w:cs="Arial"/>
          <w:color w:val="494949"/>
          <w:szCs w:val="21"/>
        </w:rPr>
      </w:pPr>
      <w:r w:rsidRPr="001A2377">
        <w:rPr>
          <w:rFonts w:cs="Arial"/>
          <w:color w:val="494949"/>
          <w:szCs w:val="21"/>
        </w:rPr>
        <w:tab/>
        <w:t xml:space="preserve">(6) The condition in this paragraph is that the person— </w:t>
      </w:r>
    </w:p>
    <w:p w:rsidR="001A2377" w:rsidRPr="001A2377" w:rsidRDefault="001A2377" w:rsidP="001A2377">
      <w:pPr>
        <w:pStyle w:val="legclearfix"/>
        <w:shd w:val="clear" w:color="auto" w:fill="FFFFFF"/>
        <w:spacing w:before="0" w:beforeAutospacing="0" w:after="105" w:afterAutospacing="0" w:line="315" w:lineRule="atLeast"/>
        <w:rPr>
          <w:rFonts w:cs="Arial"/>
          <w:color w:val="494949"/>
          <w:szCs w:val="21"/>
        </w:rPr>
      </w:pPr>
      <w:r w:rsidRPr="001A2377">
        <w:rPr>
          <w:rStyle w:val="legds"/>
          <w:rFonts w:cs="Arial"/>
          <w:color w:val="494949"/>
          <w:szCs w:val="21"/>
        </w:rPr>
        <w:tab/>
        <w:t>(a)</w:t>
      </w:r>
      <w:r w:rsidRPr="001A2377">
        <w:rPr>
          <w:rFonts w:cs="Arial"/>
          <w:color w:val="494949"/>
          <w:szCs w:val="21"/>
        </w:rPr>
        <w:t xml:space="preserve"> </w:t>
      </w:r>
      <w:r w:rsidRPr="001A2377">
        <w:rPr>
          <w:rStyle w:val="legds"/>
          <w:rFonts w:cs="Arial"/>
          <w:color w:val="494949"/>
          <w:szCs w:val="21"/>
        </w:rPr>
        <w:t>is not an EEA national but would, if the person were an EEA national, be a worker, a self-</w:t>
      </w:r>
      <w:r w:rsidRPr="001A2377">
        <w:rPr>
          <w:rStyle w:val="legds"/>
          <w:rFonts w:cs="Arial"/>
          <w:color w:val="494949"/>
          <w:szCs w:val="21"/>
        </w:rPr>
        <w:tab/>
        <w:t xml:space="preserve">employed </w:t>
      </w:r>
      <w:r w:rsidRPr="001A2377">
        <w:rPr>
          <w:rStyle w:val="legds"/>
          <w:rFonts w:cs="Arial"/>
          <w:color w:val="494949"/>
          <w:szCs w:val="21"/>
        </w:rPr>
        <w:tab/>
        <w:t>person or a self-sufficient person under regulation 6; or</w:t>
      </w:r>
      <w:r w:rsidRPr="001A2377">
        <w:rPr>
          <w:rFonts w:cs="Arial"/>
          <w:color w:val="494949"/>
          <w:szCs w:val="21"/>
        </w:rPr>
        <w:t xml:space="preserve"> </w:t>
      </w:r>
    </w:p>
    <w:p w:rsidR="001A2377" w:rsidRPr="001A2377" w:rsidRDefault="001A2377" w:rsidP="001A2377">
      <w:pPr>
        <w:pStyle w:val="legclearfix"/>
        <w:shd w:val="clear" w:color="auto" w:fill="FFFFFF"/>
        <w:spacing w:before="0" w:beforeAutospacing="0" w:after="105" w:afterAutospacing="0" w:line="315" w:lineRule="atLeast"/>
        <w:rPr>
          <w:rFonts w:cs="Arial"/>
          <w:color w:val="494949"/>
          <w:sz w:val="21"/>
          <w:szCs w:val="21"/>
        </w:rPr>
      </w:pPr>
      <w:r w:rsidRPr="001A2377">
        <w:rPr>
          <w:rStyle w:val="legds"/>
          <w:rFonts w:cs="Arial"/>
          <w:color w:val="494949"/>
          <w:sz w:val="21"/>
          <w:szCs w:val="21"/>
        </w:rPr>
        <w:lastRenderedPageBreak/>
        <w:tab/>
        <w:t>(b)</w:t>
      </w:r>
      <w:r w:rsidRPr="001A2377">
        <w:rPr>
          <w:rFonts w:cs="Arial"/>
          <w:color w:val="494949"/>
          <w:sz w:val="21"/>
          <w:szCs w:val="21"/>
        </w:rPr>
        <w:t xml:space="preserve"> </w:t>
      </w:r>
      <w:r w:rsidRPr="001A2377">
        <w:rPr>
          <w:rStyle w:val="legds"/>
          <w:rFonts w:cs="Arial"/>
          <w:color w:val="494949"/>
          <w:sz w:val="21"/>
          <w:szCs w:val="21"/>
        </w:rPr>
        <w:t>is the family member of a person who falls within paragraph (a)”.</w:t>
      </w:r>
    </w:p>
    <w:p w:rsidR="001D6CFF" w:rsidRPr="001A2377" w:rsidRDefault="001D6CFF" w:rsidP="00D7506F">
      <w:pPr>
        <w:spacing w:line="360" w:lineRule="auto"/>
        <w:ind w:left="567" w:hanging="567"/>
        <w:jc w:val="both"/>
        <w:rPr>
          <w:rFonts w:cs="Arial"/>
          <w:color w:val="000000"/>
          <w:szCs w:val="18"/>
        </w:rPr>
      </w:pPr>
    </w:p>
    <w:p w:rsidR="001A2377" w:rsidRDefault="001A2377" w:rsidP="001A2377">
      <w:pPr>
        <w:spacing w:line="360" w:lineRule="auto"/>
        <w:ind w:left="567" w:hanging="567"/>
        <w:jc w:val="both"/>
        <w:rPr>
          <w:rFonts w:cs="Arial"/>
          <w:color w:val="000000"/>
          <w:szCs w:val="18"/>
        </w:rPr>
      </w:pPr>
      <w:r>
        <w:rPr>
          <w:rFonts w:cs="Arial"/>
        </w:rPr>
        <w:t xml:space="preserve">5. </w:t>
      </w:r>
      <w:r>
        <w:rPr>
          <w:rFonts w:cs="Arial"/>
        </w:rPr>
        <w:tab/>
        <w:t xml:space="preserve">It was not disputed that </w:t>
      </w:r>
      <w:r w:rsidR="00A75E2E">
        <w:rPr>
          <w:rFonts w:cs="Arial"/>
        </w:rPr>
        <w:t>the</w:t>
      </w:r>
      <w:r w:rsidR="00913B3E">
        <w:rPr>
          <w:rFonts w:cs="Arial"/>
        </w:rPr>
        <w:t xml:space="preserve"> Appellant </w:t>
      </w:r>
      <w:r>
        <w:rPr>
          <w:rFonts w:cs="Arial"/>
        </w:rPr>
        <w:t>had married an EEA national on</w:t>
      </w:r>
      <w:r w:rsidR="004E047E">
        <w:rPr>
          <w:rFonts w:cs="Arial"/>
        </w:rPr>
        <w:t xml:space="preserve"> 6 March 2010</w:t>
      </w:r>
      <w:r>
        <w:rPr>
          <w:rFonts w:cs="Arial"/>
          <w:color w:val="000000"/>
          <w:szCs w:val="18"/>
        </w:rPr>
        <w:t xml:space="preserve">, as </w:t>
      </w:r>
      <w:r w:rsidR="004E047E">
        <w:rPr>
          <w:rFonts w:cs="Arial"/>
          <w:color w:val="000000"/>
          <w:szCs w:val="18"/>
        </w:rPr>
        <w:t>s</w:t>
      </w:r>
      <w:r>
        <w:rPr>
          <w:rFonts w:cs="Arial"/>
          <w:color w:val="000000"/>
          <w:szCs w:val="18"/>
        </w:rPr>
        <w:t xml:space="preserve">he had previously been granted residence in this capacity. </w:t>
      </w:r>
      <w:r w:rsidR="004E047E">
        <w:rPr>
          <w:rFonts w:cs="Arial"/>
          <w:color w:val="000000"/>
          <w:szCs w:val="18"/>
        </w:rPr>
        <w:t xml:space="preserve">She had also provided </w:t>
      </w:r>
      <w:r>
        <w:rPr>
          <w:rFonts w:cs="Arial"/>
          <w:color w:val="000000"/>
          <w:szCs w:val="18"/>
        </w:rPr>
        <w:t xml:space="preserve">a copy of a decree absolute which </w:t>
      </w:r>
      <w:r w:rsidR="004E047E">
        <w:rPr>
          <w:rFonts w:cs="Arial"/>
          <w:color w:val="000000"/>
          <w:szCs w:val="18"/>
        </w:rPr>
        <w:t>confirmed that s</w:t>
      </w:r>
      <w:r>
        <w:rPr>
          <w:rFonts w:cs="Arial"/>
          <w:color w:val="000000"/>
          <w:szCs w:val="18"/>
        </w:rPr>
        <w:t xml:space="preserve">he divorced </w:t>
      </w:r>
      <w:r w:rsidR="004E047E">
        <w:rPr>
          <w:rFonts w:cs="Arial"/>
          <w:color w:val="000000"/>
          <w:szCs w:val="18"/>
        </w:rPr>
        <w:t xml:space="preserve">her husband on 30 January </w:t>
      </w:r>
      <w:r>
        <w:rPr>
          <w:rFonts w:cs="Arial"/>
          <w:color w:val="000000"/>
          <w:szCs w:val="18"/>
        </w:rPr>
        <w:t>201</w:t>
      </w:r>
      <w:r w:rsidR="004E047E">
        <w:rPr>
          <w:rFonts w:cs="Arial"/>
          <w:color w:val="000000"/>
          <w:szCs w:val="18"/>
        </w:rPr>
        <w:t>5</w:t>
      </w:r>
      <w:r>
        <w:rPr>
          <w:rFonts w:cs="Arial"/>
          <w:color w:val="000000"/>
          <w:szCs w:val="18"/>
        </w:rPr>
        <w:t>.</w:t>
      </w:r>
      <w:r w:rsidR="004E047E">
        <w:rPr>
          <w:rFonts w:cs="Arial"/>
          <w:color w:val="000000"/>
          <w:szCs w:val="18"/>
        </w:rPr>
        <w:t xml:space="preserve"> Therefore, </w:t>
      </w:r>
      <w:r w:rsidR="006707C2">
        <w:rPr>
          <w:rFonts w:cs="Arial"/>
          <w:color w:val="000000"/>
          <w:szCs w:val="18"/>
        </w:rPr>
        <w:t xml:space="preserve">the marriage had lasted for at least three years. It was also not disputed that they had both resided in the United Kingdom for at least one year during their marriage. </w:t>
      </w:r>
    </w:p>
    <w:p w:rsidR="00B40296" w:rsidRDefault="00B40296" w:rsidP="001A2377">
      <w:pPr>
        <w:spacing w:line="360" w:lineRule="auto"/>
        <w:ind w:left="567" w:hanging="567"/>
        <w:jc w:val="both"/>
        <w:rPr>
          <w:rFonts w:cs="Arial"/>
          <w:b/>
          <w:color w:val="000000"/>
          <w:szCs w:val="18"/>
        </w:rPr>
      </w:pPr>
    </w:p>
    <w:p w:rsidR="00B40296" w:rsidRDefault="00B40296" w:rsidP="001A2377">
      <w:pPr>
        <w:spacing w:line="360" w:lineRule="auto"/>
        <w:ind w:left="567" w:hanging="567"/>
        <w:jc w:val="both"/>
        <w:rPr>
          <w:rFonts w:cs="Arial"/>
          <w:color w:val="000000"/>
          <w:szCs w:val="18"/>
        </w:rPr>
      </w:pPr>
      <w:r>
        <w:rPr>
          <w:rFonts w:cs="Arial"/>
          <w:color w:val="000000"/>
          <w:szCs w:val="18"/>
        </w:rPr>
        <w:t>6.</w:t>
      </w:r>
      <w:r>
        <w:rPr>
          <w:rFonts w:cs="Arial"/>
          <w:color w:val="000000"/>
          <w:szCs w:val="18"/>
        </w:rPr>
        <w:tab/>
        <w:t xml:space="preserve">In paragraph 18 of his decision, First-tier Tribunal Judge Miles also found that the Appellant’s former husband was self-employed as a plumber at the time of their divorce. </w:t>
      </w:r>
    </w:p>
    <w:p w:rsidR="00B40296" w:rsidRDefault="00B40296" w:rsidP="001A2377">
      <w:pPr>
        <w:spacing w:line="360" w:lineRule="auto"/>
        <w:ind w:left="567" w:hanging="567"/>
        <w:jc w:val="both"/>
        <w:rPr>
          <w:rFonts w:cs="Arial"/>
          <w:color w:val="000000"/>
          <w:szCs w:val="18"/>
        </w:rPr>
      </w:pPr>
    </w:p>
    <w:p w:rsidR="00B40296" w:rsidRDefault="00B40296" w:rsidP="001A2377">
      <w:pPr>
        <w:spacing w:line="360" w:lineRule="auto"/>
        <w:ind w:left="567" w:hanging="567"/>
        <w:jc w:val="both"/>
        <w:rPr>
          <w:rFonts w:cs="Arial"/>
          <w:color w:val="000000"/>
          <w:szCs w:val="18"/>
        </w:rPr>
      </w:pPr>
      <w:r>
        <w:rPr>
          <w:rFonts w:cs="Arial"/>
          <w:color w:val="000000"/>
          <w:szCs w:val="18"/>
        </w:rPr>
        <w:t>7.</w:t>
      </w:r>
      <w:r>
        <w:rPr>
          <w:rFonts w:cs="Arial"/>
          <w:color w:val="000000"/>
          <w:szCs w:val="18"/>
        </w:rPr>
        <w:tab/>
        <w:t xml:space="preserve">However, in paragraph 20 of his decision </w:t>
      </w:r>
      <w:r w:rsidR="00A75E2E">
        <w:rPr>
          <w:rFonts w:cs="Arial"/>
          <w:color w:val="000000"/>
          <w:szCs w:val="18"/>
        </w:rPr>
        <w:t>t</w:t>
      </w:r>
      <w:r>
        <w:rPr>
          <w:rFonts w:cs="Arial"/>
          <w:color w:val="000000"/>
          <w:szCs w:val="18"/>
        </w:rPr>
        <w:t xml:space="preserve">he </w:t>
      </w:r>
      <w:r w:rsidR="00A75E2E">
        <w:rPr>
          <w:rFonts w:cs="Arial"/>
          <w:color w:val="000000"/>
          <w:szCs w:val="18"/>
        </w:rPr>
        <w:t xml:space="preserve">First-tier Tribunal Judge </w:t>
      </w:r>
      <w:r>
        <w:rPr>
          <w:rFonts w:cs="Arial"/>
          <w:color w:val="000000"/>
          <w:szCs w:val="18"/>
        </w:rPr>
        <w:t>found that the Appellant was not employed at the time of the divorce and that her employment with the NHS had not started until 1 August 2015 and that she had not registered as a jobseeker between the date of her divorce and 1 August 2015.</w:t>
      </w:r>
    </w:p>
    <w:p w:rsidR="00B40296" w:rsidRDefault="00B40296" w:rsidP="001A2377">
      <w:pPr>
        <w:spacing w:line="360" w:lineRule="auto"/>
        <w:ind w:left="567" w:hanging="567"/>
        <w:jc w:val="both"/>
        <w:rPr>
          <w:rFonts w:cs="Arial"/>
          <w:color w:val="000000"/>
          <w:szCs w:val="18"/>
        </w:rPr>
      </w:pPr>
    </w:p>
    <w:p w:rsidR="00EA7217" w:rsidRDefault="00B40296" w:rsidP="001A2377">
      <w:pPr>
        <w:spacing w:line="360" w:lineRule="auto"/>
        <w:ind w:left="567" w:hanging="567"/>
        <w:jc w:val="both"/>
        <w:rPr>
          <w:rFonts w:cs="Arial"/>
          <w:color w:val="000000"/>
          <w:szCs w:val="18"/>
        </w:rPr>
      </w:pPr>
      <w:r>
        <w:rPr>
          <w:rFonts w:cs="Arial"/>
          <w:color w:val="000000"/>
          <w:szCs w:val="18"/>
        </w:rPr>
        <w:t>8.</w:t>
      </w:r>
      <w:r>
        <w:rPr>
          <w:rFonts w:cs="Arial"/>
          <w:color w:val="000000"/>
          <w:szCs w:val="18"/>
        </w:rPr>
        <w:tab/>
      </w:r>
      <w:r w:rsidR="00A75E2E">
        <w:rPr>
          <w:rFonts w:cs="Arial"/>
          <w:color w:val="000000"/>
          <w:szCs w:val="18"/>
        </w:rPr>
        <w:t xml:space="preserve">Counsel for the Appellant submitted that First-tier Tribunal Judge Miles had not given sufficient reasons for coming to this decision and had not taken into account all of the relevant evidence before him. </w:t>
      </w:r>
      <w:r w:rsidR="00EA7217">
        <w:rPr>
          <w:rFonts w:cs="Arial"/>
          <w:color w:val="000000"/>
          <w:szCs w:val="18"/>
        </w:rPr>
        <w:t>In paragraph 12 of his decision the First-tier Tribunal Judge had noted that in both of her witness statements the Appellant had stated that she had commenced her most recent employment on 11 February 2015. In paragraph 16 he also noted that there was a letter from her employer, which confirmed that she had started work on this date. However, the First-tier Tribunal Judge decided not to give weight to this evidence but to rely on one payslip, dated 14 August 2015</w:t>
      </w:r>
      <w:r w:rsidR="00410431">
        <w:rPr>
          <w:rFonts w:cs="Arial"/>
          <w:color w:val="000000"/>
          <w:szCs w:val="18"/>
        </w:rPr>
        <w:t xml:space="preserve">, which appeared to show that she had only received gross pay of £539.27 and taxable pay of £489.12 during the tax year up to 14 August 2015. </w:t>
      </w:r>
    </w:p>
    <w:p w:rsidR="00EA7217" w:rsidRDefault="00EA7217" w:rsidP="001A2377">
      <w:pPr>
        <w:spacing w:line="360" w:lineRule="auto"/>
        <w:ind w:left="567" w:hanging="567"/>
        <w:jc w:val="both"/>
        <w:rPr>
          <w:rFonts w:cs="Arial"/>
          <w:color w:val="000000"/>
          <w:szCs w:val="18"/>
        </w:rPr>
      </w:pPr>
    </w:p>
    <w:p w:rsidR="00B40296" w:rsidRDefault="00EA7217" w:rsidP="001A2377">
      <w:pPr>
        <w:spacing w:line="360" w:lineRule="auto"/>
        <w:ind w:left="567" w:hanging="567"/>
        <w:jc w:val="both"/>
        <w:rPr>
          <w:rFonts w:cs="Arial"/>
          <w:color w:val="000000"/>
          <w:szCs w:val="18"/>
        </w:rPr>
      </w:pPr>
      <w:r>
        <w:rPr>
          <w:rFonts w:cs="Arial"/>
          <w:color w:val="000000"/>
          <w:szCs w:val="18"/>
        </w:rPr>
        <w:t>9.</w:t>
      </w:r>
      <w:r>
        <w:rPr>
          <w:rFonts w:cs="Arial"/>
          <w:color w:val="000000"/>
          <w:szCs w:val="18"/>
        </w:rPr>
        <w:tab/>
      </w:r>
      <w:r w:rsidR="00410431">
        <w:rPr>
          <w:rFonts w:cs="Arial"/>
          <w:color w:val="000000"/>
          <w:szCs w:val="18"/>
        </w:rPr>
        <w:t xml:space="preserve">Taken on its own this payslip may </w:t>
      </w:r>
      <w:r>
        <w:rPr>
          <w:rFonts w:cs="Arial"/>
          <w:color w:val="000000"/>
          <w:szCs w:val="18"/>
        </w:rPr>
        <w:t xml:space="preserve">have </w:t>
      </w:r>
      <w:r w:rsidR="00410431">
        <w:rPr>
          <w:rFonts w:cs="Arial"/>
          <w:color w:val="000000"/>
          <w:szCs w:val="18"/>
        </w:rPr>
        <w:t>be</w:t>
      </w:r>
      <w:r>
        <w:rPr>
          <w:rFonts w:cs="Arial"/>
          <w:color w:val="000000"/>
          <w:szCs w:val="18"/>
        </w:rPr>
        <w:t>en</w:t>
      </w:r>
      <w:r w:rsidR="00410431">
        <w:rPr>
          <w:rFonts w:cs="Arial"/>
          <w:color w:val="000000"/>
          <w:szCs w:val="18"/>
        </w:rPr>
        <w:t xml:space="preserve"> capable of indicating that the Appellant had only just taken up </w:t>
      </w:r>
      <w:r>
        <w:rPr>
          <w:rFonts w:cs="Arial"/>
          <w:color w:val="000000"/>
          <w:szCs w:val="18"/>
        </w:rPr>
        <w:t>her employment shortly before this date</w:t>
      </w:r>
      <w:r w:rsidR="00410431">
        <w:rPr>
          <w:rFonts w:cs="Arial"/>
          <w:color w:val="000000"/>
          <w:szCs w:val="18"/>
        </w:rPr>
        <w:t xml:space="preserve">. However, </w:t>
      </w:r>
      <w:r>
        <w:rPr>
          <w:rFonts w:cs="Arial"/>
          <w:color w:val="000000"/>
          <w:szCs w:val="18"/>
        </w:rPr>
        <w:t xml:space="preserve">the First-tier Tribunal Judge needed to consider all of the evidence before him and the pay to date entered on this payslip </w:t>
      </w:r>
      <w:r w:rsidR="00410431">
        <w:rPr>
          <w:rFonts w:cs="Arial"/>
          <w:color w:val="000000"/>
          <w:szCs w:val="18"/>
        </w:rPr>
        <w:t>does not correlate with the fact that the payslip, dated 18 September 2015, just a month later</w:t>
      </w:r>
      <w:r>
        <w:rPr>
          <w:rFonts w:cs="Arial"/>
          <w:color w:val="000000"/>
          <w:szCs w:val="18"/>
        </w:rPr>
        <w:t>,</w:t>
      </w:r>
      <w:r w:rsidR="00410431">
        <w:rPr>
          <w:rFonts w:cs="Arial"/>
          <w:color w:val="000000"/>
          <w:szCs w:val="18"/>
        </w:rPr>
        <w:t xml:space="preserve"> shows that she had been paid £5,719.44 during the tax year to date and the payslip, dated 16 October 2015, indicates that her gross pay to date had been £9,255.28. These anomalies should have been noticed and explored by the First-tier Tribunal Judge but were not even mentioned. </w:t>
      </w:r>
    </w:p>
    <w:p w:rsidR="00410431" w:rsidRDefault="00410431" w:rsidP="001A2377">
      <w:pPr>
        <w:spacing w:line="360" w:lineRule="auto"/>
        <w:ind w:left="567" w:hanging="567"/>
        <w:jc w:val="both"/>
        <w:rPr>
          <w:rFonts w:cs="Arial"/>
          <w:color w:val="000000"/>
          <w:szCs w:val="18"/>
        </w:rPr>
      </w:pPr>
    </w:p>
    <w:p w:rsidR="00410431" w:rsidRPr="00B40296" w:rsidRDefault="00410431" w:rsidP="001A2377">
      <w:pPr>
        <w:spacing w:line="360" w:lineRule="auto"/>
        <w:ind w:left="567" w:hanging="567"/>
        <w:jc w:val="both"/>
        <w:rPr>
          <w:rFonts w:cs="Arial"/>
          <w:color w:val="000000"/>
          <w:szCs w:val="18"/>
        </w:rPr>
      </w:pPr>
      <w:r>
        <w:rPr>
          <w:rFonts w:cs="Arial"/>
          <w:color w:val="000000"/>
          <w:szCs w:val="18"/>
        </w:rPr>
        <w:t>10.</w:t>
      </w:r>
      <w:r>
        <w:rPr>
          <w:rFonts w:cs="Arial"/>
          <w:color w:val="000000"/>
          <w:szCs w:val="18"/>
        </w:rPr>
        <w:tab/>
      </w:r>
      <w:r w:rsidR="00EA7217">
        <w:rPr>
          <w:rFonts w:cs="Arial"/>
          <w:color w:val="000000"/>
          <w:szCs w:val="18"/>
        </w:rPr>
        <w:t xml:space="preserve">The anomalies in the payslips should also have been taken into account when considering whether to accept the Appellant’s own evidence in her witness statements and the supporting employer’s letter. </w:t>
      </w:r>
      <w:r>
        <w:rPr>
          <w:rFonts w:cs="Arial"/>
          <w:color w:val="000000"/>
          <w:szCs w:val="18"/>
        </w:rPr>
        <w:t>As a consequence</w:t>
      </w:r>
      <w:r w:rsidR="008D5E08">
        <w:rPr>
          <w:rFonts w:cs="Arial"/>
          <w:color w:val="000000"/>
          <w:szCs w:val="18"/>
        </w:rPr>
        <w:t>,</w:t>
      </w:r>
      <w:r>
        <w:rPr>
          <w:rFonts w:cs="Arial"/>
          <w:color w:val="000000"/>
          <w:szCs w:val="18"/>
        </w:rPr>
        <w:t xml:space="preserve"> </w:t>
      </w:r>
      <w:r w:rsidR="00EA7217">
        <w:rPr>
          <w:rFonts w:cs="Arial"/>
          <w:color w:val="000000"/>
          <w:szCs w:val="18"/>
        </w:rPr>
        <w:t>the First-tier Tribunal Judge’s</w:t>
      </w:r>
      <w:r>
        <w:rPr>
          <w:rFonts w:cs="Arial"/>
          <w:color w:val="000000"/>
          <w:szCs w:val="18"/>
        </w:rPr>
        <w:t xml:space="preserve"> findings in relation to regulation 10(6) were not sufficiently reasoned. </w:t>
      </w:r>
    </w:p>
    <w:p w:rsidR="001A2377" w:rsidRDefault="001A2377" w:rsidP="001A2377">
      <w:pPr>
        <w:spacing w:line="360" w:lineRule="auto"/>
        <w:ind w:left="567" w:hanging="567"/>
        <w:jc w:val="both"/>
        <w:rPr>
          <w:rFonts w:cs="Arial"/>
          <w:b/>
          <w:color w:val="000000"/>
          <w:szCs w:val="18"/>
        </w:rPr>
      </w:pPr>
    </w:p>
    <w:p w:rsidR="00461072" w:rsidRDefault="00461072" w:rsidP="00ED4DFD">
      <w:pPr>
        <w:spacing w:line="360" w:lineRule="auto"/>
        <w:ind w:left="567" w:hanging="567"/>
        <w:jc w:val="both"/>
        <w:rPr>
          <w:rFonts w:cs="Arial"/>
        </w:rPr>
      </w:pPr>
      <w:r>
        <w:rPr>
          <w:rFonts w:cs="Arial"/>
        </w:rPr>
        <w:t>1</w:t>
      </w:r>
      <w:r w:rsidR="00410431">
        <w:rPr>
          <w:rFonts w:cs="Arial"/>
        </w:rPr>
        <w:t>1</w:t>
      </w:r>
      <w:r>
        <w:rPr>
          <w:rFonts w:cs="Arial"/>
        </w:rPr>
        <w:t>.</w:t>
      </w:r>
      <w:r>
        <w:rPr>
          <w:rFonts w:cs="Arial"/>
        </w:rPr>
        <w:tab/>
      </w:r>
      <w:r w:rsidR="00EA7217">
        <w:rPr>
          <w:rFonts w:cs="Arial"/>
        </w:rPr>
        <w:t>Therefore</w:t>
      </w:r>
      <w:r>
        <w:rPr>
          <w:rFonts w:cs="Arial"/>
        </w:rPr>
        <w:t xml:space="preserve">, I find that First-tier Tribunal Judge </w:t>
      </w:r>
      <w:r w:rsidR="00410431">
        <w:rPr>
          <w:rFonts w:cs="Arial"/>
        </w:rPr>
        <w:t xml:space="preserve">Miles </w:t>
      </w:r>
      <w:r>
        <w:rPr>
          <w:rFonts w:cs="Arial"/>
        </w:rPr>
        <w:t>did make errors of law in h</w:t>
      </w:r>
      <w:r w:rsidR="00C1671B">
        <w:rPr>
          <w:rFonts w:cs="Arial"/>
        </w:rPr>
        <w:t>is</w:t>
      </w:r>
      <w:r>
        <w:rPr>
          <w:rFonts w:cs="Arial"/>
        </w:rPr>
        <w:t xml:space="preserve"> decision.</w:t>
      </w:r>
    </w:p>
    <w:p w:rsidR="00461072" w:rsidRDefault="0046107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b/>
        </w:rPr>
      </w:pPr>
      <w:r>
        <w:rPr>
          <w:rFonts w:cs="Arial"/>
          <w:b/>
        </w:rPr>
        <w:t>Decision</w:t>
      </w:r>
    </w:p>
    <w:p w:rsidR="00461072" w:rsidRDefault="00461072" w:rsidP="00ED4DFD">
      <w:pPr>
        <w:spacing w:line="360" w:lineRule="auto"/>
        <w:ind w:left="567" w:hanging="567"/>
        <w:jc w:val="both"/>
        <w:rPr>
          <w:rFonts w:cs="Arial"/>
          <w:b/>
        </w:rPr>
      </w:pPr>
    </w:p>
    <w:p w:rsidR="00461072" w:rsidRDefault="00461072" w:rsidP="00ED4DFD">
      <w:pPr>
        <w:spacing w:line="360" w:lineRule="auto"/>
        <w:ind w:left="567" w:hanging="567"/>
        <w:jc w:val="both"/>
        <w:rPr>
          <w:rFonts w:cs="Arial"/>
        </w:rPr>
      </w:pPr>
      <w:r>
        <w:rPr>
          <w:rFonts w:cs="Arial"/>
        </w:rPr>
        <w:t>(1)</w:t>
      </w:r>
      <w:r>
        <w:rPr>
          <w:rFonts w:cs="Arial"/>
        </w:rPr>
        <w:tab/>
        <w:t>The Appellant’s appeal is allowed.</w:t>
      </w:r>
    </w:p>
    <w:p w:rsidR="00461072" w:rsidRDefault="0046107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rPr>
      </w:pPr>
      <w:r>
        <w:rPr>
          <w:rFonts w:cs="Arial"/>
        </w:rPr>
        <w:t>(2)</w:t>
      </w:r>
      <w:r>
        <w:rPr>
          <w:rFonts w:cs="Arial"/>
        </w:rPr>
        <w:tab/>
        <w:t>The decision of First-tier Tribunal Judge</w:t>
      </w:r>
      <w:r w:rsidR="003B66B6">
        <w:rPr>
          <w:rFonts w:cs="Arial"/>
        </w:rPr>
        <w:t xml:space="preserve"> </w:t>
      </w:r>
      <w:r w:rsidR="006E2162">
        <w:rPr>
          <w:rFonts w:cs="Arial"/>
        </w:rPr>
        <w:t>Miles</w:t>
      </w:r>
      <w:r>
        <w:rPr>
          <w:rFonts w:cs="Arial"/>
        </w:rPr>
        <w:t xml:space="preserve"> is set aside</w:t>
      </w:r>
      <w:r w:rsidR="008D5E08">
        <w:rPr>
          <w:rFonts w:cs="Arial"/>
        </w:rPr>
        <w:t xml:space="preserve"> apart from his findings in paragraph 18 of his decision that the Appellant’s husband was self-employed as a plumber at the time of the divorce and that his self-employment started at the end of April 2012</w:t>
      </w:r>
      <w:r>
        <w:rPr>
          <w:rFonts w:cs="Arial"/>
        </w:rPr>
        <w:t>.</w:t>
      </w:r>
    </w:p>
    <w:p w:rsidR="00461072" w:rsidRDefault="0046107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rPr>
      </w:pPr>
      <w:r>
        <w:rPr>
          <w:rFonts w:cs="Arial"/>
        </w:rPr>
        <w:t>(3)</w:t>
      </w:r>
      <w:r>
        <w:rPr>
          <w:rFonts w:cs="Arial"/>
        </w:rPr>
        <w:tab/>
        <w:t xml:space="preserve">The appeal is remitted for a </w:t>
      </w:r>
      <w:r>
        <w:rPr>
          <w:rFonts w:cs="Arial"/>
          <w:i/>
        </w:rPr>
        <w:t xml:space="preserve">de novo </w:t>
      </w:r>
      <w:r>
        <w:rPr>
          <w:rFonts w:cs="Arial"/>
        </w:rPr>
        <w:t xml:space="preserve">hearing </w:t>
      </w:r>
      <w:r w:rsidR="008D5E08">
        <w:rPr>
          <w:rFonts w:cs="Arial"/>
        </w:rPr>
        <w:t xml:space="preserve">on all other issues </w:t>
      </w:r>
      <w:r>
        <w:rPr>
          <w:rFonts w:cs="Arial"/>
        </w:rPr>
        <w:t xml:space="preserve">before a First-tier Tribunal Judge other than First-tier Tribunal Judge </w:t>
      </w:r>
      <w:r w:rsidR="006E2162">
        <w:rPr>
          <w:rFonts w:cs="Arial"/>
        </w:rPr>
        <w:t>Miles</w:t>
      </w:r>
      <w:r>
        <w:rPr>
          <w:rFonts w:cs="Arial"/>
        </w:rPr>
        <w:t>.</w:t>
      </w:r>
    </w:p>
    <w:p w:rsidR="006E2162" w:rsidRDefault="006E2162" w:rsidP="00ED4DFD">
      <w:pPr>
        <w:spacing w:line="360" w:lineRule="auto"/>
        <w:ind w:left="567" w:hanging="567"/>
        <w:jc w:val="both"/>
        <w:rPr>
          <w:rFonts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Pr="00162CB6" w:rsidRDefault="003257CA" w:rsidP="00026E39">
      <w:pPr>
        <w:ind w:left="567" w:hanging="567"/>
        <w:jc w:val="both"/>
        <w:rPr>
          <w:rFonts w:ascii="Book Antiqua" w:hAnsi="Book Antiqua" w:cs="Arial"/>
        </w:rPr>
      </w:pPr>
    </w:p>
    <w:p w:rsidR="003257CA" w:rsidRDefault="003257C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C1671B">
        <w:rPr>
          <w:rFonts w:ascii="Book Antiqua" w:hAnsi="Book Antiqua" w:cs="Arial"/>
        </w:rPr>
        <w:t>3 September</w:t>
      </w:r>
      <w:r w:rsidR="0072305A">
        <w:rPr>
          <w:rFonts w:ascii="Book Antiqua" w:hAnsi="Book Antiqua" w:cs="Arial"/>
        </w:rPr>
        <w:t xml:space="preserve"> </w:t>
      </w:r>
      <w:r>
        <w:rPr>
          <w:rFonts w:ascii="Book Antiqua" w:hAnsi="Book Antiqua" w:cs="Arial"/>
        </w:rPr>
        <w:t>2018</w:t>
      </w:r>
    </w:p>
    <w:p w:rsidR="003257CA" w:rsidRDefault="003257CA" w:rsidP="00847259">
      <w:pPr>
        <w:jc w:val="both"/>
        <w:rPr>
          <w:rFonts w:ascii="Book Antiqua" w:hAnsi="Book Antiqua" w:cs="Arial"/>
        </w:rPr>
      </w:pPr>
    </w:p>
    <w:p w:rsidR="003257CA" w:rsidRDefault="003257CA" w:rsidP="00847259">
      <w:pPr>
        <w:jc w:val="both"/>
        <w:rPr>
          <w:rFonts w:ascii="Book Antiqua" w:hAnsi="Book Antiqua" w:cs="Arial"/>
          <w:color w:val="000000"/>
        </w:rPr>
      </w:pPr>
      <w:r>
        <w:rPr>
          <w:rFonts w:ascii="Book Antiqua" w:hAnsi="Book Antiqua" w:cs="Arial"/>
          <w:color w:val="000000"/>
        </w:rPr>
        <w:t xml:space="preserve">Upper Tribunal Judge Finch </w:t>
      </w:r>
    </w:p>
    <w:p w:rsidR="003257CA" w:rsidRDefault="003257CA" w:rsidP="00847259">
      <w:pPr>
        <w:jc w:val="both"/>
        <w:rPr>
          <w:rFonts w:ascii="Book Antiqua" w:hAnsi="Book Antiqua" w:cs="Arial"/>
          <w:color w:val="000000"/>
        </w:rPr>
      </w:pPr>
    </w:p>
    <w:p w:rsidR="003257CA" w:rsidRDefault="003257CA" w:rsidP="00847259">
      <w:pPr>
        <w:jc w:val="both"/>
        <w:rPr>
          <w:rFonts w:ascii="Book Antiqua" w:hAnsi="Book Antiqua" w:cs="Arial"/>
          <w:color w:val="000000"/>
        </w:rPr>
      </w:pPr>
    </w:p>
    <w:sectPr w:rsidR="003257CA" w:rsidSect="00F50916">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30B" w:rsidRDefault="00D7430B">
      <w:r>
        <w:separator/>
      </w:r>
    </w:p>
  </w:endnote>
  <w:endnote w:type="continuationSeparator" w:id="0">
    <w:p w:rsidR="00D7430B" w:rsidRDefault="00D74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172129"/>
      <w:docPartObj>
        <w:docPartGallery w:val="Page Numbers (Bottom of Page)"/>
        <w:docPartUnique/>
      </w:docPartObj>
    </w:sdtPr>
    <w:sdtEndPr>
      <w:rPr>
        <w:noProof/>
      </w:rPr>
    </w:sdtEndPr>
    <w:sdtContent>
      <w:p w:rsidR="00586308" w:rsidRDefault="00586308">
        <w:pPr>
          <w:pStyle w:val="Footer"/>
          <w:jc w:val="center"/>
        </w:pPr>
        <w:r>
          <w:fldChar w:fldCharType="begin"/>
        </w:r>
        <w:r>
          <w:instrText xml:space="preserve"> PAGE   \* MERGEFORMAT </w:instrText>
        </w:r>
        <w:r>
          <w:fldChar w:fldCharType="separate"/>
        </w:r>
        <w:r w:rsidR="002B12AF">
          <w:rPr>
            <w:noProof/>
          </w:rPr>
          <w:t>4</w:t>
        </w:r>
        <w:r>
          <w:rPr>
            <w:noProof/>
          </w:rPr>
          <w:fldChar w:fldCharType="end"/>
        </w:r>
      </w:p>
    </w:sdtContent>
  </w:sdt>
  <w:p w:rsidR="00586308" w:rsidRDefault="005863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916" w:rsidRDefault="00F50916" w:rsidP="00A82254">
    <w:pPr>
      <w:jc w:val="center"/>
      <w:rPr>
        <w:rFonts w:ascii="Book Antiqua" w:hAnsi="Book Antiqua" w:cs="Arial"/>
        <w:b/>
        <w:spacing w:val="-6"/>
      </w:rPr>
    </w:pPr>
  </w:p>
  <w:p w:rsidR="003257CA" w:rsidRPr="00F50916" w:rsidRDefault="003257CA" w:rsidP="00A82254">
    <w:pPr>
      <w:jc w:val="center"/>
      <w:rPr>
        <w:b/>
      </w:rPr>
    </w:pPr>
    <w:r w:rsidRPr="009B7433">
      <w:rPr>
        <w:rFonts w:ascii="Book Antiqua" w:hAnsi="Book Antiqua" w:cs="Arial"/>
        <w:b/>
        <w:spacing w:val="-6"/>
      </w:rPr>
      <w:t>©</w:t>
    </w:r>
    <w:r w:rsidR="00586308">
      <w:rPr>
        <w:rFonts w:ascii="Book Antiqua" w:hAnsi="Book Antiqua" w:cs="Arial"/>
        <w:b/>
      </w:rPr>
      <w:t xml:space="preserve"> </w:t>
    </w:r>
    <w:r w:rsidR="00586308" w:rsidRPr="00F50916">
      <w:rPr>
        <w:b/>
      </w:rPr>
      <w:t>CROWN COPYRIGHT 2018</w:t>
    </w:r>
  </w:p>
  <w:p w:rsidR="003257CA" w:rsidRPr="00F50916" w:rsidRDefault="00325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30B" w:rsidRDefault="00D7430B">
      <w:r>
        <w:separator/>
      </w:r>
    </w:p>
  </w:footnote>
  <w:footnote w:type="continuationSeparator" w:id="0">
    <w:p w:rsidR="00D7430B" w:rsidRDefault="00D74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Default="003257CA" w:rsidP="00F50916">
    <w:pPr>
      <w:jc w:val="right"/>
      <w:rPr>
        <w:rFonts w:cs="Arial"/>
        <w:color w:val="000000"/>
        <w:sz w:val="16"/>
        <w:szCs w:val="16"/>
      </w:rPr>
    </w:pPr>
    <w:r w:rsidRPr="00A82254">
      <w:rPr>
        <w:rFonts w:ascii="Book Antiqua" w:hAnsi="Book Antiqua" w:cs="Arial"/>
        <w:caps/>
        <w:color w:val="000000"/>
        <w:sz w:val="16"/>
        <w:szCs w:val="16"/>
      </w:rPr>
      <w:t xml:space="preserve"> </w:t>
    </w:r>
    <w:r>
      <w:rPr>
        <w:rFonts w:ascii="Book Antiqua" w:hAnsi="Book Antiqua" w:cs="Arial"/>
        <w:caps/>
        <w:color w:val="000000"/>
        <w:sz w:val="16"/>
        <w:szCs w:val="16"/>
      </w:rPr>
      <w:t xml:space="preserve">                                                                                                                                                               </w:t>
    </w:r>
    <w:r w:rsidRPr="00A82254">
      <w:rPr>
        <w:rFonts w:cs="Arial"/>
        <w:color w:val="000000"/>
        <w:sz w:val="16"/>
        <w:szCs w:val="16"/>
      </w:rPr>
      <w:t>Appeal Numbe</w:t>
    </w:r>
    <w:r w:rsidR="00CB6CFF">
      <w:rPr>
        <w:rFonts w:cs="Arial"/>
        <w:color w:val="000000"/>
        <w:sz w:val="16"/>
        <w:szCs w:val="16"/>
      </w:rPr>
      <w:t>r</w:t>
    </w:r>
    <w:r w:rsidR="00827B41">
      <w:rPr>
        <w:rFonts w:cs="Arial"/>
        <w:color w:val="000000"/>
        <w:sz w:val="16"/>
        <w:szCs w:val="16"/>
      </w:rPr>
      <w:t xml:space="preserve"> </w:t>
    </w:r>
    <w:r w:rsidR="006E2162">
      <w:rPr>
        <w:rFonts w:cs="Arial"/>
        <w:color w:val="000000"/>
        <w:sz w:val="16"/>
        <w:szCs w:val="16"/>
      </w:rPr>
      <w:t>EA/05861/2016</w:t>
    </w:r>
    <w:r w:rsidR="00F50916">
      <w:rPr>
        <w:rFonts w:cs="Arial"/>
        <w:color w:val="000000"/>
        <w:sz w:val="16"/>
        <w:szCs w:val="16"/>
      </w:rPr>
      <w:t xml:space="preserve"> </w:t>
    </w:r>
    <w:r>
      <w:rPr>
        <w:rFonts w:cs="Arial"/>
        <w:color w:val="000000"/>
        <w:sz w:val="16"/>
        <w:szCs w:val="16"/>
      </w:rPr>
      <w:t xml:space="preserve">                                                                                                                                                                                                                                                                                                                                                </w:t>
    </w:r>
  </w:p>
  <w:p w:rsidR="003257CA" w:rsidRDefault="003257CA" w:rsidP="00A82254">
    <w:pPr>
      <w:rPr>
        <w:rFonts w:cs="Arial"/>
        <w:color w:val="000000"/>
        <w:sz w:val="16"/>
        <w:szCs w:val="16"/>
      </w:rPr>
    </w:pPr>
    <w:r>
      <w:rPr>
        <w:rFonts w:cs="Arial"/>
        <w:color w:val="000000"/>
        <w:sz w:val="16"/>
        <w:szCs w:val="16"/>
      </w:rPr>
      <w:t xml:space="preserve">                                                                                                                                                                                                                     </w:t>
    </w:r>
  </w:p>
  <w:p w:rsidR="003257CA" w:rsidRPr="00A82254" w:rsidRDefault="003257CA" w:rsidP="00A82254">
    <w:pPr>
      <w:rPr>
        <w:rFonts w:cs="Arial"/>
        <w:color w:val="000000"/>
        <w:sz w:val="16"/>
        <w:szCs w:val="16"/>
      </w:rPr>
    </w:pPr>
    <w:r>
      <w:rPr>
        <w:rFonts w:cs="Arial"/>
        <w:color w:val="000000"/>
        <w:sz w:val="16"/>
        <w:szCs w:val="16"/>
      </w:rPr>
      <w:t xml:space="preserve">                                                                                                                                                                                                                 </w:t>
    </w:r>
  </w:p>
  <w:p w:rsidR="003257CA" w:rsidRDefault="00325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7"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3F8A"/>
    <w:rsid w:val="00005C5B"/>
    <w:rsid w:val="00011C5D"/>
    <w:rsid w:val="00013EFF"/>
    <w:rsid w:val="00014893"/>
    <w:rsid w:val="00016BC5"/>
    <w:rsid w:val="00025E48"/>
    <w:rsid w:val="00026E39"/>
    <w:rsid w:val="00033D3D"/>
    <w:rsid w:val="0003772C"/>
    <w:rsid w:val="00040A6C"/>
    <w:rsid w:val="000428C0"/>
    <w:rsid w:val="00045E7E"/>
    <w:rsid w:val="00046575"/>
    <w:rsid w:val="00052233"/>
    <w:rsid w:val="00062F02"/>
    <w:rsid w:val="00071A7E"/>
    <w:rsid w:val="000746C0"/>
    <w:rsid w:val="0007473F"/>
    <w:rsid w:val="000747FB"/>
    <w:rsid w:val="00074D1D"/>
    <w:rsid w:val="00081F3E"/>
    <w:rsid w:val="00087721"/>
    <w:rsid w:val="0009081B"/>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D4BC9"/>
    <w:rsid w:val="000D5D94"/>
    <w:rsid w:val="000E101D"/>
    <w:rsid w:val="000E3A77"/>
    <w:rsid w:val="000F1A0E"/>
    <w:rsid w:val="0010028C"/>
    <w:rsid w:val="00100617"/>
    <w:rsid w:val="001069F9"/>
    <w:rsid w:val="00106C24"/>
    <w:rsid w:val="001107AD"/>
    <w:rsid w:val="00111206"/>
    <w:rsid w:val="00111800"/>
    <w:rsid w:val="0011268F"/>
    <w:rsid w:val="0011302C"/>
    <w:rsid w:val="00114C50"/>
    <w:rsid w:val="001165A7"/>
    <w:rsid w:val="001207DF"/>
    <w:rsid w:val="00120A12"/>
    <w:rsid w:val="00121A51"/>
    <w:rsid w:val="001222AE"/>
    <w:rsid w:val="00124BCD"/>
    <w:rsid w:val="00125B37"/>
    <w:rsid w:val="001263DC"/>
    <w:rsid w:val="0012789B"/>
    <w:rsid w:val="00133911"/>
    <w:rsid w:val="00135190"/>
    <w:rsid w:val="001430C7"/>
    <w:rsid w:val="00144A8F"/>
    <w:rsid w:val="0014653D"/>
    <w:rsid w:val="001501EB"/>
    <w:rsid w:val="00151509"/>
    <w:rsid w:val="001521D5"/>
    <w:rsid w:val="00161D7A"/>
    <w:rsid w:val="00162CB6"/>
    <w:rsid w:val="00166E37"/>
    <w:rsid w:val="00167D3A"/>
    <w:rsid w:val="00173946"/>
    <w:rsid w:val="00174D95"/>
    <w:rsid w:val="00176B08"/>
    <w:rsid w:val="00183704"/>
    <w:rsid w:val="001971C8"/>
    <w:rsid w:val="001A19A9"/>
    <w:rsid w:val="001A2377"/>
    <w:rsid w:val="001A2558"/>
    <w:rsid w:val="001A3082"/>
    <w:rsid w:val="001B091F"/>
    <w:rsid w:val="001B186A"/>
    <w:rsid w:val="001B2F75"/>
    <w:rsid w:val="001B5021"/>
    <w:rsid w:val="001B6A67"/>
    <w:rsid w:val="001B768F"/>
    <w:rsid w:val="001C5143"/>
    <w:rsid w:val="001D6CFF"/>
    <w:rsid w:val="001F245E"/>
    <w:rsid w:val="001F2716"/>
    <w:rsid w:val="00200BD4"/>
    <w:rsid w:val="00203467"/>
    <w:rsid w:val="002035ED"/>
    <w:rsid w:val="00206D4A"/>
    <w:rsid w:val="00207617"/>
    <w:rsid w:val="0021618E"/>
    <w:rsid w:val="002165E3"/>
    <w:rsid w:val="00217865"/>
    <w:rsid w:val="00224D49"/>
    <w:rsid w:val="0023134B"/>
    <w:rsid w:val="00234FD6"/>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A5013"/>
    <w:rsid w:val="002A78E2"/>
    <w:rsid w:val="002B12AF"/>
    <w:rsid w:val="002B144D"/>
    <w:rsid w:val="002B342D"/>
    <w:rsid w:val="002C6BD4"/>
    <w:rsid w:val="002D083B"/>
    <w:rsid w:val="002D0E6D"/>
    <w:rsid w:val="002D56FD"/>
    <w:rsid w:val="002D68BF"/>
    <w:rsid w:val="002D6C34"/>
    <w:rsid w:val="002E7EA9"/>
    <w:rsid w:val="002F0F14"/>
    <w:rsid w:val="002F3955"/>
    <w:rsid w:val="002F6B98"/>
    <w:rsid w:val="002F7BBB"/>
    <w:rsid w:val="00300D36"/>
    <w:rsid w:val="00300EFA"/>
    <w:rsid w:val="00303BAF"/>
    <w:rsid w:val="00321375"/>
    <w:rsid w:val="00322667"/>
    <w:rsid w:val="003257CA"/>
    <w:rsid w:val="003343B2"/>
    <w:rsid w:val="00334F0C"/>
    <w:rsid w:val="00335737"/>
    <w:rsid w:val="00336CBF"/>
    <w:rsid w:val="00343FE3"/>
    <w:rsid w:val="0034796B"/>
    <w:rsid w:val="00353B0E"/>
    <w:rsid w:val="003546C8"/>
    <w:rsid w:val="003626A1"/>
    <w:rsid w:val="00363410"/>
    <w:rsid w:val="00364F8E"/>
    <w:rsid w:val="0037519F"/>
    <w:rsid w:val="00376618"/>
    <w:rsid w:val="00376763"/>
    <w:rsid w:val="00384748"/>
    <w:rsid w:val="003863F7"/>
    <w:rsid w:val="00390A01"/>
    <w:rsid w:val="00394E67"/>
    <w:rsid w:val="00395C30"/>
    <w:rsid w:val="003A0375"/>
    <w:rsid w:val="003A2699"/>
    <w:rsid w:val="003A7CF2"/>
    <w:rsid w:val="003B66B6"/>
    <w:rsid w:val="003C11AC"/>
    <w:rsid w:val="003C5CE5"/>
    <w:rsid w:val="003D3F1E"/>
    <w:rsid w:val="003D44E2"/>
    <w:rsid w:val="003D461D"/>
    <w:rsid w:val="003D549E"/>
    <w:rsid w:val="003E015F"/>
    <w:rsid w:val="003E267B"/>
    <w:rsid w:val="003E3C30"/>
    <w:rsid w:val="003E7CC8"/>
    <w:rsid w:val="003E7CD1"/>
    <w:rsid w:val="003F4C61"/>
    <w:rsid w:val="00401DA1"/>
    <w:rsid w:val="00402B9E"/>
    <w:rsid w:val="00404B61"/>
    <w:rsid w:val="00410431"/>
    <w:rsid w:val="00415CC5"/>
    <w:rsid w:val="00420202"/>
    <w:rsid w:val="00420216"/>
    <w:rsid w:val="00424168"/>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5568B"/>
    <w:rsid w:val="0046060F"/>
    <w:rsid w:val="00461072"/>
    <w:rsid w:val="00464DE1"/>
    <w:rsid w:val="004672C1"/>
    <w:rsid w:val="00471E3C"/>
    <w:rsid w:val="00473BE7"/>
    <w:rsid w:val="00477193"/>
    <w:rsid w:val="00484940"/>
    <w:rsid w:val="004931D1"/>
    <w:rsid w:val="004A00B4"/>
    <w:rsid w:val="004A1848"/>
    <w:rsid w:val="004A1985"/>
    <w:rsid w:val="004A34EE"/>
    <w:rsid w:val="004A4385"/>
    <w:rsid w:val="004A6F4A"/>
    <w:rsid w:val="004B2449"/>
    <w:rsid w:val="004B5275"/>
    <w:rsid w:val="004B66BF"/>
    <w:rsid w:val="004B7E8C"/>
    <w:rsid w:val="004C0AB4"/>
    <w:rsid w:val="004C1D93"/>
    <w:rsid w:val="004C5D11"/>
    <w:rsid w:val="004C6EC3"/>
    <w:rsid w:val="004E047E"/>
    <w:rsid w:val="004E1E3A"/>
    <w:rsid w:val="004E2190"/>
    <w:rsid w:val="004E4717"/>
    <w:rsid w:val="004F3592"/>
    <w:rsid w:val="004F55F8"/>
    <w:rsid w:val="004F672C"/>
    <w:rsid w:val="004F74EC"/>
    <w:rsid w:val="005016E0"/>
    <w:rsid w:val="0050334D"/>
    <w:rsid w:val="0050388A"/>
    <w:rsid w:val="00507FEC"/>
    <w:rsid w:val="00510339"/>
    <w:rsid w:val="00510F0E"/>
    <w:rsid w:val="00511050"/>
    <w:rsid w:val="00513E1D"/>
    <w:rsid w:val="0051653A"/>
    <w:rsid w:val="00516A49"/>
    <w:rsid w:val="005171BD"/>
    <w:rsid w:val="005256BD"/>
    <w:rsid w:val="00536F43"/>
    <w:rsid w:val="00537E50"/>
    <w:rsid w:val="005420FD"/>
    <w:rsid w:val="00543C6E"/>
    <w:rsid w:val="00543D39"/>
    <w:rsid w:val="00547222"/>
    <w:rsid w:val="005473D4"/>
    <w:rsid w:val="005479E1"/>
    <w:rsid w:val="00553E0A"/>
    <w:rsid w:val="00556B0D"/>
    <w:rsid w:val="005570FD"/>
    <w:rsid w:val="005575EA"/>
    <w:rsid w:val="005611D9"/>
    <w:rsid w:val="005630AD"/>
    <w:rsid w:val="0056365B"/>
    <w:rsid w:val="00565359"/>
    <w:rsid w:val="005653A9"/>
    <w:rsid w:val="005661A7"/>
    <w:rsid w:val="0056624B"/>
    <w:rsid w:val="00571979"/>
    <w:rsid w:val="0057790C"/>
    <w:rsid w:val="00586308"/>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F3EB4"/>
    <w:rsid w:val="005F7557"/>
    <w:rsid w:val="00601D8F"/>
    <w:rsid w:val="00602C67"/>
    <w:rsid w:val="00602FB3"/>
    <w:rsid w:val="0060435A"/>
    <w:rsid w:val="00604A30"/>
    <w:rsid w:val="00606611"/>
    <w:rsid w:val="00610B20"/>
    <w:rsid w:val="0062078F"/>
    <w:rsid w:val="00621D2B"/>
    <w:rsid w:val="00627B05"/>
    <w:rsid w:val="0063325D"/>
    <w:rsid w:val="00636BB7"/>
    <w:rsid w:val="006408F7"/>
    <w:rsid w:val="00643D0C"/>
    <w:rsid w:val="00643F31"/>
    <w:rsid w:val="00646D54"/>
    <w:rsid w:val="006479DD"/>
    <w:rsid w:val="00652381"/>
    <w:rsid w:val="00653E97"/>
    <w:rsid w:val="006705BC"/>
    <w:rsid w:val="006707C2"/>
    <w:rsid w:val="00672884"/>
    <w:rsid w:val="00681052"/>
    <w:rsid w:val="00684A74"/>
    <w:rsid w:val="0068698E"/>
    <w:rsid w:val="0068707D"/>
    <w:rsid w:val="00690B8A"/>
    <w:rsid w:val="00693BA8"/>
    <w:rsid w:val="006B2C82"/>
    <w:rsid w:val="006B3E15"/>
    <w:rsid w:val="006C00E3"/>
    <w:rsid w:val="006C0A52"/>
    <w:rsid w:val="006C2275"/>
    <w:rsid w:val="006C5055"/>
    <w:rsid w:val="006C7066"/>
    <w:rsid w:val="006D091B"/>
    <w:rsid w:val="006E2162"/>
    <w:rsid w:val="006E47C4"/>
    <w:rsid w:val="006F2CF1"/>
    <w:rsid w:val="006F73F1"/>
    <w:rsid w:val="00701A03"/>
    <w:rsid w:val="00702792"/>
    <w:rsid w:val="00702B91"/>
    <w:rsid w:val="00703184"/>
    <w:rsid w:val="007038ED"/>
    <w:rsid w:val="00703BC3"/>
    <w:rsid w:val="00704B61"/>
    <w:rsid w:val="00705AFB"/>
    <w:rsid w:val="0072305A"/>
    <w:rsid w:val="00724968"/>
    <w:rsid w:val="00725575"/>
    <w:rsid w:val="007276FF"/>
    <w:rsid w:val="007326A3"/>
    <w:rsid w:val="0073719A"/>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100A"/>
    <w:rsid w:val="007A5C26"/>
    <w:rsid w:val="007B0824"/>
    <w:rsid w:val="007B0DDF"/>
    <w:rsid w:val="007B2BD6"/>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EF2"/>
    <w:rsid w:val="00826B2A"/>
    <w:rsid w:val="00827025"/>
    <w:rsid w:val="00827B41"/>
    <w:rsid w:val="00827F67"/>
    <w:rsid w:val="008303B8"/>
    <w:rsid w:val="00830810"/>
    <w:rsid w:val="00831918"/>
    <w:rsid w:val="00831E27"/>
    <w:rsid w:val="00833D8D"/>
    <w:rsid w:val="00833DCE"/>
    <w:rsid w:val="00841072"/>
    <w:rsid w:val="00847259"/>
    <w:rsid w:val="008478F6"/>
    <w:rsid w:val="008516F1"/>
    <w:rsid w:val="008537F9"/>
    <w:rsid w:val="00854534"/>
    <w:rsid w:val="00854894"/>
    <w:rsid w:val="008566D0"/>
    <w:rsid w:val="0086738E"/>
    <w:rsid w:val="00871063"/>
    <w:rsid w:val="00871D34"/>
    <w:rsid w:val="00874D45"/>
    <w:rsid w:val="0087528C"/>
    <w:rsid w:val="00877198"/>
    <w:rsid w:val="00881860"/>
    <w:rsid w:val="00883306"/>
    <w:rsid w:val="00891016"/>
    <w:rsid w:val="0089348F"/>
    <w:rsid w:val="00897C8C"/>
    <w:rsid w:val="008A2695"/>
    <w:rsid w:val="008A7E3E"/>
    <w:rsid w:val="008B270C"/>
    <w:rsid w:val="008B2F0F"/>
    <w:rsid w:val="008B5078"/>
    <w:rsid w:val="008C12BC"/>
    <w:rsid w:val="008C3D3D"/>
    <w:rsid w:val="008D1135"/>
    <w:rsid w:val="008D4131"/>
    <w:rsid w:val="008D5E08"/>
    <w:rsid w:val="008E0286"/>
    <w:rsid w:val="008E7B93"/>
    <w:rsid w:val="008F1932"/>
    <w:rsid w:val="008F1BDC"/>
    <w:rsid w:val="008F48D0"/>
    <w:rsid w:val="008F4C67"/>
    <w:rsid w:val="008F6C0F"/>
    <w:rsid w:val="00901A46"/>
    <w:rsid w:val="00913B3E"/>
    <w:rsid w:val="00920EC0"/>
    <w:rsid w:val="00921062"/>
    <w:rsid w:val="00921E1F"/>
    <w:rsid w:val="00922444"/>
    <w:rsid w:val="009239B0"/>
    <w:rsid w:val="00924D93"/>
    <w:rsid w:val="009276B8"/>
    <w:rsid w:val="00947565"/>
    <w:rsid w:val="00950F7D"/>
    <w:rsid w:val="009530C8"/>
    <w:rsid w:val="00953E15"/>
    <w:rsid w:val="00956C43"/>
    <w:rsid w:val="009604E6"/>
    <w:rsid w:val="00961434"/>
    <w:rsid w:val="009617A1"/>
    <w:rsid w:val="00963E6D"/>
    <w:rsid w:val="00963ED3"/>
    <w:rsid w:val="00963F7F"/>
    <w:rsid w:val="00965C3E"/>
    <w:rsid w:val="009722BC"/>
    <w:rsid w:val="009727A3"/>
    <w:rsid w:val="00974225"/>
    <w:rsid w:val="00975316"/>
    <w:rsid w:val="009771B1"/>
    <w:rsid w:val="00980665"/>
    <w:rsid w:val="00984B68"/>
    <w:rsid w:val="00984E64"/>
    <w:rsid w:val="00987774"/>
    <w:rsid w:val="0099516E"/>
    <w:rsid w:val="009A11E8"/>
    <w:rsid w:val="009A244B"/>
    <w:rsid w:val="009A6060"/>
    <w:rsid w:val="009B0A37"/>
    <w:rsid w:val="009B443B"/>
    <w:rsid w:val="009B7433"/>
    <w:rsid w:val="009C0687"/>
    <w:rsid w:val="009D1EA3"/>
    <w:rsid w:val="009D341B"/>
    <w:rsid w:val="009E7D56"/>
    <w:rsid w:val="009F45F1"/>
    <w:rsid w:val="009F5220"/>
    <w:rsid w:val="009F6F01"/>
    <w:rsid w:val="009F7540"/>
    <w:rsid w:val="00A0236C"/>
    <w:rsid w:val="00A11735"/>
    <w:rsid w:val="00A11B3C"/>
    <w:rsid w:val="00A13119"/>
    <w:rsid w:val="00A15234"/>
    <w:rsid w:val="00A201AB"/>
    <w:rsid w:val="00A2642D"/>
    <w:rsid w:val="00A31C8B"/>
    <w:rsid w:val="00A32CD1"/>
    <w:rsid w:val="00A40BC5"/>
    <w:rsid w:val="00A46E02"/>
    <w:rsid w:val="00A509FA"/>
    <w:rsid w:val="00A53185"/>
    <w:rsid w:val="00A54BD6"/>
    <w:rsid w:val="00A564E3"/>
    <w:rsid w:val="00A575DA"/>
    <w:rsid w:val="00A57B5D"/>
    <w:rsid w:val="00A6017F"/>
    <w:rsid w:val="00A61FE2"/>
    <w:rsid w:val="00A6486B"/>
    <w:rsid w:val="00A659B5"/>
    <w:rsid w:val="00A6642A"/>
    <w:rsid w:val="00A743D3"/>
    <w:rsid w:val="00A759FF"/>
    <w:rsid w:val="00A75BCD"/>
    <w:rsid w:val="00A75E2E"/>
    <w:rsid w:val="00A80595"/>
    <w:rsid w:val="00A82254"/>
    <w:rsid w:val="00A845DC"/>
    <w:rsid w:val="00A872EE"/>
    <w:rsid w:val="00A92942"/>
    <w:rsid w:val="00AA14AD"/>
    <w:rsid w:val="00AA557A"/>
    <w:rsid w:val="00AA708B"/>
    <w:rsid w:val="00AA77BE"/>
    <w:rsid w:val="00AB0C35"/>
    <w:rsid w:val="00AB20E4"/>
    <w:rsid w:val="00AC217A"/>
    <w:rsid w:val="00AC6BAA"/>
    <w:rsid w:val="00AC6CDD"/>
    <w:rsid w:val="00AD5231"/>
    <w:rsid w:val="00AD5B45"/>
    <w:rsid w:val="00AD7BB2"/>
    <w:rsid w:val="00AE1861"/>
    <w:rsid w:val="00AE47FD"/>
    <w:rsid w:val="00AE6DDE"/>
    <w:rsid w:val="00AE7D0A"/>
    <w:rsid w:val="00AE7D4D"/>
    <w:rsid w:val="00AF6109"/>
    <w:rsid w:val="00B03D62"/>
    <w:rsid w:val="00B04B47"/>
    <w:rsid w:val="00B04BD3"/>
    <w:rsid w:val="00B14A0F"/>
    <w:rsid w:val="00B14DB5"/>
    <w:rsid w:val="00B25CB9"/>
    <w:rsid w:val="00B26AA2"/>
    <w:rsid w:val="00B30647"/>
    <w:rsid w:val="00B3313B"/>
    <w:rsid w:val="00B34549"/>
    <w:rsid w:val="00B345E5"/>
    <w:rsid w:val="00B3524D"/>
    <w:rsid w:val="00B354CC"/>
    <w:rsid w:val="00B40296"/>
    <w:rsid w:val="00B40F69"/>
    <w:rsid w:val="00B40FFF"/>
    <w:rsid w:val="00B46616"/>
    <w:rsid w:val="00B478BC"/>
    <w:rsid w:val="00B50946"/>
    <w:rsid w:val="00B515A8"/>
    <w:rsid w:val="00B5248D"/>
    <w:rsid w:val="00B601E0"/>
    <w:rsid w:val="00B62149"/>
    <w:rsid w:val="00B64E78"/>
    <w:rsid w:val="00B7040A"/>
    <w:rsid w:val="00B73518"/>
    <w:rsid w:val="00B83391"/>
    <w:rsid w:val="00B84192"/>
    <w:rsid w:val="00B84A71"/>
    <w:rsid w:val="00B87C01"/>
    <w:rsid w:val="00B93154"/>
    <w:rsid w:val="00B95326"/>
    <w:rsid w:val="00B97CED"/>
    <w:rsid w:val="00BA295F"/>
    <w:rsid w:val="00BB5234"/>
    <w:rsid w:val="00BB7A60"/>
    <w:rsid w:val="00BB7C68"/>
    <w:rsid w:val="00BC042A"/>
    <w:rsid w:val="00BD4196"/>
    <w:rsid w:val="00BE0FBA"/>
    <w:rsid w:val="00BE10F9"/>
    <w:rsid w:val="00BE2D7D"/>
    <w:rsid w:val="00BE6E17"/>
    <w:rsid w:val="00BF023D"/>
    <w:rsid w:val="00BF21F8"/>
    <w:rsid w:val="00BF22CA"/>
    <w:rsid w:val="00BF23BB"/>
    <w:rsid w:val="00BF4F4A"/>
    <w:rsid w:val="00BF55CC"/>
    <w:rsid w:val="00BF5EFB"/>
    <w:rsid w:val="00BF66E5"/>
    <w:rsid w:val="00BF6E43"/>
    <w:rsid w:val="00C00C8D"/>
    <w:rsid w:val="00C027FD"/>
    <w:rsid w:val="00C06CD7"/>
    <w:rsid w:val="00C13AB5"/>
    <w:rsid w:val="00C15C10"/>
    <w:rsid w:val="00C1671B"/>
    <w:rsid w:val="00C17D15"/>
    <w:rsid w:val="00C222E1"/>
    <w:rsid w:val="00C26032"/>
    <w:rsid w:val="00C32F37"/>
    <w:rsid w:val="00C33454"/>
    <w:rsid w:val="00C345E1"/>
    <w:rsid w:val="00C355A8"/>
    <w:rsid w:val="00C43662"/>
    <w:rsid w:val="00C43BFD"/>
    <w:rsid w:val="00C53074"/>
    <w:rsid w:val="00C63FCE"/>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1B9B"/>
    <w:rsid w:val="00CE3602"/>
    <w:rsid w:val="00CE5824"/>
    <w:rsid w:val="00CF20B6"/>
    <w:rsid w:val="00D01A25"/>
    <w:rsid w:val="00D02511"/>
    <w:rsid w:val="00D06C8C"/>
    <w:rsid w:val="00D11C22"/>
    <w:rsid w:val="00D17E9D"/>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430B"/>
    <w:rsid w:val="00D748ED"/>
    <w:rsid w:val="00D7506F"/>
    <w:rsid w:val="00D76EB4"/>
    <w:rsid w:val="00D80907"/>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6345"/>
    <w:rsid w:val="00DE7DB7"/>
    <w:rsid w:val="00DF01B2"/>
    <w:rsid w:val="00DF09E9"/>
    <w:rsid w:val="00DF0EC0"/>
    <w:rsid w:val="00DF7CE2"/>
    <w:rsid w:val="00E00973"/>
    <w:rsid w:val="00E00A0A"/>
    <w:rsid w:val="00E03875"/>
    <w:rsid w:val="00E066DE"/>
    <w:rsid w:val="00E07F57"/>
    <w:rsid w:val="00E142AF"/>
    <w:rsid w:val="00E14C03"/>
    <w:rsid w:val="00E17463"/>
    <w:rsid w:val="00E17E24"/>
    <w:rsid w:val="00E25182"/>
    <w:rsid w:val="00E25D2E"/>
    <w:rsid w:val="00E30683"/>
    <w:rsid w:val="00E453D8"/>
    <w:rsid w:val="00E47401"/>
    <w:rsid w:val="00E50BCE"/>
    <w:rsid w:val="00E51F18"/>
    <w:rsid w:val="00E52B70"/>
    <w:rsid w:val="00E574BF"/>
    <w:rsid w:val="00E57959"/>
    <w:rsid w:val="00E61292"/>
    <w:rsid w:val="00E61AB9"/>
    <w:rsid w:val="00E6703A"/>
    <w:rsid w:val="00E67616"/>
    <w:rsid w:val="00E75E86"/>
    <w:rsid w:val="00E77C4D"/>
    <w:rsid w:val="00E81D01"/>
    <w:rsid w:val="00E83B41"/>
    <w:rsid w:val="00E841E4"/>
    <w:rsid w:val="00E845A5"/>
    <w:rsid w:val="00E848CE"/>
    <w:rsid w:val="00E85E57"/>
    <w:rsid w:val="00E95E09"/>
    <w:rsid w:val="00EA4A5B"/>
    <w:rsid w:val="00EA53CE"/>
    <w:rsid w:val="00EA7217"/>
    <w:rsid w:val="00EB1955"/>
    <w:rsid w:val="00EB5DB7"/>
    <w:rsid w:val="00EB5FC7"/>
    <w:rsid w:val="00EB71D2"/>
    <w:rsid w:val="00EB772A"/>
    <w:rsid w:val="00EC0100"/>
    <w:rsid w:val="00EC3926"/>
    <w:rsid w:val="00EC7B40"/>
    <w:rsid w:val="00ED345E"/>
    <w:rsid w:val="00ED4DFD"/>
    <w:rsid w:val="00ED5594"/>
    <w:rsid w:val="00ED56AC"/>
    <w:rsid w:val="00ED5C52"/>
    <w:rsid w:val="00ED7C65"/>
    <w:rsid w:val="00EE1E3E"/>
    <w:rsid w:val="00EE45D8"/>
    <w:rsid w:val="00EF118C"/>
    <w:rsid w:val="00EF488C"/>
    <w:rsid w:val="00EF49CF"/>
    <w:rsid w:val="00F040D9"/>
    <w:rsid w:val="00F115EC"/>
    <w:rsid w:val="00F15CE3"/>
    <w:rsid w:val="00F179F0"/>
    <w:rsid w:val="00F22EDA"/>
    <w:rsid w:val="00F246FD"/>
    <w:rsid w:val="00F301F6"/>
    <w:rsid w:val="00F34B59"/>
    <w:rsid w:val="00F41E63"/>
    <w:rsid w:val="00F50916"/>
    <w:rsid w:val="00F563E7"/>
    <w:rsid w:val="00F63267"/>
    <w:rsid w:val="00F729E6"/>
    <w:rsid w:val="00F72ABC"/>
    <w:rsid w:val="00F74FA7"/>
    <w:rsid w:val="00F75D7A"/>
    <w:rsid w:val="00F760DA"/>
    <w:rsid w:val="00F84B01"/>
    <w:rsid w:val="00F85BA0"/>
    <w:rsid w:val="00F86A0A"/>
    <w:rsid w:val="00F97364"/>
    <w:rsid w:val="00FA040C"/>
    <w:rsid w:val="00FA1DB5"/>
    <w:rsid w:val="00FA2D5F"/>
    <w:rsid w:val="00FA608B"/>
    <w:rsid w:val="00FA6DBD"/>
    <w:rsid w:val="00FB05E3"/>
    <w:rsid w:val="00FB66A9"/>
    <w:rsid w:val="00FB6DB1"/>
    <w:rsid w:val="00FC244D"/>
    <w:rsid w:val="00FC4DDB"/>
    <w:rsid w:val="00FD3222"/>
    <w:rsid w:val="00FE20E0"/>
    <w:rsid w:val="00FE53D1"/>
    <w:rsid w:val="00FE7A43"/>
    <w:rsid w:val="00FF152B"/>
    <w:rsid w:val="00FF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8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customStyle="1" w:styleId="legclearfix">
    <w:name w:val="legclearfix"/>
    <w:basedOn w:val="Normal"/>
    <w:rsid w:val="004A4385"/>
    <w:pPr>
      <w:spacing w:before="100" w:beforeAutospacing="1" w:after="100" w:afterAutospacing="1"/>
    </w:pPr>
  </w:style>
  <w:style w:type="paragraph" w:customStyle="1" w:styleId="legp2paratext">
    <w:name w:val="legp2paratext"/>
    <w:basedOn w:val="Normal"/>
    <w:rsid w:val="001A2377"/>
    <w:pPr>
      <w:spacing w:before="100" w:beforeAutospacing="1" w:after="100" w:afterAutospacing="1"/>
    </w:pPr>
  </w:style>
  <w:style w:type="character" w:customStyle="1" w:styleId="legds">
    <w:name w:val="legds"/>
    <w:basedOn w:val="DefaultParagraphFont"/>
    <w:rsid w:val="001A2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946347707">
      <w:bodyDiv w:val="1"/>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 w:id="20425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6369</Characters>
  <Application>Microsoft Office Word</Application>
  <DocSecurity>0</DocSecurity>
  <Lines>53</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2018-09-28T14:37:00Z</dcterms:created>
  <dcterms:modified xsi:type="dcterms:W3CDTF">2018-09-28T14:37:00Z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