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46260" w14:textId="77777777" w:rsidR="00C321B5" w:rsidRPr="00F5664C" w:rsidRDefault="00BD52E7" w:rsidP="00C321B5">
      <w:pPr>
        <w:jc w:val="center"/>
        <w:rPr>
          <w:rFonts w:ascii="Book Antiqua" w:hAnsi="Book Antiqua" w:cs="Arial"/>
          <w:sz w:val="16"/>
          <w:szCs w:val="16"/>
        </w:rPr>
      </w:pPr>
      <w:r>
        <w:rPr>
          <w:noProof/>
        </w:rPr>
        <w:drawing>
          <wp:inline distT="0" distB="0" distL="0" distR="0" wp14:anchorId="6C47226A" wp14:editId="00001B25">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07A51402" w14:textId="77777777" w:rsidR="00D94AFC" w:rsidRPr="00F5664C" w:rsidRDefault="00D94AFC">
      <w:pPr>
        <w:rPr>
          <w:rFonts w:ascii="Book Antiqua" w:hAnsi="Book Antiqua" w:cs="Arial"/>
        </w:rPr>
      </w:pPr>
    </w:p>
    <w:p w14:paraId="62FD4CA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A7321F3"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BD52E7">
        <w:rPr>
          <w:rFonts w:ascii="Book Antiqua" w:hAnsi="Book Antiqua" w:cs="Arial"/>
          <w:caps/>
        </w:rPr>
        <w:t>ea/06182/2017</w:t>
      </w:r>
      <w:bookmarkEnd w:id="0"/>
    </w:p>
    <w:p w14:paraId="1DEA3B59" w14:textId="77777777" w:rsidR="00C345E1" w:rsidRPr="00F5664C" w:rsidRDefault="00C345E1" w:rsidP="00C345E1">
      <w:pPr>
        <w:jc w:val="center"/>
        <w:rPr>
          <w:rFonts w:ascii="Book Antiqua" w:hAnsi="Book Antiqua" w:cs="Arial"/>
        </w:rPr>
      </w:pPr>
    </w:p>
    <w:p w14:paraId="3DF39787" w14:textId="77777777" w:rsidR="00C345E1" w:rsidRPr="00F5664C" w:rsidRDefault="00C345E1" w:rsidP="00C345E1">
      <w:pPr>
        <w:jc w:val="center"/>
        <w:rPr>
          <w:rFonts w:ascii="Book Antiqua" w:hAnsi="Book Antiqua" w:cs="Arial"/>
        </w:rPr>
      </w:pPr>
    </w:p>
    <w:p w14:paraId="4508F9D9"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465D194" w14:textId="77777777" w:rsidR="00C345E1" w:rsidRPr="00F5664C" w:rsidRDefault="00C345E1" w:rsidP="00C345E1">
      <w:pPr>
        <w:jc w:val="center"/>
        <w:rPr>
          <w:rFonts w:ascii="Book Antiqua" w:hAnsi="Book Antiqua" w:cs="Arial"/>
          <w:b/>
          <w:u w:val="single"/>
        </w:rPr>
      </w:pPr>
    </w:p>
    <w:p w14:paraId="5125C2C7"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F5664C" w14:paraId="6188C3C9" w14:textId="77777777" w:rsidTr="009C7B54">
        <w:tc>
          <w:tcPr>
            <w:tcW w:w="4957" w:type="dxa"/>
          </w:tcPr>
          <w:p w14:paraId="30AE25F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4B53D8">
              <w:rPr>
                <w:rFonts w:ascii="Book Antiqua" w:hAnsi="Book Antiqua" w:cs="Arial"/>
                <w:b/>
              </w:rPr>
              <w:t>Bradford</w:t>
            </w:r>
          </w:p>
        </w:tc>
        <w:tc>
          <w:tcPr>
            <w:tcW w:w="5051" w:type="dxa"/>
            <w:gridSpan w:val="2"/>
          </w:tcPr>
          <w:p w14:paraId="23F3F849"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EE5B4AB" w14:textId="77777777" w:rsidTr="009C7B54">
        <w:tc>
          <w:tcPr>
            <w:tcW w:w="4957" w:type="dxa"/>
          </w:tcPr>
          <w:p w14:paraId="56CBE9D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B53D8">
              <w:rPr>
                <w:rFonts w:ascii="Book Antiqua" w:hAnsi="Book Antiqua" w:cs="Arial"/>
                <w:b/>
              </w:rPr>
              <w:t>11 July 2018</w:t>
            </w:r>
          </w:p>
        </w:tc>
        <w:tc>
          <w:tcPr>
            <w:tcW w:w="5051" w:type="dxa"/>
            <w:gridSpan w:val="2"/>
          </w:tcPr>
          <w:p w14:paraId="67D76FB7" w14:textId="2F1A43E3" w:rsidR="00D22636" w:rsidRPr="00F5664C" w:rsidRDefault="009C7B54" w:rsidP="004A1848">
            <w:pPr>
              <w:jc w:val="both"/>
              <w:rPr>
                <w:rFonts w:ascii="Book Antiqua" w:hAnsi="Book Antiqua" w:cs="Arial"/>
                <w:b/>
              </w:rPr>
            </w:pPr>
            <w:r>
              <w:rPr>
                <w:rFonts w:ascii="Book Antiqua" w:hAnsi="Book Antiqua" w:cs="Arial"/>
                <w:b/>
              </w:rPr>
              <w:t xml:space="preserve">On 19 September 2018 </w:t>
            </w:r>
          </w:p>
        </w:tc>
      </w:tr>
      <w:tr w:rsidR="00D22636" w:rsidRPr="00F5664C" w14:paraId="2AD5A437" w14:textId="77777777" w:rsidTr="009C7B54">
        <w:tc>
          <w:tcPr>
            <w:tcW w:w="6048" w:type="dxa"/>
            <w:gridSpan w:val="2"/>
          </w:tcPr>
          <w:p w14:paraId="5D50E141" w14:textId="77777777" w:rsidR="00D22636" w:rsidRPr="00F5664C" w:rsidRDefault="00D22636" w:rsidP="004A1848">
            <w:pPr>
              <w:jc w:val="both"/>
              <w:rPr>
                <w:rFonts w:ascii="Book Antiqua" w:hAnsi="Book Antiqua" w:cs="Arial"/>
                <w:b/>
              </w:rPr>
            </w:pPr>
          </w:p>
        </w:tc>
        <w:tc>
          <w:tcPr>
            <w:tcW w:w="3960" w:type="dxa"/>
          </w:tcPr>
          <w:p w14:paraId="02DE725A" w14:textId="0EE23BCC" w:rsidR="00D22636" w:rsidRPr="00F5664C" w:rsidRDefault="00D22636" w:rsidP="004A1848">
            <w:pPr>
              <w:jc w:val="both"/>
              <w:rPr>
                <w:rFonts w:ascii="Book Antiqua" w:hAnsi="Book Antiqua" w:cs="Arial"/>
                <w:b/>
              </w:rPr>
            </w:pPr>
          </w:p>
        </w:tc>
      </w:tr>
    </w:tbl>
    <w:p w14:paraId="61098A54" w14:textId="77777777" w:rsidR="00A15234" w:rsidRPr="00F5664C" w:rsidRDefault="00A15234" w:rsidP="004B53D8">
      <w:pPr>
        <w:rPr>
          <w:rFonts w:ascii="Book Antiqua" w:hAnsi="Book Antiqua" w:cs="Arial"/>
        </w:rPr>
      </w:pPr>
    </w:p>
    <w:p w14:paraId="460C99C6"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C7411ED" w14:textId="77777777" w:rsidR="00A15234" w:rsidRPr="00F5664C" w:rsidRDefault="00A15234" w:rsidP="00A15234">
      <w:pPr>
        <w:jc w:val="center"/>
        <w:rPr>
          <w:rFonts w:ascii="Book Antiqua" w:hAnsi="Book Antiqua" w:cs="Arial"/>
          <w:b/>
        </w:rPr>
      </w:pPr>
    </w:p>
    <w:p w14:paraId="3BE09880"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32473374" w14:textId="77777777" w:rsidR="001A1E2C" w:rsidRPr="00F5664C" w:rsidRDefault="001A1E2C" w:rsidP="00A15234">
      <w:pPr>
        <w:jc w:val="center"/>
        <w:rPr>
          <w:rFonts w:ascii="Book Antiqua" w:hAnsi="Book Antiqua" w:cs="Arial"/>
          <w:b/>
        </w:rPr>
      </w:pPr>
    </w:p>
    <w:p w14:paraId="708DB185" w14:textId="77777777" w:rsidR="00B16F58" w:rsidRPr="00F5664C" w:rsidRDefault="00B16F58" w:rsidP="00A15234">
      <w:pPr>
        <w:jc w:val="center"/>
        <w:rPr>
          <w:rFonts w:ascii="Book Antiqua" w:hAnsi="Book Antiqua" w:cs="Arial"/>
          <w:b/>
        </w:rPr>
      </w:pPr>
    </w:p>
    <w:p w14:paraId="06E026F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044927F" w14:textId="77777777" w:rsidR="00A845DC" w:rsidRPr="00F5664C" w:rsidRDefault="00A845DC" w:rsidP="00A15234">
      <w:pPr>
        <w:jc w:val="center"/>
        <w:rPr>
          <w:rFonts w:ascii="Book Antiqua" w:hAnsi="Book Antiqua" w:cs="Arial"/>
          <w:b/>
        </w:rPr>
      </w:pPr>
    </w:p>
    <w:p w14:paraId="41B50321" w14:textId="77777777" w:rsidR="00742A8D" w:rsidRDefault="004B53D8" w:rsidP="00742A8D">
      <w:pPr>
        <w:jc w:val="center"/>
        <w:rPr>
          <w:rFonts w:ascii="Book Antiqua" w:hAnsi="Book Antiqua" w:cs="Arial"/>
          <w:b/>
          <w:caps/>
        </w:rPr>
      </w:pPr>
      <w:r>
        <w:rPr>
          <w:rFonts w:ascii="Book Antiqua" w:hAnsi="Book Antiqua" w:cs="Arial"/>
          <w:b/>
          <w:caps/>
        </w:rPr>
        <w:t>AYESHA JAMIL</w:t>
      </w:r>
    </w:p>
    <w:p w14:paraId="5845DF88" w14:textId="77777777"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4B53D8">
        <w:rPr>
          <w:rFonts w:ascii="Book Antiqua" w:hAnsi="Book Antiqua" w:cs="Arial"/>
          <w:b/>
          <w:caps/>
        </w:rPr>
        <w:t>NOT MADE</w:t>
      </w:r>
      <w:r w:rsidRPr="008508AD">
        <w:rPr>
          <w:rFonts w:ascii="Book Antiqua" w:hAnsi="Book Antiqua" w:cs="Arial"/>
          <w:b/>
          <w:caps/>
        </w:rPr>
        <w:t>)</w:t>
      </w:r>
    </w:p>
    <w:p w14:paraId="0B9D3662"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293BF624" w14:textId="77777777" w:rsidR="006D1DFA" w:rsidRPr="00F5664C" w:rsidRDefault="006D1DFA" w:rsidP="00704B61">
      <w:pPr>
        <w:jc w:val="center"/>
        <w:rPr>
          <w:rFonts w:ascii="Book Antiqua" w:hAnsi="Book Antiqua" w:cs="Arial"/>
          <w:b/>
        </w:rPr>
      </w:pPr>
    </w:p>
    <w:p w14:paraId="7C5E80D1"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080C58A" w14:textId="77777777" w:rsidR="00DD5071" w:rsidRPr="00F5664C" w:rsidRDefault="00DD5071" w:rsidP="00704B61">
      <w:pPr>
        <w:jc w:val="center"/>
        <w:rPr>
          <w:rFonts w:ascii="Book Antiqua" w:hAnsi="Book Antiqua" w:cs="Arial"/>
          <w:b/>
        </w:rPr>
      </w:pPr>
    </w:p>
    <w:p w14:paraId="77272375"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33884806" w14:textId="77777777" w:rsidR="00DD5071" w:rsidRPr="00F5664C" w:rsidRDefault="00DD5071" w:rsidP="00704B61">
      <w:pPr>
        <w:jc w:val="center"/>
        <w:rPr>
          <w:rFonts w:ascii="Book Antiqua" w:hAnsi="Book Antiqua" w:cs="Arial"/>
          <w:b/>
        </w:rPr>
      </w:pPr>
    </w:p>
    <w:p w14:paraId="0E3FE639"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46FDC98" w14:textId="77777777" w:rsidR="00DD5071" w:rsidRPr="00F5664C" w:rsidRDefault="00DD5071" w:rsidP="00DD5071">
      <w:pPr>
        <w:rPr>
          <w:rFonts w:ascii="Book Antiqua" w:hAnsi="Book Antiqua" w:cs="Arial"/>
          <w:u w:val="single"/>
        </w:rPr>
      </w:pPr>
    </w:p>
    <w:p w14:paraId="126E7C6D" w14:textId="77777777" w:rsidR="00DD5071" w:rsidRPr="00F5664C" w:rsidRDefault="00DD5071" w:rsidP="00DD5071">
      <w:pPr>
        <w:rPr>
          <w:rFonts w:ascii="Book Antiqua" w:hAnsi="Book Antiqua" w:cs="Arial"/>
          <w:u w:val="single"/>
        </w:rPr>
      </w:pPr>
    </w:p>
    <w:p w14:paraId="33A826D5"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4E68CEC" w14:textId="77777777" w:rsidR="00DE7DB7" w:rsidRPr="00F5664C" w:rsidRDefault="00DE7DB7" w:rsidP="00DD5071">
      <w:pPr>
        <w:rPr>
          <w:rFonts w:ascii="Book Antiqua" w:hAnsi="Book Antiqua" w:cs="Arial"/>
        </w:rPr>
      </w:pPr>
    </w:p>
    <w:p w14:paraId="2BB927E1" w14:textId="37ABFBAF"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4B53D8">
        <w:rPr>
          <w:rFonts w:ascii="Book Antiqua" w:hAnsi="Book Antiqua" w:cs="Arial"/>
        </w:rPr>
        <w:t xml:space="preserve">Ms Hashmi, instructed by </w:t>
      </w:r>
      <w:proofErr w:type="spellStart"/>
      <w:r w:rsidR="004B53D8">
        <w:rPr>
          <w:rFonts w:ascii="Book Antiqua" w:hAnsi="Book Antiqua" w:cs="Arial"/>
        </w:rPr>
        <w:t>Kingswell</w:t>
      </w:r>
      <w:proofErr w:type="spellEnd"/>
      <w:r w:rsidR="004B53D8">
        <w:rPr>
          <w:rFonts w:ascii="Book Antiqua" w:hAnsi="Book Antiqua" w:cs="Arial"/>
        </w:rPr>
        <w:t xml:space="preserve"> Watts</w:t>
      </w:r>
      <w:r w:rsidR="005E1CCF">
        <w:rPr>
          <w:rFonts w:ascii="Book Antiqua" w:hAnsi="Book Antiqua" w:cs="Arial"/>
        </w:rPr>
        <w:t>,</w:t>
      </w:r>
      <w:r w:rsidR="004B53D8">
        <w:rPr>
          <w:rFonts w:ascii="Book Antiqua" w:hAnsi="Book Antiqua" w:cs="Arial"/>
        </w:rPr>
        <w:t xml:space="preserve"> Solicitors </w:t>
      </w:r>
    </w:p>
    <w:p w14:paraId="793BBD0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4B53D8">
        <w:rPr>
          <w:rFonts w:ascii="Book Antiqua" w:hAnsi="Book Antiqua" w:cs="Arial"/>
        </w:rPr>
        <w:t xml:space="preserve">Mr </w:t>
      </w:r>
      <w:proofErr w:type="spellStart"/>
      <w:r w:rsidR="004B53D8">
        <w:rPr>
          <w:rFonts w:ascii="Book Antiqua" w:hAnsi="Book Antiqua" w:cs="Arial"/>
        </w:rPr>
        <w:t>Diwnycz</w:t>
      </w:r>
      <w:proofErr w:type="spellEnd"/>
      <w:r w:rsidR="004B53D8">
        <w:rPr>
          <w:rFonts w:ascii="Book Antiqua" w:hAnsi="Book Antiqua" w:cs="Arial"/>
        </w:rPr>
        <w:t xml:space="preserve">, Senior Home Office Presenting Officer </w:t>
      </w:r>
    </w:p>
    <w:p w14:paraId="03CF8AAA" w14:textId="77777777" w:rsidR="00DE7DB7" w:rsidRPr="00F5664C" w:rsidRDefault="00DE7DB7" w:rsidP="00402B9E">
      <w:pPr>
        <w:tabs>
          <w:tab w:val="left" w:pos="2520"/>
        </w:tabs>
        <w:jc w:val="center"/>
        <w:rPr>
          <w:rFonts w:ascii="Book Antiqua" w:hAnsi="Book Antiqua" w:cs="Arial"/>
        </w:rPr>
      </w:pPr>
    </w:p>
    <w:p w14:paraId="4C075C6C" w14:textId="77777777" w:rsidR="00DE7DB7" w:rsidRPr="00F5664C" w:rsidRDefault="00DE7DB7" w:rsidP="00402B9E">
      <w:pPr>
        <w:tabs>
          <w:tab w:val="left" w:pos="2520"/>
        </w:tabs>
        <w:jc w:val="center"/>
        <w:rPr>
          <w:rFonts w:ascii="Book Antiqua" w:hAnsi="Book Antiqua" w:cs="Arial"/>
        </w:rPr>
      </w:pPr>
    </w:p>
    <w:p w14:paraId="51716BB5"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073DDBBE" w14:textId="77777777" w:rsidR="00B626FA" w:rsidRPr="00F5664C" w:rsidRDefault="00B626FA" w:rsidP="00402B9E">
      <w:pPr>
        <w:tabs>
          <w:tab w:val="left" w:pos="2520"/>
        </w:tabs>
        <w:jc w:val="both"/>
        <w:rPr>
          <w:rFonts w:ascii="Book Antiqua" w:hAnsi="Book Antiqua" w:cs="Arial"/>
        </w:rPr>
      </w:pPr>
    </w:p>
    <w:p w14:paraId="6B23CB75" w14:textId="58905062" w:rsidR="000F76DE" w:rsidRDefault="004B53D8" w:rsidP="000F76DE">
      <w:pPr>
        <w:numPr>
          <w:ilvl w:val="0"/>
          <w:numId w:val="3"/>
        </w:numPr>
        <w:spacing w:before="240"/>
        <w:jc w:val="both"/>
        <w:rPr>
          <w:rFonts w:ascii="Book Antiqua" w:hAnsi="Book Antiqua" w:cs="Arial"/>
        </w:rPr>
      </w:pPr>
      <w:r>
        <w:rPr>
          <w:rFonts w:ascii="Book Antiqua" w:hAnsi="Book Antiqua" w:cs="Arial"/>
        </w:rPr>
        <w:t xml:space="preserve">The appellant, Ayesha Jamil, </w:t>
      </w:r>
      <w:r w:rsidR="005E1CCF">
        <w:rPr>
          <w:rFonts w:ascii="Book Antiqua" w:hAnsi="Book Antiqua" w:cs="Arial"/>
        </w:rPr>
        <w:t xml:space="preserve">was </w:t>
      </w:r>
      <w:r>
        <w:rPr>
          <w:rFonts w:ascii="Book Antiqua" w:hAnsi="Book Antiqua" w:cs="Arial"/>
        </w:rPr>
        <w:t>born on 16 November 1990 and is a female</w:t>
      </w:r>
      <w:r w:rsidR="005E1CCF">
        <w:rPr>
          <w:rFonts w:ascii="Book Antiqua" w:hAnsi="Book Antiqua" w:cs="Arial"/>
        </w:rPr>
        <w:t xml:space="preserve"> citizen </w:t>
      </w:r>
      <w:r>
        <w:rPr>
          <w:rFonts w:ascii="Book Antiqua" w:hAnsi="Book Antiqua" w:cs="Arial"/>
        </w:rPr>
        <w:t xml:space="preserve">of Pakistan.  She applied for a residence card as confirmation of her right to reside in the United Kingdom as a family member of a British citizen, Mr </w:t>
      </w:r>
      <w:proofErr w:type="spellStart"/>
      <w:r>
        <w:rPr>
          <w:rFonts w:ascii="Book Antiqua" w:hAnsi="Book Antiqua" w:cs="Arial"/>
        </w:rPr>
        <w:t>Armad</w:t>
      </w:r>
      <w:proofErr w:type="spellEnd"/>
      <w:r>
        <w:rPr>
          <w:rFonts w:ascii="Book Antiqua" w:hAnsi="Book Antiqua" w:cs="Arial"/>
        </w:rPr>
        <w:t xml:space="preserve"> Farooq (hereafter </w:t>
      </w:r>
      <w:r>
        <w:rPr>
          <w:rFonts w:ascii="Book Antiqua" w:hAnsi="Book Antiqua" w:cs="Arial"/>
        </w:rPr>
        <w:lastRenderedPageBreak/>
        <w:t>referred to as the sponsor).</w:t>
      </w:r>
      <w:r w:rsidR="00472324">
        <w:rPr>
          <w:rFonts w:ascii="Book Antiqua" w:hAnsi="Book Antiqua" w:cs="Arial"/>
        </w:rPr>
        <w:t xml:space="preserve">  By a decision dated 1 June 2017</w:t>
      </w:r>
      <w:r w:rsidR="0020769D">
        <w:rPr>
          <w:rFonts w:ascii="Book Antiqua" w:hAnsi="Book Antiqua" w:cs="Arial"/>
        </w:rPr>
        <w:t>,</w:t>
      </w:r>
      <w:r w:rsidR="00472324">
        <w:rPr>
          <w:rFonts w:ascii="Book Antiqua" w:hAnsi="Book Antiqua" w:cs="Arial"/>
        </w:rPr>
        <w:t xml:space="preserve"> the Secretary of State refused the application.  The appellant appealed to the First-tier Tribunal (Judge R Chowdhury) which, in a decision promulgated on 18 December 2017, dismissed the appeal.  The appellant now appeals, with permission, to the Upper Tribunal.  </w:t>
      </w:r>
    </w:p>
    <w:p w14:paraId="574133A0" w14:textId="77777777" w:rsidR="00472324" w:rsidRDefault="00472324" w:rsidP="000F76DE">
      <w:pPr>
        <w:numPr>
          <w:ilvl w:val="0"/>
          <w:numId w:val="3"/>
        </w:numPr>
        <w:spacing w:before="240"/>
        <w:jc w:val="both"/>
        <w:rPr>
          <w:rFonts w:ascii="Book Antiqua" w:hAnsi="Book Antiqua" w:cs="Arial"/>
        </w:rPr>
      </w:pPr>
      <w:r>
        <w:rPr>
          <w:rFonts w:ascii="Book Antiqua" w:hAnsi="Book Antiqua" w:cs="Arial"/>
        </w:rPr>
        <w:t>The relevant Regulation is Regulation 9 of the Immigration (European Economic Area) Regulations 2016:</w:t>
      </w:r>
    </w:p>
    <w:p w14:paraId="73CF58FD" w14:textId="1531EFF9" w:rsidR="007D2BCA" w:rsidRPr="007D2BCA" w:rsidRDefault="007D2BCA" w:rsidP="00D86FC6">
      <w:pPr>
        <w:tabs>
          <w:tab w:val="left" w:pos="2268"/>
        </w:tabs>
        <w:spacing w:before="120"/>
        <w:ind w:left="1701" w:hanging="567"/>
        <w:rPr>
          <w:rFonts w:ascii="Book Antiqua" w:hAnsi="Book Antiqua" w:cs="Arial"/>
          <w:sz w:val="22"/>
          <w:szCs w:val="22"/>
        </w:rPr>
      </w:pPr>
      <w:r w:rsidRPr="007D2BCA">
        <w:rPr>
          <w:rFonts w:ascii="Book Antiqua" w:hAnsi="Book Antiqua" w:cs="Arial"/>
          <w:sz w:val="22"/>
          <w:szCs w:val="22"/>
        </w:rPr>
        <w:t>9.—</w:t>
      </w:r>
      <w:r w:rsidR="00D86FC6">
        <w:rPr>
          <w:rFonts w:ascii="Book Antiqua" w:hAnsi="Book Antiqua" w:cs="Arial"/>
          <w:sz w:val="22"/>
          <w:szCs w:val="22"/>
        </w:rPr>
        <w:tab/>
      </w:r>
      <w:r w:rsidRPr="007D2BCA">
        <w:rPr>
          <w:rFonts w:ascii="Book Antiqua" w:hAnsi="Book Antiqua" w:cs="Arial"/>
          <w:sz w:val="22"/>
          <w:szCs w:val="22"/>
        </w:rPr>
        <w:t xml:space="preserve">(1) </w:t>
      </w:r>
      <w:r w:rsidR="00D86FC6">
        <w:rPr>
          <w:rFonts w:ascii="Book Antiqua" w:hAnsi="Book Antiqua" w:cs="Arial"/>
          <w:sz w:val="22"/>
          <w:szCs w:val="22"/>
        </w:rPr>
        <w:tab/>
      </w:r>
      <w:r w:rsidRPr="007D2BCA">
        <w:rPr>
          <w:rFonts w:ascii="Book Antiqua" w:hAnsi="Book Antiqua" w:cs="Arial"/>
          <w:sz w:val="22"/>
          <w:szCs w:val="22"/>
        </w:rPr>
        <w:t>If the conditions in paragraph (2) are satisfied, these Regulations apply to a person who is the family member (“F”) of a British citizen (“BC”) as though the BC were an EEA national.</w:t>
      </w:r>
    </w:p>
    <w:p w14:paraId="35B6FCC8" w14:textId="25DE3D6F" w:rsidR="007D2BCA" w:rsidRPr="007D2BCA" w:rsidRDefault="007D2BCA" w:rsidP="00D86FC6">
      <w:pPr>
        <w:tabs>
          <w:tab w:val="left" w:pos="2268"/>
        </w:tabs>
        <w:spacing w:before="120"/>
        <w:ind w:left="1701"/>
        <w:rPr>
          <w:rFonts w:ascii="Book Antiqua" w:hAnsi="Book Antiqua" w:cs="Arial"/>
          <w:sz w:val="22"/>
          <w:szCs w:val="22"/>
        </w:rPr>
      </w:pPr>
      <w:r w:rsidRPr="007D2BCA">
        <w:rPr>
          <w:rFonts w:ascii="Book Antiqua" w:hAnsi="Book Antiqua" w:cs="Arial"/>
          <w:sz w:val="22"/>
          <w:szCs w:val="22"/>
        </w:rPr>
        <w:t>(2)</w:t>
      </w:r>
      <w:r w:rsidR="00D86FC6">
        <w:rPr>
          <w:rFonts w:ascii="Book Antiqua" w:hAnsi="Book Antiqua" w:cs="Arial"/>
          <w:sz w:val="22"/>
          <w:szCs w:val="22"/>
        </w:rPr>
        <w:tab/>
      </w:r>
      <w:r w:rsidRPr="007D2BCA">
        <w:rPr>
          <w:rFonts w:ascii="Book Antiqua" w:hAnsi="Book Antiqua" w:cs="Arial"/>
          <w:sz w:val="22"/>
          <w:szCs w:val="22"/>
        </w:rPr>
        <w:t>The conditions are that—</w:t>
      </w:r>
    </w:p>
    <w:p w14:paraId="1D3BC3B1" w14:textId="0FFEAED2"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(a)</w:t>
      </w:r>
      <w:r w:rsidR="00D86FC6">
        <w:rPr>
          <w:rFonts w:ascii="Book Antiqua" w:hAnsi="Book Antiqua" w:cs="Arial"/>
          <w:sz w:val="22"/>
          <w:szCs w:val="22"/>
        </w:rPr>
        <w:tab/>
      </w:r>
      <w:r w:rsidRPr="007D2BCA">
        <w:rPr>
          <w:rFonts w:ascii="Book Antiqua" w:hAnsi="Book Antiqua" w:cs="Arial"/>
          <w:sz w:val="22"/>
          <w:szCs w:val="22"/>
        </w:rPr>
        <w:t>BC—</w:t>
      </w:r>
    </w:p>
    <w:p w14:paraId="18CF18DF" w14:textId="181FCE8A" w:rsidR="007D2BCA" w:rsidRPr="007D2BCA" w:rsidRDefault="007D2BCA" w:rsidP="00D86FC6">
      <w:pPr>
        <w:tabs>
          <w:tab w:val="left" w:pos="3402"/>
        </w:tabs>
        <w:spacing w:before="120"/>
        <w:ind w:left="2835"/>
        <w:rPr>
          <w:rFonts w:ascii="Book Antiqua" w:hAnsi="Book Antiqua" w:cs="Arial"/>
          <w:sz w:val="22"/>
          <w:szCs w:val="22"/>
        </w:rPr>
      </w:pPr>
      <w:r w:rsidRPr="007D2BCA">
        <w:rPr>
          <w:rFonts w:ascii="Book Antiqua" w:hAnsi="Book Antiqua" w:cs="Arial"/>
          <w:sz w:val="22"/>
          <w:szCs w:val="22"/>
        </w:rPr>
        <w:t>(</w:t>
      </w:r>
      <w:proofErr w:type="spellStart"/>
      <w:r w:rsidRPr="007D2BCA">
        <w:rPr>
          <w:rFonts w:ascii="Book Antiqua" w:hAnsi="Book Antiqua" w:cs="Arial"/>
          <w:sz w:val="22"/>
          <w:szCs w:val="22"/>
        </w:rPr>
        <w:t>i</w:t>
      </w:r>
      <w:proofErr w:type="spellEnd"/>
      <w:r w:rsidRPr="007D2BCA">
        <w:rPr>
          <w:rFonts w:ascii="Book Antiqua" w:hAnsi="Book Antiqua" w:cs="Arial"/>
          <w:sz w:val="22"/>
          <w:szCs w:val="22"/>
        </w:rPr>
        <w:t>)</w:t>
      </w:r>
      <w:r w:rsidR="00D86FC6">
        <w:rPr>
          <w:rFonts w:ascii="Book Antiqua" w:hAnsi="Book Antiqua" w:cs="Arial"/>
          <w:sz w:val="22"/>
          <w:szCs w:val="22"/>
        </w:rPr>
        <w:tab/>
      </w:r>
      <w:r w:rsidRPr="007D2BCA">
        <w:rPr>
          <w:rFonts w:ascii="Book Antiqua" w:hAnsi="Book Antiqua" w:cs="Arial"/>
          <w:sz w:val="22"/>
          <w:szCs w:val="22"/>
        </w:rPr>
        <w:t>is residing in an EEA State as a worker, self-employed person, self-sufficient person or a student, or so resided immediately before returning to the United Kingdom; or</w:t>
      </w:r>
    </w:p>
    <w:p w14:paraId="5BF9E5FF" w14:textId="1C3AC031" w:rsidR="007D2BCA" w:rsidRPr="007D2BCA" w:rsidRDefault="007D2BCA" w:rsidP="00D86FC6">
      <w:pPr>
        <w:tabs>
          <w:tab w:val="left" w:pos="3402"/>
        </w:tabs>
        <w:spacing w:before="120"/>
        <w:ind w:left="2835"/>
        <w:rPr>
          <w:rFonts w:ascii="Book Antiqua" w:hAnsi="Book Antiqua" w:cs="Arial"/>
          <w:sz w:val="22"/>
          <w:szCs w:val="22"/>
        </w:rPr>
      </w:pPr>
      <w:r w:rsidRPr="007D2BCA">
        <w:rPr>
          <w:rFonts w:ascii="Book Antiqua" w:hAnsi="Book Antiqua" w:cs="Arial"/>
          <w:sz w:val="22"/>
          <w:szCs w:val="22"/>
        </w:rPr>
        <w:t>(ii)</w:t>
      </w:r>
      <w:r w:rsidR="00D86FC6">
        <w:rPr>
          <w:rFonts w:ascii="Book Antiqua" w:hAnsi="Book Antiqua" w:cs="Arial"/>
          <w:sz w:val="22"/>
          <w:szCs w:val="22"/>
        </w:rPr>
        <w:tab/>
      </w:r>
      <w:r w:rsidRPr="007D2BCA">
        <w:rPr>
          <w:rFonts w:ascii="Book Antiqua" w:hAnsi="Book Antiqua" w:cs="Arial"/>
          <w:sz w:val="22"/>
          <w:szCs w:val="22"/>
        </w:rPr>
        <w:t>has acquired the right of permanent residence in an EEA State;</w:t>
      </w:r>
    </w:p>
    <w:p w14:paraId="1CF95050" w14:textId="78407710"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(b)</w:t>
      </w:r>
      <w:r w:rsidR="00D86FC6">
        <w:rPr>
          <w:rFonts w:ascii="Book Antiqua" w:hAnsi="Book Antiqua" w:cs="Arial"/>
          <w:sz w:val="22"/>
          <w:szCs w:val="22"/>
        </w:rPr>
        <w:tab/>
      </w:r>
      <w:r w:rsidRPr="007D2BCA">
        <w:rPr>
          <w:rFonts w:ascii="Book Antiqua" w:hAnsi="Book Antiqua" w:cs="Arial"/>
          <w:sz w:val="22"/>
          <w:szCs w:val="22"/>
        </w:rPr>
        <w:t>F and BC resided together in the EEA State; and</w:t>
      </w:r>
    </w:p>
    <w:p w14:paraId="238ADD63" w14:textId="22A657EA"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(c)</w:t>
      </w:r>
      <w:r w:rsidR="00D86FC6">
        <w:rPr>
          <w:rFonts w:ascii="Book Antiqua" w:hAnsi="Book Antiqua" w:cs="Arial"/>
          <w:sz w:val="22"/>
          <w:szCs w:val="22"/>
        </w:rPr>
        <w:tab/>
      </w:r>
      <w:r w:rsidRPr="007D2BCA">
        <w:rPr>
          <w:rFonts w:ascii="Book Antiqua" w:hAnsi="Book Antiqua" w:cs="Arial"/>
          <w:sz w:val="22"/>
          <w:szCs w:val="22"/>
        </w:rPr>
        <w:t>F and BC’s residence in the EEA State was genuine.</w:t>
      </w:r>
    </w:p>
    <w:p w14:paraId="215BEE04" w14:textId="5B3DBE93" w:rsidR="007D2BCA" w:rsidRPr="007D2BCA" w:rsidRDefault="007D2BCA" w:rsidP="00D86FC6">
      <w:pPr>
        <w:tabs>
          <w:tab w:val="left" w:pos="2268"/>
        </w:tabs>
        <w:spacing w:before="120"/>
        <w:ind w:left="1701"/>
        <w:rPr>
          <w:rFonts w:ascii="Book Antiqua" w:hAnsi="Book Antiqua" w:cs="Arial"/>
          <w:sz w:val="22"/>
          <w:szCs w:val="22"/>
        </w:rPr>
      </w:pPr>
      <w:r w:rsidRPr="007D2BCA">
        <w:rPr>
          <w:rFonts w:ascii="Book Antiqua" w:hAnsi="Book Antiqua" w:cs="Arial"/>
          <w:sz w:val="22"/>
          <w:szCs w:val="22"/>
        </w:rPr>
        <w:t>(3)</w:t>
      </w:r>
      <w:r w:rsidR="00D86FC6">
        <w:rPr>
          <w:rFonts w:ascii="Book Antiqua" w:hAnsi="Book Antiqua" w:cs="Arial"/>
          <w:sz w:val="22"/>
          <w:szCs w:val="22"/>
        </w:rPr>
        <w:tab/>
      </w:r>
      <w:r w:rsidRPr="007D2BCA">
        <w:rPr>
          <w:rFonts w:ascii="Book Antiqua" w:hAnsi="Book Antiqua" w:cs="Arial"/>
          <w:sz w:val="22"/>
          <w:szCs w:val="22"/>
        </w:rPr>
        <w:t>Factors relevant to whether residence in the EEA State is or was genuine include—</w:t>
      </w:r>
    </w:p>
    <w:p w14:paraId="0DD16C5D" w14:textId="60ACE918"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(a)</w:t>
      </w:r>
      <w:r w:rsidR="00D86FC6">
        <w:rPr>
          <w:rFonts w:ascii="Book Antiqua" w:hAnsi="Book Antiqua" w:cs="Arial"/>
          <w:sz w:val="22"/>
          <w:szCs w:val="22"/>
        </w:rPr>
        <w:tab/>
      </w:r>
      <w:r w:rsidRPr="007D2BCA">
        <w:rPr>
          <w:rFonts w:ascii="Book Antiqua" w:hAnsi="Book Antiqua" w:cs="Arial"/>
          <w:sz w:val="22"/>
          <w:szCs w:val="22"/>
        </w:rPr>
        <w:t>whether the centre of BC’s life transferred to the EEA State;</w:t>
      </w:r>
    </w:p>
    <w:p w14:paraId="3636EA6D" w14:textId="4C41E786"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(b)</w:t>
      </w:r>
      <w:r w:rsidR="00D86FC6">
        <w:rPr>
          <w:rFonts w:ascii="Book Antiqua" w:hAnsi="Book Antiqua" w:cs="Arial"/>
          <w:sz w:val="22"/>
          <w:szCs w:val="22"/>
        </w:rPr>
        <w:tab/>
      </w:r>
      <w:r w:rsidRPr="007D2BCA">
        <w:rPr>
          <w:rFonts w:ascii="Book Antiqua" w:hAnsi="Book Antiqua" w:cs="Arial"/>
          <w:sz w:val="22"/>
          <w:szCs w:val="22"/>
        </w:rPr>
        <w:t>the length of F and BC’s joint residence in the EEA State;</w:t>
      </w:r>
    </w:p>
    <w:p w14:paraId="73CC2BBD" w14:textId="03D61ECB"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(c)</w:t>
      </w:r>
      <w:r w:rsidR="00D86FC6">
        <w:rPr>
          <w:rFonts w:ascii="Book Antiqua" w:hAnsi="Book Antiqua" w:cs="Arial"/>
          <w:sz w:val="22"/>
          <w:szCs w:val="22"/>
        </w:rPr>
        <w:tab/>
      </w:r>
      <w:r w:rsidRPr="007D2BCA">
        <w:rPr>
          <w:rFonts w:ascii="Book Antiqua" w:hAnsi="Book Antiqua" w:cs="Arial"/>
          <w:sz w:val="22"/>
          <w:szCs w:val="22"/>
        </w:rPr>
        <w:t>the nature and quality of the F and BC’s accommodation in the EEA State, and whether it is or was BC’s principal residence;</w:t>
      </w:r>
    </w:p>
    <w:p w14:paraId="7AB6F12F" w14:textId="4ED49339"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(d)</w:t>
      </w:r>
      <w:r w:rsidR="00D86FC6">
        <w:rPr>
          <w:rFonts w:ascii="Book Antiqua" w:hAnsi="Book Antiqua" w:cs="Arial"/>
          <w:sz w:val="22"/>
          <w:szCs w:val="22"/>
        </w:rPr>
        <w:tab/>
      </w:r>
      <w:r w:rsidRPr="007D2BCA">
        <w:rPr>
          <w:rFonts w:ascii="Book Antiqua" w:hAnsi="Book Antiqua" w:cs="Arial"/>
          <w:sz w:val="22"/>
          <w:szCs w:val="22"/>
        </w:rPr>
        <w:t>the degree of F and BC’s integration in the EEA State;</w:t>
      </w:r>
    </w:p>
    <w:p w14:paraId="574F9E45" w14:textId="08D43833"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(e)</w:t>
      </w:r>
      <w:r w:rsidR="00D86FC6">
        <w:rPr>
          <w:rFonts w:ascii="Book Antiqua" w:hAnsi="Book Antiqua" w:cs="Arial"/>
          <w:sz w:val="22"/>
          <w:szCs w:val="22"/>
        </w:rPr>
        <w:tab/>
      </w:r>
      <w:r w:rsidRPr="007D2BCA">
        <w:rPr>
          <w:rFonts w:ascii="Book Antiqua" w:hAnsi="Book Antiqua" w:cs="Arial"/>
          <w:sz w:val="22"/>
          <w:szCs w:val="22"/>
        </w:rPr>
        <w:t>whether F’s first lawful residence in the EU with BC was in the EEA State.</w:t>
      </w:r>
    </w:p>
    <w:p w14:paraId="2477A332" w14:textId="4A7D9854" w:rsidR="007D2BCA" w:rsidRPr="007D2BCA" w:rsidRDefault="007D2BCA" w:rsidP="00D86FC6">
      <w:pPr>
        <w:tabs>
          <w:tab w:val="left" w:pos="2268"/>
        </w:tabs>
        <w:spacing w:before="120"/>
        <w:ind w:left="1701"/>
        <w:rPr>
          <w:rFonts w:ascii="Book Antiqua" w:hAnsi="Book Antiqua" w:cs="Arial"/>
          <w:sz w:val="22"/>
          <w:szCs w:val="22"/>
        </w:rPr>
      </w:pPr>
      <w:r w:rsidRPr="007D2BCA">
        <w:rPr>
          <w:rFonts w:ascii="Book Antiqua" w:hAnsi="Book Antiqua" w:cs="Arial"/>
          <w:sz w:val="22"/>
          <w:szCs w:val="22"/>
        </w:rPr>
        <w:t>(4)</w:t>
      </w:r>
      <w:r w:rsidR="00D86FC6">
        <w:rPr>
          <w:rFonts w:ascii="Book Antiqua" w:hAnsi="Book Antiqua" w:cs="Arial"/>
          <w:sz w:val="22"/>
          <w:szCs w:val="22"/>
        </w:rPr>
        <w:tab/>
      </w:r>
      <w:r w:rsidRPr="007D2BCA">
        <w:rPr>
          <w:rFonts w:ascii="Book Antiqua" w:hAnsi="Book Antiqua" w:cs="Arial"/>
          <w:sz w:val="22"/>
          <w:szCs w:val="22"/>
        </w:rPr>
        <w:t>This regulation does not apply—</w:t>
      </w:r>
    </w:p>
    <w:p w14:paraId="0657271A" w14:textId="0CA8D0A8"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(a)</w:t>
      </w:r>
      <w:r w:rsidR="00D86FC6">
        <w:rPr>
          <w:rFonts w:ascii="Book Antiqua" w:hAnsi="Book Antiqua" w:cs="Arial"/>
          <w:sz w:val="22"/>
          <w:szCs w:val="22"/>
        </w:rPr>
        <w:tab/>
      </w:r>
      <w:r w:rsidRPr="007D2BCA">
        <w:rPr>
          <w:rFonts w:ascii="Book Antiqua" w:hAnsi="Book Antiqua" w:cs="Arial"/>
          <w:sz w:val="22"/>
          <w:szCs w:val="22"/>
        </w:rPr>
        <w:t xml:space="preserve">where the purpose of the residence in the EEA State was as a means for circumventing any </w:t>
      </w:r>
      <w:proofErr w:type="gramStart"/>
      <w:r w:rsidRPr="007D2BCA">
        <w:rPr>
          <w:rFonts w:ascii="Book Antiqua" w:hAnsi="Book Antiqua" w:cs="Arial"/>
          <w:sz w:val="22"/>
          <w:szCs w:val="22"/>
        </w:rPr>
        <w:t>immigration</w:t>
      </w:r>
      <w:proofErr w:type="gramEnd"/>
      <w:r w:rsidRPr="007D2BCA">
        <w:rPr>
          <w:rFonts w:ascii="Book Antiqua" w:hAnsi="Book Antiqua" w:cs="Arial"/>
          <w:sz w:val="22"/>
          <w:szCs w:val="22"/>
        </w:rPr>
        <w:t xml:space="preserve"> laws applying to non-EEA nationals to which F would otherwise be subject (such as any applicable requirement under the 1971 Act to have leave to enter or remain in the United Kingdom); or</w:t>
      </w:r>
    </w:p>
    <w:p w14:paraId="5883CF62" w14:textId="3DA2EE5C"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(b)</w:t>
      </w:r>
      <w:r w:rsidR="00D86FC6">
        <w:rPr>
          <w:rFonts w:ascii="Book Antiqua" w:hAnsi="Book Antiqua" w:cs="Arial"/>
          <w:sz w:val="22"/>
          <w:szCs w:val="22"/>
        </w:rPr>
        <w:tab/>
      </w:r>
      <w:r w:rsidRPr="007D2BCA">
        <w:rPr>
          <w:rFonts w:ascii="Book Antiqua" w:hAnsi="Book Antiqua" w:cs="Arial"/>
          <w:sz w:val="22"/>
          <w:szCs w:val="22"/>
        </w:rPr>
        <w:t>to a person who is only eligible to be treated as a family member as a result of regulation 7(3) (extended family members treated as family members).</w:t>
      </w:r>
    </w:p>
    <w:p w14:paraId="53B7D29E" w14:textId="26FDDE1E" w:rsidR="007D2BCA" w:rsidRPr="007D2BCA" w:rsidRDefault="007D2BCA" w:rsidP="00D86FC6">
      <w:pPr>
        <w:tabs>
          <w:tab w:val="left" w:pos="2268"/>
        </w:tabs>
        <w:spacing w:before="120"/>
        <w:ind w:left="1701"/>
        <w:rPr>
          <w:rFonts w:ascii="Book Antiqua" w:hAnsi="Book Antiqua" w:cs="Arial"/>
          <w:sz w:val="22"/>
          <w:szCs w:val="22"/>
        </w:rPr>
      </w:pPr>
      <w:r w:rsidRPr="007D2BCA">
        <w:rPr>
          <w:rFonts w:ascii="Book Antiqua" w:hAnsi="Book Antiqua" w:cs="Arial"/>
          <w:sz w:val="22"/>
          <w:szCs w:val="22"/>
        </w:rPr>
        <w:t>(5)</w:t>
      </w:r>
      <w:r w:rsidR="00D86FC6">
        <w:rPr>
          <w:rFonts w:ascii="Book Antiqua" w:hAnsi="Book Antiqua" w:cs="Arial"/>
          <w:sz w:val="22"/>
          <w:szCs w:val="22"/>
        </w:rPr>
        <w:tab/>
      </w:r>
      <w:r w:rsidRPr="007D2BCA">
        <w:rPr>
          <w:rFonts w:ascii="Book Antiqua" w:hAnsi="Book Antiqua" w:cs="Arial"/>
          <w:sz w:val="22"/>
          <w:szCs w:val="22"/>
        </w:rPr>
        <w:t>Where these Regulations apply to F, BC is to be treated as holding a valid passport issued by an EEA State for the purposes of the application of these Regulations to F.</w:t>
      </w:r>
    </w:p>
    <w:p w14:paraId="05F05E3D" w14:textId="6AABDFCD" w:rsidR="007D2BCA" w:rsidRPr="007D2BCA" w:rsidRDefault="007D2BCA" w:rsidP="00D86FC6">
      <w:pPr>
        <w:tabs>
          <w:tab w:val="left" w:pos="2268"/>
        </w:tabs>
        <w:spacing w:before="120"/>
        <w:ind w:left="1701"/>
        <w:rPr>
          <w:rFonts w:ascii="Book Antiqua" w:hAnsi="Book Antiqua" w:cs="Arial"/>
          <w:sz w:val="22"/>
          <w:szCs w:val="22"/>
        </w:rPr>
      </w:pPr>
      <w:r w:rsidRPr="007D2BCA">
        <w:rPr>
          <w:rFonts w:ascii="Book Antiqua" w:hAnsi="Book Antiqua" w:cs="Arial"/>
          <w:sz w:val="22"/>
          <w:szCs w:val="22"/>
        </w:rPr>
        <w:t>(6)</w:t>
      </w:r>
      <w:r w:rsidR="00D86FC6">
        <w:rPr>
          <w:rFonts w:ascii="Book Antiqua" w:hAnsi="Book Antiqua" w:cs="Arial"/>
          <w:sz w:val="22"/>
          <w:szCs w:val="22"/>
        </w:rPr>
        <w:tab/>
      </w:r>
      <w:r w:rsidRPr="007D2BCA">
        <w:rPr>
          <w:rFonts w:ascii="Book Antiqua" w:hAnsi="Book Antiqua" w:cs="Arial"/>
          <w:sz w:val="22"/>
          <w:szCs w:val="22"/>
        </w:rPr>
        <w:t xml:space="preserve">In paragraph (2)(a)(ii), BC is only to be treated as having acquired the right of permanent residence in the EEA State if such residence would have led to the </w:t>
      </w:r>
      <w:r w:rsidRPr="007D2BCA">
        <w:rPr>
          <w:rFonts w:ascii="Book Antiqua" w:hAnsi="Book Antiqua" w:cs="Arial"/>
          <w:sz w:val="22"/>
          <w:szCs w:val="22"/>
        </w:rPr>
        <w:lastRenderedPageBreak/>
        <w:t>acquisition of that right under regulation 15, had it taken place in the United Kingdom.</w:t>
      </w:r>
    </w:p>
    <w:p w14:paraId="6EBFA32C" w14:textId="3BD08FDA" w:rsidR="007D2BCA" w:rsidRPr="007D2BCA" w:rsidRDefault="007D2BCA" w:rsidP="00D86FC6">
      <w:pPr>
        <w:tabs>
          <w:tab w:val="left" w:pos="2268"/>
        </w:tabs>
        <w:spacing w:before="120"/>
        <w:ind w:left="1701"/>
        <w:rPr>
          <w:rFonts w:ascii="Book Antiqua" w:hAnsi="Book Antiqua" w:cs="Arial"/>
          <w:sz w:val="22"/>
          <w:szCs w:val="22"/>
        </w:rPr>
      </w:pPr>
      <w:r w:rsidRPr="007D2BCA">
        <w:rPr>
          <w:rFonts w:ascii="Book Antiqua" w:hAnsi="Book Antiqua" w:cs="Arial"/>
          <w:sz w:val="22"/>
          <w:szCs w:val="22"/>
        </w:rPr>
        <w:t>(7)</w:t>
      </w:r>
      <w:r w:rsidR="00D86FC6">
        <w:rPr>
          <w:rFonts w:ascii="Book Antiqua" w:hAnsi="Book Antiqua" w:cs="Arial"/>
          <w:sz w:val="22"/>
          <w:szCs w:val="22"/>
        </w:rPr>
        <w:tab/>
      </w:r>
      <w:r w:rsidRPr="007D2BCA">
        <w:rPr>
          <w:rFonts w:ascii="Book Antiqua" w:hAnsi="Book Antiqua" w:cs="Arial"/>
          <w:sz w:val="22"/>
          <w:szCs w:val="22"/>
        </w:rPr>
        <w:t>For the purposes of determining whether, when treating the BC as an EEA national under these Regulations in accordance with paragraph (1), BC would be a qualified person—</w:t>
      </w:r>
    </w:p>
    <w:p w14:paraId="64964CF2" w14:textId="08DDE81C"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(a)</w:t>
      </w:r>
      <w:r w:rsidR="00D86FC6">
        <w:rPr>
          <w:rFonts w:ascii="Book Antiqua" w:hAnsi="Book Antiqua" w:cs="Arial"/>
          <w:sz w:val="22"/>
          <w:szCs w:val="22"/>
        </w:rPr>
        <w:tab/>
      </w:r>
      <w:r w:rsidRPr="007D2BCA">
        <w:rPr>
          <w:rFonts w:ascii="Book Antiqua" w:hAnsi="Book Antiqua" w:cs="Arial"/>
          <w:sz w:val="22"/>
          <w:szCs w:val="22"/>
        </w:rPr>
        <w:t>any requirement to have comprehensive sickness insurance cover in the United Kingdom still applies, save that it does not require the cover to extend to BC;</w:t>
      </w:r>
    </w:p>
    <w:p w14:paraId="7512BCAC" w14:textId="5CB2BE1F" w:rsidR="007D2BCA" w:rsidRPr="007D2BCA"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(b)</w:t>
      </w:r>
      <w:r w:rsidR="00D86FC6">
        <w:rPr>
          <w:rFonts w:ascii="Book Antiqua" w:hAnsi="Book Antiqua" w:cs="Arial"/>
          <w:sz w:val="22"/>
          <w:szCs w:val="22"/>
        </w:rPr>
        <w:tab/>
      </w:r>
      <w:r w:rsidRPr="007D2BCA">
        <w:rPr>
          <w:rFonts w:ascii="Book Antiqua" w:hAnsi="Book Antiqua" w:cs="Arial"/>
          <w:sz w:val="22"/>
          <w:szCs w:val="22"/>
        </w:rPr>
        <w:t>in assessing whether BC can continue to be treated as a worker under regulation 6(2)(b) or (c), BC is not required to satisfy condition A;</w:t>
      </w:r>
    </w:p>
    <w:p w14:paraId="7B665F28" w14:textId="4D8B0D46" w:rsidR="00472324" w:rsidRPr="00472324" w:rsidRDefault="007D2BCA" w:rsidP="00D86FC6">
      <w:pPr>
        <w:tabs>
          <w:tab w:val="left" w:pos="2835"/>
        </w:tabs>
        <w:spacing w:before="120"/>
        <w:ind w:left="2268"/>
        <w:rPr>
          <w:rFonts w:ascii="Book Antiqua" w:hAnsi="Book Antiqua" w:cs="Arial"/>
          <w:sz w:val="22"/>
          <w:szCs w:val="22"/>
        </w:rPr>
      </w:pPr>
      <w:r w:rsidRPr="007D2BCA">
        <w:rPr>
          <w:rFonts w:ascii="Book Antiqua" w:hAnsi="Book Antiqua" w:cs="Arial"/>
          <w:sz w:val="22"/>
          <w:szCs w:val="22"/>
        </w:rPr>
        <w:t>(c)</w:t>
      </w:r>
      <w:r w:rsidR="00D86FC6">
        <w:rPr>
          <w:rFonts w:ascii="Book Antiqua" w:hAnsi="Book Antiqua" w:cs="Arial"/>
          <w:sz w:val="22"/>
          <w:szCs w:val="22"/>
        </w:rPr>
        <w:tab/>
      </w:r>
      <w:r w:rsidRPr="007D2BCA">
        <w:rPr>
          <w:rFonts w:ascii="Book Antiqua" w:hAnsi="Book Antiqua" w:cs="Arial"/>
          <w:sz w:val="22"/>
          <w:szCs w:val="22"/>
        </w:rPr>
        <w:t>in assessing whether BC can be treated as a jobseeker as defined in regulation 6(1), BC is not required to satisfy conditions A and, where it would otherwise be relevant, condition C.</w:t>
      </w:r>
    </w:p>
    <w:p w14:paraId="215D802A" w14:textId="797AB558" w:rsidR="00472324" w:rsidRDefault="00472324" w:rsidP="000F76DE">
      <w:pPr>
        <w:numPr>
          <w:ilvl w:val="0"/>
          <w:numId w:val="3"/>
        </w:numPr>
        <w:spacing w:before="240"/>
        <w:jc w:val="both"/>
        <w:rPr>
          <w:rFonts w:ascii="Book Antiqua" w:hAnsi="Book Antiqua" w:cs="Arial"/>
        </w:rPr>
      </w:pPr>
      <w:r>
        <w:rPr>
          <w:rFonts w:ascii="Book Antiqua" w:hAnsi="Book Antiqua" w:cs="Arial"/>
        </w:rPr>
        <w:t xml:space="preserve">The judge found that the </w:t>
      </w:r>
      <w:r w:rsidR="0020769D">
        <w:rPr>
          <w:rFonts w:ascii="Book Antiqua" w:hAnsi="Book Antiqua" w:cs="Arial"/>
        </w:rPr>
        <w:t xml:space="preserve">sponsor </w:t>
      </w:r>
      <w:r>
        <w:rPr>
          <w:rFonts w:ascii="Book Antiqua" w:hAnsi="Book Antiqua" w:cs="Arial"/>
        </w:rPr>
        <w:t>had exercised treaty rights in Ireland [38].  He also accepted that the appellant and the sponsor genuinely “wanted to make an effort to live in that country”.  The judge accepted [39] that the sponsor was genuinely employed in a sales role for a company in Ireland.  At [41], the judge accepted that the appellant had produced evidence that she made a “concer</w:t>
      </w:r>
      <w:r w:rsidR="0020769D">
        <w:rPr>
          <w:rFonts w:ascii="Book Antiqua" w:hAnsi="Book Antiqua" w:cs="Arial"/>
        </w:rPr>
        <w:t>t</w:t>
      </w:r>
      <w:r>
        <w:rPr>
          <w:rFonts w:ascii="Book Antiqua" w:hAnsi="Book Antiqua" w:cs="Arial"/>
        </w:rPr>
        <w:t>ed effort to relocate [her] life there”.  Ireland was the couple’s genuine primary residence.  Having made those findings, the judge went on to say at [43]:</w:t>
      </w:r>
    </w:p>
    <w:p w14:paraId="1B0A7DD6" w14:textId="77777777" w:rsidR="00472324" w:rsidRPr="00472324" w:rsidRDefault="00472324" w:rsidP="00472324">
      <w:pPr>
        <w:spacing w:before="240"/>
        <w:ind w:left="1134"/>
        <w:jc w:val="both"/>
        <w:rPr>
          <w:rFonts w:ascii="Book Antiqua" w:hAnsi="Book Antiqua" w:cs="Arial"/>
          <w:sz w:val="22"/>
          <w:szCs w:val="22"/>
        </w:rPr>
      </w:pPr>
      <w:r>
        <w:rPr>
          <w:rFonts w:ascii="Book Antiqua" w:hAnsi="Book Antiqua" w:cs="Arial"/>
          <w:sz w:val="22"/>
          <w:szCs w:val="22"/>
        </w:rPr>
        <w:t xml:space="preserve">I cannot find on the evidence presented before me that this appellant can be regarded as having integrated into Irish society.  She was open and truthful in stating that her representative’s letter was wrong in submitting that she was a member of local clubs etc.  She did say (and the sponsor independently corroborated) she was involved in campaigning for the gay marriage vote in Ireland.  Nevertheless given the length of her residence in that country I do not find that this one activity is sufficient to show on a balance of probabilities that she had demonstrated to the requisite degree that she integrated into Ireland (sic).  No other was presented to me showing any other activities or local involvement.  It is for this reason alone I must dismiss the appeal”. </w:t>
      </w:r>
    </w:p>
    <w:p w14:paraId="7C8A4584" w14:textId="48C587CE" w:rsidR="004B53D8" w:rsidRPr="00F5664C" w:rsidRDefault="0020769D" w:rsidP="000F76DE">
      <w:pPr>
        <w:numPr>
          <w:ilvl w:val="0"/>
          <w:numId w:val="3"/>
        </w:numPr>
        <w:spacing w:before="240"/>
        <w:jc w:val="both"/>
        <w:rPr>
          <w:rFonts w:ascii="Book Antiqua" w:hAnsi="Book Antiqua" w:cs="Arial"/>
        </w:rPr>
      </w:pPr>
      <w:r>
        <w:rPr>
          <w:rFonts w:ascii="Book Antiqua" w:hAnsi="Book Antiqua" w:cs="Arial"/>
        </w:rPr>
        <w:t>That</w:t>
      </w:r>
      <w:r w:rsidR="003E5958">
        <w:rPr>
          <w:rFonts w:ascii="Book Antiqua" w:hAnsi="Book Antiqua" w:cs="Arial"/>
        </w:rPr>
        <w:t xml:space="preserve"> the judge erred in law was accepted also by Mr </w:t>
      </w:r>
      <w:proofErr w:type="spellStart"/>
      <w:r w:rsidR="003E5958">
        <w:rPr>
          <w:rFonts w:ascii="Book Antiqua" w:hAnsi="Book Antiqua" w:cs="Arial"/>
        </w:rPr>
        <w:t>Diwnycz</w:t>
      </w:r>
      <w:proofErr w:type="spellEnd"/>
      <w:r w:rsidR="003E5958">
        <w:rPr>
          <w:rFonts w:ascii="Book Antiqua" w:hAnsi="Book Antiqua" w:cs="Arial"/>
        </w:rPr>
        <w:t xml:space="preserve">, who appeared before the Upper Tribunal for the Secretary of State.  As Judge </w:t>
      </w:r>
      <w:proofErr w:type="spellStart"/>
      <w:r w:rsidR="003E5958">
        <w:rPr>
          <w:rFonts w:ascii="Book Antiqua" w:hAnsi="Book Antiqua" w:cs="Arial"/>
        </w:rPr>
        <w:t>Chohan</w:t>
      </w:r>
      <w:proofErr w:type="spellEnd"/>
      <w:r w:rsidR="003E5958">
        <w:rPr>
          <w:rFonts w:ascii="Book Antiqua" w:hAnsi="Book Antiqua" w:cs="Arial"/>
        </w:rPr>
        <w:t xml:space="preserve"> accurately identified in his grant of permission to appeal, integration </w:t>
      </w:r>
      <w:r w:rsidR="007D2BCA">
        <w:rPr>
          <w:rFonts w:ascii="Book Antiqua" w:hAnsi="Book Antiqua" w:cs="Arial"/>
        </w:rPr>
        <w:t xml:space="preserve">as </w:t>
      </w:r>
      <w:r w:rsidR="003E5958">
        <w:rPr>
          <w:rFonts w:ascii="Book Antiqua" w:hAnsi="Book Antiqua" w:cs="Arial"/>
        </w:rPr>
        <w:t xml:space="preserve">required by Regulation 9(2)(d) is “only one factor to be considered when deciding whether </w:t>
      </w:r>
      <w:r>
        <w:rPr>
          <w:rFonts w:ascii="Book Antiqua" w:hAnsi="Book Antiqua" w:cs="Arial"/>
        </w:rPr>
        <w:t xml:space="preserve">or not </w:t>
      </w:r>
      <w:r w:rsidR="003E5958">
        <w:rPr>
          <w:rFonts w:ascii="Book Antiqua" w:hAnsi="Book Antiqua" w:cs="Arial"/>
        </w:rPr>
        <w:t>the appellant’s and sponsor’s residence was genuine”.  The genuine nature of the residence is the overriding consideration for the satisfaction of the requirements of Regulation 9.  The judge clearly found that the</w:t>
      </w:r>
      <w:r w:rsidR="00070687">
        <w:rPr>
          <w:rFonts w:ascii="Book Antiqua" w:hAnsi="Book Antiqua" w:cs="Arial"/>
        </w:rPr>
        <w:t xml:space="preserve"> residence was genuine and his subsequent finding that the appellant had not integrated into Irish society appeared to contradict </w:t>
      </w:r>
      <w:r w:rsidR="00FA3E6D">
        <w:rPr>
          <w:rFonts w:ascii="Book Antiqua" w:hAnsi="Book Antiqua" w:cs="Arial"/>
        </w:rPr>
        <w:t xml:space="preserve">that </w:t>
      </w:r>
      <w:r w:rsidR="00070687">
        <w:rPr>
          <w:rFonts w:ascii="Book Antiqua" w:hAnsi="Book Antiqua" w:cs="Arial"/>
        </w:rPr>
        <w:t>primary finding.  I agree with Ms Hashmi, who appeared for the appellant before the Upper Tribunal, that the requirement of integration is n</w:t>
      </w:r>
      <w:r w:rsidR="007D2BCA">
        <w:rPr>
          <w:rFonts w:ascii="Book Antiqua" w:hAnsi="Book Antiqua" w:cs="Arial"/>
        </w:rPr>
        <w:t>ot a stand-alone requirement; rather, i</w:t>
      </w:r>
      <w:r w:rsidR="00070687">
        <w:rPr>
          <w:rFonts w:ascii="Book Antiqua" w:hAnsi="Book Antiqua" w:cs="Arial"/>
        </w:rPr>
        <w:t xml:space="preserve">t is one of several factors which may </w:t>
      </w:r>
      <w:r w:rsidR="007D2BCA">
        <w:rPr>
          <w:rFonts w:ascii="Book Antiqua" w:hAnsi="Book Antiqua" w:cs="Arial"/>
        </w:rPr>
        <w:t xml:space="preserve">indicate the genuineness of </w:t>
      </w:r>
      <w:r w:rsidR="00070687">
        <w:rPr>
          <w:rFonts w:ascii="Book Antiqua" w:hAnsi="Book Antiqua" w:cs="Arial"/>
        </w:rPr>
        <w:t>residence in the EEA State.  I was not asked</w:t>
      </w:r>
      <w:r w:rsidR="00FA3E6D">
        <w:rPr>
          <w:rFonts w:ascii="Book Antiqua" w:hAnsi="Book Antiqua" w:cs="Arial"/>
        </w:rPr>
        <w:t xml:space="preserve"> by Mr </w:t>
      </w:r>
      <w:proofErr w:type="spellStart"/>
      <w:r w:rsidR="00FA3E6D">
        <w:rPr>
          <w:rFonts w:ascii="Book Antiqua" w:hAnsi="Book Antiqua" w:cs="Arial"/>
        </w:rPr>
        <w:t>Diwnycz</w:t>
      </w:r>
      <w:proofErr w:type="spellEnd"/>
      <w:r w:rsidR="00FA3E6D">
        <w:rPr>
          <w:rFonts w:ascii="Book Antiqua" w:hAnsi="Book Antiqua" w:cs="Arial"/>
        </w:rPr>
        <w:t xml:space="preserve"> to interfere with the findings of fact on the evidence made by t</w:t>
      </w:r>
      <w:r w:rsidR="007D2BCA">
        <w:rPr>
          <w:rFonts w:ascii="Book Antiqua" w:hAnsi="Book Antiqua" w:cs="Arial"/>
        </w:rPr>
        <w:t xml:space="preserve">he judge so, </w:t>
      </w:r>
      <w:r w:rsidR="00FA3E6D">
        <w:rPr>
          <w:rFonts w:ascii="Book Antiqua" w:hAnsi="Book Antiqua" w:cs="Arial"/>
        </w:rPr>
        <w:t xml:space="preserve"> in the circumstances, I set aside the First-tier Tribunal’s decision and re-make the decision allowing the appeal against the Secretary of State’s refusal.  </w:t>
      </w:r>
      <w:r w:rsidR="00070687">
        <w:rPr>
          <w:rFonts w:ascii="Book Antiqua" w:hAnsi="Book Antiqua" w:cs="Arial"/>
        </w:rPr>
        <w:t xml:space="preserve">    </w:t>
      </w:r>
    </w:p>
    <w:p w14:paraId="5F99E3CB" w14:textId="77777777" w:rsidR="008508AD" w:rsidRPr="00FA3E6D" w:rsidRDefault="008508AD" w:rsidP="00FA3E6D">
      <w:pPr>
        <w:spacing w:before="240"/>
        <w:jc w:val="both"/>
        <w:rPr>
          <w:rFonts w:ascii="Book Antiqua" w:hAnsi="Book Antiqua" w:cs="Arial"/>
          <w:b/>
          <w:u w:val="single"/>
        </w:rPr>
      </w:pPr>
      <w:r w:rsidRPr="008508AD">
        <w:rPr>
          <w:rFonts w:ascii="Book Antiqua" w:hAnsi="Book Antiqua" w:cs="Arial"/>
          <w:b/>
          <w:u w:val="single"/>
        </w:rPr>
        <w:lastRenderedPageBreak/>
        <w:t>Notice of Decision</w:t>
      </w:r>
    </w:p>
    <w:p w14:paraId="2DC4D2EA" w14:textId="77777777" w:rsidR="008508AD" w:rsidRPr="008508AD" w:rsidRDefault="008508AD" w:rsidP="00FA3E6D">
      <w:pPr>
        <w:numPr>
          <w:ilvl w:val="0"/>
          <w:numId w:val="3"/>
        </w:numPr>
        <w:spacing w:before="240"/>
        <w:jc w:val="both"/>
        <w:rPr>
          <w:rFonts w:ascii="Book Antiqua" w:hAnsi="Book Antiqua" w:cs="Arial"/>
        </w:rPr>
      </w:pPr>
      <w:r w:rsidRPr="008508AD">
        <w:rPr>
          <w:rFonts w:ascii="Book Antiqua" w:hAnsi="Book Antiqua" w:cs="Arial"/>
        </w:rPr>
        <w:t xml:space="preserve">The </w:t>
      </w:r>
      <w:r w:rsidR="00FA3E6D">
        <w:rPr>
          <w:rFonts w:ascii="Book Antiqua" w:hAnsi="Book Antiqua" w:cs="Arial"/>
        </w:rPr>
        <w:t xml:space="preserve">decision of the First-tier Tribunal which was promulgated on 18 December 2017 is set aside.  I have re-made the decision.  The appellant’s </w:t>
      </w:r>
      <w:r w:rsidRPr="008508AD">
        <w:rPr>
          <w:rFonts w:ascii="Book Antiqua" w:hAnsi="Book Antiqua" w:cs="Arial"/>
        </w:rPr>
        <w:t xml:space="preserve">appeal </w:t>
      </w:r>
      <w:r w:rsidR="00FA3E6D">
        <w:rPr>
          <w:rFonts w:ascii="Book Antiqua" w:hAnsi="Book Antiqua" w:cs="Arial"/>
        </w:rPr>
        <w:t xml:space="preserve">against the decision of the Secretary of State dated 1 June 2017 is allowed.  </w:t>
      </w:r>
    </w:p>
    <w:p w14:paraId="72DC319F" w14:textId="77777777" w:rsidR="008508AD" w:rsidRPr="008508AD" w:rsidRDefault="008508AD" w:rsidP="008508AD">
      <w:pPr>
        <w:jc w:val="both"/>
        <w:rPr>
          <w:rFonts w:ascii="Book Antiqua" w:hAnsi="Book Antiqua" w:cs="Arial"/>
        </w:rPr>
      </w:pPr>
    </w:p>
    <w:p w14:paraId="0468A012" w14:textId="77777777" w:rsidR="008508AD" w:rsidRPr="008508AD" w:rsidRDefault="008508AD" w:rsidP="00FA3E6D">
      <w:pPr>
        <w:ind w:left="567"/>
        <w:jc w:val="both"/>
        <w:rPr>
          <w:rFonts w:ascii="Book Antiqua" w:hAnsi="Book Antiqua" w:cs="Arial"/>
        </w:rPr>
      </w:pPr>
      <w:r w:rsidRPr="008508AD">
        <w:rPr>
          <w:rFonts w:ascii="Book Antiqua" w:hAnsi="Book Antiqua" w:cs="Arial"/>
        </w:rPr>
        <w:t>No anonymity direction is made.</w:t>
      </w:r>
    </w:p>
    <w:p w14:paraId="3CD17708" w14:textId="77777777" w:rsidR="008508AD" w:rsidRPr="008508AD" w:rsidRDefault="008508AD" w:rsidP="008508AD">
      <w:pPr>
        <w:jc w:val="both"/>
        <w:rPr>
          <w:rFonts w:ascii="Book Antiqua" w:hAnsi="Book Antiqua" w:cs="Arial"/>
        </w:rPr>
      </w:pPr>
    </w:p>
    <w:p w14:paraId="4AD032FD" w14:textId="77777777" w:rsidR="000369F5" w:rsidRPr="00F5664C" w:rsidRDefault="000369F5" w:rsidP="000369F5">
      <w:pPr>
        <w:tabs>
          <w:tab w:val="left" w:pos="2520"/>
        </w:tabs>
        <w:jc w:val="both"/>
        <w:rPr>
          <w:rFonts w:ascii="Book Antiqua" w:hAnsi="Book Antiqua" w:cs="Arial"/>
        </w:rPr>
      </w:pPr>
    </w:p>
    <w:p w14:paraId="3040FFE2" w14:textId="77777777" w:rsidR="000369F5" w:rsidRPr="00F5664C" w:rsidRDefault="000369F5" w:rsidP="000369F5">
      <w:pPr>
        <w:tabs>
          <w:tab w:val="left" w:pos="2520"/>
        </w:tabs>
        <w:jc w:val="both"/>
        <w:rPr>
          <w:rFonts w:ascii="Book Antiqua" w:hAnsi="Book Antiqua" w:cs="Arial"/>
        </w:rPr>
      </w:pPr>
    </w:p>
    <w:p w14:paraId="48A55120" w14:textId="77777777" w:rsidR="000369F5" w:rsidRPr="00F5664C" w:rsidRDefault="000369F5" w:rsidP="000369F5">
      <w:pPr>
        <w:tabs>
          <w:tab w:val="left" w:pos="2520"/>
        </w:tabs>
        <w:jc w:val="both"/>
        <w:rPr>
          <w:rFonts w:ascii="Book Antiqua" w:hAnsi="Book Antiqua" w:cs="Arial"/>
        </w:rPr>
      </w:pPr>
    </w:p>
    <w:p w14:paraId="0926122B" w14:textId="77777777" w:rsidR="000369F5" w:rsidRDefault="000369F5" w:rsidP="000369F5">
      <w:pPr>
        <w:tabs>
          <w:tab w:val="left" w:pos="2520"/>
        </w:tabs>
        <w:jc w:val="both"/>
        <w:rPr>
          <w:rFonts w:ascii="Book Antiqua" w:hAnsi="Book Antiqua" w:cs="Arial"/>
        </w:rPr>
      </w:pPr>
    </w:p>
    <w:p w14:paraId="1493B16C" w14:textId="77777777" w:rsidR="008508AD" w:rsidRPr="00F5664C" w:rsidRDefault="008508AD" w:rsidP="000369F5">
      <w:pPr>
        <w:tabs>
          <w:tab w:val="left" w:pos="2520"/>
        </w:tabs>
        <w:jc w:val="both"/>
        <w:rPr>
          <w:rFonts w:ascii="Book Antiqua" w:hAnsi="Book Antiqua" w:cs="Arial"/>
        </w:rPr>
      </w:pPr>
    </w:p>
    <w:p w14:paraId="010A3FC0" w14:textId="2964BD75"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7D2BCA">
        <w:rPr>
          <w:rFonts w:ascii="Book Antiqua" w:hAnsi="Book Antiqua" w:cs="Arial"/>
        </w:rPr>
        <w:t>17 September 2018</w:t>
      </w:r>
    </w:p>
    <w:p w14:paraId="013C4F1E" w14:textId="77777777" w:rsidR="00F60D99" w:rsidRPr="00F5664C" w:rsidRDefault="00F60D99" w:rsidP="000369F5">
      <w:pPr>
        <w:tabs>
          <w:tab w:val="left" w:pos="2520"/>
        </w:tabs>
        <w:jc w:val="both"/>
        <w:rPr>
          <w:rFonts w:ascii="Book Antiqua" w:hAnsi="Book Antiqua" w:cs="Arial"/>
        </w:rPr>
      </w:pPr>
    </w:p>
    <w:p w14:paraId="01B3E561" w14:textId="77777777" w:rsidR="001F2716" w:rsidRPr="00F5664C" w:rsidRDefault="001F2716" w:rsidP="000369F5">
      <w:pPr>
        <w:tabs>
          <w:tab w:val="left" w:pos="2520"/>
        </w:tabs>
        <w:jc w:val="both"/>
        <w:rPr>
          <w:rFonts w:ascii="Book Antiqua" w:hAnsi="Book Antiqua" w:cs="Arial"/>
        </w:rPr>
      </w:pPr>
    </w:p>
    <w:p w14:paraId="6D73710B"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170D841E" w14:textId="49B2D3D3" w:rsidR="009C7B54" w:rsidRDefault="009C7B54" w:rsidP="000369F5">
      <w:pPr>
        <w:tabs>
          <w:tab w:val="left" w:pos="2520"/>
        </w:tabs>
        <w:jc w:val="both"/>
        <w:rPr>
          <w:rFonts w:ascii="Book Antiqua" w:hAnsi="Book Antiqua" w:cs="Arial"/>
        </w:rPr>
      </w:pPr>
    </w:p>
    <w:p w14:paraId="4C20F919" w14:textId="77777777" w:rsidR="009C7B54" w:rsidRPr="009C7B54" w:rsidRDefault="009C7B54" w:rsidP="009C7B54">
      <w:pPr>
        <w:rPr>
          <w:rFonts w:ascii="Book Antiqua" w:hAnsi="Book Antiqua" w:cs="Arial"/>
        </w:rPr>
      </w:pPr>
    </w:p>
    <w:p w14:paraId="4B23EC8B" w14:textId="77777777" w:rsidR="009C7B54" w:rsidRPr="009C7B54" w:rsidRDefault="009C7B54" w:rsidP="009C7B54">
      <w:pPr>
        <w:rPr>
          <w:rFonts w:ascii="Book Antiqua" w:hAnsi="Book Antiqua" w:cs="Arial"/>
        </w:rPr>
      </w:pPr>
    </w:p>
    <w:sectPr w:rsidR="009C7B54" w:rsidRPr="009C7B54"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BFCB1" w14:textId="77777777" w:rsidR="00082F62" w:rsidRDefault="00082F62">
      <w:r>
        <w:separator/>
      </w:r>
    </w:p>
  </w:endnote>
  <w:endnote w:type="continuationSeparator" w:id="0">
    <w:p w14:paraId="7A6A0659" w14:textId="77777777" w:rsidR="00082F62" w:rsidRDefault="0008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F2132" w14:textId="1E0B8A85"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319DC">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19D8A"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348AF" w14:textId="77777777" w:rsidR="00082F62" w:rsidRDefault="00082F62">
      <w:r>
        <w:separator/>
      </w:r>
    </w:p>
  </w:footnote>
  <w:footnote w:type="continuationSeparator" w:id="0">
    <w:p w14:paraId="316FB117" w14:textId="77777777" w:rsidR="00082F62" w:rsidRDefault="00082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96BA1" w14:textId="35E12F88"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BD52E7">
      <w:rPr>
        <w:rFonts w:ascii="Book Antiqua" w:hAnsi="Book Antiqua" w:cs="Arial"/>
        <w:sz w:val="16"/>
        <w:szCs w:val="16"/>
      </w:rPr>
      <w:t xml:space="preserve"> EA/06182/2017</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363F5" w14:textId="2D5FF31B"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E7"/>
    <w:rsid w:val="00000621"/>
    <w:rsid w:val="00001A2D"/>
    <w:rsid w:val="000036C2"/>
    <w:rsid w:val="000168E1"/>
    <w:rsid w:val="00027641"/>
    <w:rsid w:val="00033D3D"/>
    <w:rsid w:val="000369F5"/>
    <w:rsid w:val="00060ED5"/>
    <w:rsid w:val="00070687"/>
    <w:rsid w:val="00071602"/>
    <w:rsid w:val="00071A7E"/>
    <w:rsid w:val="000746C0"/>
    <w:rsid w:val="00074D1D"/>
    <w:rsid w:val="00082F62"/>
    <w:rsid w:val="00092580"/>
    <w:rsid w:val="000D5D94"/>
    <w:rsid w:val="000E0923"/>
    <w:rsid w:val="000F65CA"/>
    <w:rsid w:val="000F76DE"/>
    <w:rsid w:val="001165A7"/>
    <w:rsid w:val="00130ABD"/>
    <w:rsid w:val="00151BB7"/>
    <w:rsid w:val="00155BA9"/>
    <w:rsid w:val="0016457F"/>
    <w:rsid w:val="00167D3A"/>
    <w:rsid w:val="001723AE"/>
    <w:rsid w:val="00183D32"/>
    <w:rsid w:val="001A1E2C"/>
    <w:rsid w:val="001F2716"/>
    <w:rsid w:val="0020133A"/>
    <w:rsid w:val="00207617"/>
    <w:rsid w:val="0020769D"/>
    <w:rsid w:val="00264A24"/>
    <w:rsid w:val="00275F0C"/>
    <w:rsid w:val="00283659"/>
    <w:rsid w:val="002C4E73"/>
    <w:rsid w:val="002D68BF"/>
    <w:rsid w:val="003319DC"/>
    <w:rsid w:val="00336CBF"/>
    <w:rsid w:val="003546C8"/>
    <w:rsid w:val="003763A9"/>
    <w:rsid w:val="00381177"/>
    <w:rsid w:val="003A6E6C"/>
    <w:rsid w:val="003A7CF2"/>
    <w:rsid w:val="003B0789"/>
    <w:rsid w:val="003C5CE5"/>
    <w:rsid w:val="003C6548"/>
    <w:rsid w:val="003E267B"/>
    <w:rsid w:val="003E5958"/>
    <w:rsid w:val="003E7CD1"/>
    <w:rsid w:val="00402B9E"/>
    <w:rsid w:val="00423932"/>
    <w:rsid w:val="004249CB"/>
    <w:rsid w:val="0044127D"/>
    <w:rsid w:val="004448DB"/>
    <w:rsid w:val="00446C9A"/>
    <w:rsid w:val="00462D76"/>
    <w:rsid w:val="00472324"/>
    <w:rsid w:val="00477193"/>
    <w:rsid w:val="004A1848"/>
    <w:rsid w:val="004A1F1B"/>
    <w:rsid w:val="004B53D8"/>
    <w:rsid w:val="004E2759"/>
    <w:rsid w:val="00507FEC"/>
    <w:rsid w:val="00510F0E"/>
    <w:rsid w:val="00511891"/>
    <w:rsid w:val="0051790E"/>
    <w:rsid w:val="00521F6E"/>
    <w:rsid w:val="00527246"/>
    <w:rsid w:val="005479E1"/>
    <w:rsid w:val="005570FD"/>
    <w:rsid w:val="005575EA"/>
    <w:rsid w:val="005744A4"/>
    <w:rsid w:val="0057790C"/>
    <w:rsid w:val="0058661C"/>
    <w:rsid w:val="00593795"/>
    <w:rsid w:val="00594638"/>
    <w:rsid w:val="005A75FF"/>
    <w:rsid w:val="005B7789"/>
    <w:rsid w:val="005E1CCF"/>
    <w:rsid w:val="0065791C"/>
    <w:rsid w:val="00666416"/>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D2BCA"/>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C7B54"/>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74293"/>
    <w:rsid w:val="00B96FA0"/>
    <w:rsid w:val="00BA1D45"/>
    <w:rsid w:val="00BD4196"/>
    <w:rsid w:val="00BD52E7"/>
    <w:rsid w:val="00BF22CA"/>
    <w:rsid w:val="00C26032"/>
    <w:rsid w:val="00C265B0"/>
    <w:rsid w:val="00C321B5"/>
    <w:rsid w:val="00C345E1"/>
    <w:rsid w:val="00C977BA"/>
    <w:rsid w:val="00CB6E35"/>
    <w:rsid w:val="00CD0D61"/>
    <w:rsid w:val="00CE1A46"/>
    <w:rsid w:val="00CF253F"/>
    <w:rsid w:val="00CF56B4"/>
    <w:rsid w:val="00CF6DEE"/>
    <w:rsid w:val="00D06D1F"/>
    <w:rsid w:val="00D20F09"/>
    <w:rsid w:val="00D22636"/>
    <w:rsid w:val="00D36666"/>
    <w:rsid w:val="00D40FD9"/>
    <w:rsid w:val="00D53769"/>
    <w:rsid w:val="00D70775"/>
    <w:rsid w:val="00D85C13"/>
    <w:rsid w:val="00D86FC6"/>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A3E6D"/>
    <w:rsid w:val="00FB7E80"/>
    <w:rsid w:val="00FC3E38"/>
    <w:rsid w:val="00FF6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2D3016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5639</Characters>
  <Application>Microsoft Office Word</Application>
  <DocSecurity>0</DocSecurity>
  <Lines>46</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2018-10-05T15:04:00Z</dcterms:created>
  <dcterms:modified xsi:type="dcterms:W3CDTF">2018-10-05T15:04:00Z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