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B7CC" w14:textId="77777777" w:rsidR="00E500B2" w:rsidRPr="00626AFC" w:rsidRDefault="00827F30" w:rsidP="00E500B2">
      <w:pPr>
        <w:jc w:val="center"/>
        <w:rPr>
          <w:rFonts w:ascii="Book Antiqua" w:hAnsi="Book Antiqua" w:cs="Arial"/>
          <w:caps/>
          <w:color w:val="000000"/>
          <w:sz w:val="16"/>
          <w:szCs w:val="16"/>
        </w:rPr>
      </w:pPr>
      <w:r w:rsidRPr="00626AFC">
        <w:rPr>
          <w:noProof/>
        </w:rPr>
        <w:drawing>
          <wp:inline distT="0" distB="0" distL="0" distR="0" wp14:anchorId="48D2DBA9" wp14:editId="07D49F27">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57C47CF9" w14:textId="77777777" w:rsidR="00E500B2" w:rsidRPr="00626AFC" w:rsidRDefault="00E500B2" w:rsidP="00780F86">
      <w:pPr>
        <w:tabs>
          <w:tab w:val="right" w:pos="9720"/>
        </w:tabs>
        <w:ind w:right="-82"/>
        <w:rPr>
          <w:rFonts w:ascii="Book Antiqua" w:hAnsi="Book Antiqua" w:cs="Arial"/>
          <w:b/>
          <w:color w:val="000000"/>
        </w:rPr>
      </w:pPr>
      <w:r w:rsidRPr="00626AFC">
        <w:rPr>
          <w:rFonts w:ascii="Book Antiqua" w:hAnsi="Book Antiqua" w:cs="Arial"/>
          <w:b/>
          <w:color w:val="000000"/>
        </w:rPr>
        <w:t>Upper Tribunal</w:t>
      </w:r>
    </w:p>
    <w:p w14:paraId="27FB3600" w14:textId="2B1DA661" w:rsidR="007B0824" w:rsidRPr="008B6929" w:rsidRDefault="00E500B2" w:rsidP="00780F86">
      <w:pPr>
        <w:tabs>
          <w:tab w:val="right" w:pos="9720"/>
        </w:tabs>
        <w:ind w:right="-82"/>
        <w:rPr>
          <w:rFonts w:ascii="Book Antiqua" w:hAnsi="Book Antiqua" w:cs="Arial"/>
          <w:b/>
          <w:caps/>
          <w:color w:val="000000"/>
        </w:rPr>
      </w:pPr>
      <w:r w:rsidRPr="00626AFC">
        <w:rPr>
          <w:rFonts w:ascii="Book Antiqua" w:hAnsi="Book Antiqua" w:cs="Arial"/>
          <w:b/>
          <w:color w:val="000000"/>
        </w:rPr>
        <w:t xml:space="preserve">(Immigration and Asylum </w:t>
      </w:r>
      <w:proofErr w:type="gramStart"/>
      <w:r w:rsidRPr="00626AFC">
        <w:rPr>
          <w:rFonts w:ascii="Book Antiqua" w:hAnsi="Book Antiqua" w:cs="Arial"/>
          <w:b/>
          <w:color w:val="000000"/>
        </w:rPr>
        <w:t>Chamber)</w:t>
      </w:r>
      <w:r w:rsidR="008B6929">
        <w:rPr>
          <w:rFonts w:ascii="Book Antiqua" w:hAnsi="Book Antiqua" w:cs="Arial"/>
          <w:b/>
          <w:color w:val="000000"/>
        </w:rPr>
        <w:t xml:space="preserve">   </w:t>
      </w:r>
      <w:proofErr w:type="gramEnd"/>
      <w:r w:rsidR="008B6929">
        <w:rPr>
          <w:rFonts w:ascii="Book Antiqua" w:hAnsi="Book Antiqua" w:cs="Arial"/>
          <w:b/>
          <w:color w:val="000000"/>
        </w:rPr>
        <w:t xml:space="preserve">                </w:t>
      </w:r>
      <w:r w:rsidR="00B3524D" w:rsidRPr="008B6929">
        <w:rPr>
          <w:rFonts w:ascii="Book Antiqua" w:hAnsi="Book Antiqua" w:cs="Arial"/>
          <w:b/>
          <w:color w:val="000000"/>
        </w:rPr>
        <w:t>Appeal Number</w:t>
      </w:r>
      <w:r w:rsidR="00844981" w:rsidRPr="008B6929">
        <w:rPr>
          <w:rFonts w:ascii="Book Antiqua" w:hAnsi="Book Antiqua" w:cs="Arial"/>
          <w:b/>
          <w:color w:val="000000"/>
        </w:rPr>
        <w:t>s</w:t>
      </w:r>
      <w:r w:rsidR="00D53769" w:rsidRPr="008B6929">
        <w:rPr>
          <w:rFonts w:ascii="Book Antiqua" w:hAnsi="Book Antiqua" w:cs="Arial"/>
          <w:b/>
          <w:color w:val="000000"/>
        </w:rPr>
        <w:t>:</w:t>
      </w:r>
      <w:r w:rsidR="00B3524D" w:rsidRPr="008B6929">
        <w:rPr>
          <w:rFonts w:ascii="Book Antiqua" w:hAnsi="Book Antiqua" w:cs="Arial"/>
          <w:b/>
          <w:color w:val="000000"/>
        </w:rPr>
        <w:t xml:space="preserve"> </w:t>
      </w:r>
      <w:r w:rsidR="00827F30" w:rsidRPr="008B6929">
        <w:rPr>
          <w:rFonts w:ascii="Book Antiqua" w:hAnsi="Book Antiqua" w:cs="Arial"/>
          <w:b/>
          <w:caps/>
          <w:color w:val="000000"/>
        </w:rPr>
        <w:t>EA/06306/2016</w:t>
      </w:r>
    </w:p>
    <w:p w14:paraId="6B5353CC" w14:textId="7AF94D40" w:rsidR="00705778" w:rsidRPr="008B6929" w:rsidRDefault="008B6929"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705778" w:rsidRPr="008B6929">
        <w:rPr>
          <w:rFonts w:ascii="Book Antiqua" w:hAnsi="Book Antiqua" w:cs="Arial"/>
          <w:b/>
          <w:caps/>
          <w:color w:val="000000"/>
        </w:rPr>
        <w:t>EA/07187/2016</w:t>
      </w:r>
    </w:p>
    <w:p w14:paraId="23F36A5A" w14:textId="77777777" w:rsidR="00C345E1" w:rsidRPr="00626AFC" w:rsidRDefault="00C345E1" w:rsidP="00C345E1">
      <w:pPr>
        <w:jc w:val="center"/>
        <w:rPr>
          <w:rFonts w:ascii="Book Antiqua" w:hAnsi="Book Antiqua" w:cs="Arial"/>
          <w:color w:val="000000"/>
        </w:rPr>
      </w:pPr>
    </w:p>
    <w:p w14:paraId="4C43B937" w14:textId="77777777" w:rsidR="00C345E1" w:rsidRPr="00626AFC" w:rsidRDefault="00C345E1" w:rsidP="00C345E1">
      <w:pPr>
        <w:jc w:val="center"/>
        <w:rPr>
          <w:rFonts w:ascii="Book Antiqua" w:hAnsi="Book Antiqua" w:cs="Arial"/>
          <w:b/>
          <w:color w:val="000000"/>
          <w:u w:val="single"/>
        </w:rPr>
      </w:pPr>
      <w:r w:rsidRPr="00626AFC">
        <w:rPr>
          <w:rFonts w:ascii="Book Antiqua" w:hAnsi="Book Antiqua" w:cs="Arial"/>
          <w:b/>
          <w:color w:val="000000"/>
          <w:u w:val="single"/>
        </w:rPr>
        <w:t>THE IMMIGRATION ACTS</w:t>
      </w:r>
    </w:p>
    <w:p w14:paraId="5D254780" w14:textId="77777777" w:rsidR="00C345E1" w:rsidRPr="00626AF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5046"/>
      </w:tblGrid>
      <w:tr w:rsidR="00D22636" w:rsidRPr="00626AFC" w14:paraId="0A5A88B0" w14:textId="77777777" w:rsidTr="008B6929">
        <w:tc>
          <w:tcPr>
            <w:tcW w:w="4962" w:type="dxa"/>
          </w:tcPr>
          <w:p w14:paraId="56FB8985" w14:textId="77777777" w:rsidR="00D22636" w:rsidRPr="00626AFC" w:rsidRDefault="00D22636" w:rsidP="004A1848">
            <w:pPr>
              <w:jc w:val="both"/>
              <w:rPr>
                <w:rFonts w:ascii="Book Antiqua" w:hAnsi="Book Antiqua" w:cs="Arial"/>
                <w:b/>
              </w:rPr>
            </w:pPr>
            <w:r w:rsidRPr="00626AFC">
              <w:rPr>
                <w:rFonts w:ascii="Book Antiqua" w:hAnsi="Book Antiqua" w:cs="Arial"/>
                <w:b/>
              </w:rPr>
              <w:t xml:space="preserve">Heard at </w:t>
            </w:r>
            <w:r w:rsidR="00C010E7" w:rsidRPr="00626AFC">
              <w:rPr>
                <w:rFonts w:ascii="Book Antiqua" w:hAnsi="Book Antiqua" w:cs="Arial"/>
                <w:b/>
              </w:rPr>
              <w:t xml:space="preserve">Field House </w:t>
            </w:r>
          </w:p>
        </w:tc>
        <w:tc>
          <w:tcPr>
            <w:tcW w:w="5046" w:type="dxa"/>
          </w:tcPr>
          <w:p w14:paraId="0AD78D75" w14:textId="5460DDD8" w:rsidR="00D22636" w:rsidRPr="00626AFC" w:rsidRDefault="008B6929" w:rsidP="00093D4D">
            <w:pPr>
              <w:jc w:val="both"/>
              <w:rPr>
                <w:rFonts w:ascii="Book Antiqua" w:hAnsi="Book Antiqua" w:cs="Arial"/>
                <w:b/>
                <w:color w:val="000000"/>
              </w:rPr>
            </w:pPr>
            <w:r>
              <w:rPr>
                <w:rFonts w:ascii="Book Antiqua" w:hAnsi="Book Antiqua" w:cs="Arial"/>
                <w:b/>
                <w:color w:val="000000"/>
              </w:rPr>
              <w:t xml:space="preserve"> </w:t>
            </w:r>
            <w:r w:rsidR="00173CC6" w:rsidRPr="00626AFC">
              <w:rPr>
                <w:rFonts w:ascii="Book Antiqua" w:hAnsi="Book Antiqua" w:cs="Arial"/>
                <w:b/>
                <w:color w:val="000000"/>
              </w:rPr>
              <w:t>Decision &amp; Reasons</w:t>
            </w:r>
            <w:r w:rsidR="00283659" w:rsidRPr="00626AFC">
              <w:rPr>
                <w:rFonts w:ascii="Book Antiqua" w:hAnsi="Book Antiqua" w:cs="Arial"/>
                <w:b/>
                <w:color w:val="000000"/>
              </w:rPr>
              <w:t xml:space="preserve"> Promulgated</w:t>
            </w:r>
          </w:p>
        </w:tc>
      </w:tr>
      <w:tr w:rsidR="00D22636" w:rsidRPr="00626AFC" w14:paraId="479D01D4" w14:textId="77777777" w:rsidTr="008B6929">
        <w:tc>
          <w:tcPr>
            <w:tcW w:w="4962" w:type="dxa"/>
          </w:tcPr>
          <w:p w14:paraId="4E3A90D8" w14:textId="77777777" w:rsidR="00D22636" w:rsidRPr="00626AFC" w:rsidRDefault="00D22636" w:rsidP="004A1848">
            <w:pPr>
              <w:jc w:val="both"/>
              <w:rPr>
                <w:rFonts w:ascii="Book Antiqua" w:hAnsi="Book Antiqua" w:cs="Arial"/>
                <w:b/>
              </w:rPr>
            </w:pPr>
            <w:r w:rsidRPr="00626AFC">
              <w:rPr>
                <w:rFonts w:ascii="Book Antiqua" w:hAnsi="Book Antiqua" w:cs="Arial"/>
                <w:b/>
              </w:rPr>
              <w:t xml:space="preserve">On </w:t>
            </w:r>
            <w:r w:rsidR="00C010E7" w:rsidRPr="00626AFC">
              <w:rPr>
                <w:rFonts w:ascii="Book Antiqua" w:hAnsi="Book Antiqua" w:cs="Arial"/>
                <w:b/>
              </w:rPr>
              <w:t xml:space="preserve">20 July 2018 </w:t>
            </w:r>
          </w:p>
        </w:tc>
        <w:tc>
          <w:tcPr>
            <w:tcW w:w="5046" w:type="dxa"/>
          </w:tcPr>
          <w:p w14:paraId="37D37E31" w14:textId="06A2BEDF" w:rsidR="00D22636" w:rsidRPr="00626AFC" w:rsidRDefault="008B6929" w:rsidP="004A1848">
            <w:pPr>
              <w:jc w:val="both"/>
              <w:rPr>
                <w:rFonts w:ascii="Book Antiqua" w:hAnsi="Book Antiqua" w:cs="Arial"/>
                <w:b/>
              </w:rPr>
            </w:pPr>
            <w:r>
              <w:rPr>
                <w:rFonts w:ascii="Book Antiqua" w:hAnsi="Book Antiqua" w:cs="Arial"/>
                <w:b/>
              </w:rPr>
              <w:t xml:space="preserve"> </w:t>
            </w:r>
            <w:r w:rsidR="006B3E18">
              <w:rPr>
                <w:rFonts w:ascii="Book Antiqua" w:hAnsi="Book Antiqua" w:cs="Arial"/>
                <w:b/>
              </w:rPr>
              <w:t xml:space="preserve">On 03 August 2018 </w:t>
            </w:r>
          </w:p>
        </w:tc>
      </w:tr>
      <w:tr w:rsidR="00D22636" w:rsidRPr="00626AFC" w14:paraId="6A6CCD74" w14:textId="77777777" w:rsidTr="008B6929">
        <w:tc>
          <w:tcPr>
            <w:tcW w:w="4962" w:type="dxa"/>
          </w:tcPr>
          <w:p w14:paraId="6D5C0EA9" w14:textId="77777777" w:rsidR="00D22636" w:rsidRPr="00626AFC" w:rsidRDefault="00D22636" w:rsidP="004A1848">
            <w:pPr>
              <w:jc w:val="both"/>
              <w:rPr>
                <w:rFonts w:ascii="Book Antiqua" w:hAnsi="Book Antiqua" w:cs="Arial"/>
                <w:b/>
              </w:rPr>
            </w:pPr>
          </w:p>
        </w:tc>
        <w:tc>
          <w:tcPr>
            <w:tcW w:w="5046" w:type="dxa"/>
          </w:tcPr>
          <w:p w14:paraId="7FAB51C4" w14:textId="509E7475" w:rsidR="00D22636" w:rsidRPr="00626AFC" w:rsidRDefault="00D22636" w:rsidP="004A1848">
            <w:pPr>
              <w:jc w:val="both"/>
              <w:rPr>
                <w:rFonts w:ascii="Book Antiqua" w:hAnsi="Book Antiqua" w:cs="Arial"/>
                <w:b/>
              </w:rPr>
            </w:pPr>
          </w:p>
        </w:tc>
      </w:tr>
    </w:tbl>
    <w:p w14:paraId="6B12C1B7" w14:textId="77777777" w:rsidR="00A15234" w:rsidRPr="00626AFC" w:rsidRDefault="00A15234" w:rsidP="00A15234">
      <w:pPr>
        <w:jc w:val="center"/>
        <w:rPr>
          <w:rFonts w:ascii="Book Antiqua" w:hAnsi="Book Antiqua" w:cs="Arial"/>
        </w:rPr>
      </w:pPr>
    </w:p>
    <w:p w14:paraId="6029465C" w14:textId="77777777" w:rsidR="00A15234" w:rsidRPr="00626AFC" w:rsidRDefault="00207617" w:rsidP="00A15234">
      <w:pPr>
        <w:jc w:val="center"/>
        <w:rPr>
          <w:rFonts w:ascii="Book Antiqua" w:hAnsi="Book Antiqua" w:cs="Arial"/>
          <w:b/>
        </w:rPr>
      </w:pPr>
      <w:r w:rsidRPr="00626AFC">
        <w:rPr>
          <w:rFonts w:ascii="Book Antiqua" w:hAnsi="Book Antiqua" w:cs="Arial"/>
          <w:b/>
        </w:rPr>
        <w:t>Befo</w:t>
      </w:r>
      <w:r w:rsidR="00A15234" w:rsidRPr="00626AFC">
        <w:rPr>
          <w:rFonts w:ascii="Book Antiqua" w:hAnsi="Book Antiqua" w:cs="Arial"/>
          <w:b/>
        </w:rPr>
        <w:t>re</w:t>
      </w:r>
    </w:p>
    <w:p w14:paraId="2A7D1EF9" w14:textId="77777777" w:rsidR="00A15234" w:rsidRPr="00626AFC" w:rsidRDefault="00A15234" w:rsidP="00A15234">
      <w:pPr>
        <w:jc w:val="center"/>
        <w:rPr>
          <w:rFonts w:ascii="Book Antiqua" w:hAnsi="Book Antiqua" w:cs="Arial"/>
          <w:b/>
        </w:rPr>
      </w:pPr>
    </w:p>
    <w:p w14:paraId="1D1A1159" w14:textId="77777777" w:rsidR="00D20757" w:rsidRPr="00626AFC" w:rsidRDefault="00D7040C" w:rsidP="00A15234">
      <w:pPr>
        <w:jc w:val="center"/>
        <w:rPr>
          <w:rFonts w:ascii="Book Antiqua" w:hAnsi="Book Antiqua" w:cs="Arial"/>
          <w:b/>
          <w:color w:val="000000"/>
        </w:rPr>
      </w:pPr>
      <w:r w:rsidRPr="00626AFC">
        <w:rPr>
          <w:rFonts w:ascii="Book Antiqua" w:hAnsi="Book Antiqua" w:cs="Arial"/>
          <w:b/>
          <w:color w:val="000000"/>
        </w:rPr>
        <w:t xml:space="preserve">DR H </w:t>
      </w:r>
      <w:proofErr w:type="spellStart"/>
      <w:r w:rsidRPr="00626AFC">
        <w:rPr>
          <w:rFonts w:ascii="Book Antiqua" w:hAnsi="Book Antiqua" w:cs="Arial"/>
          <w:b/>
          <w:color w:val="000000"/>
        </w:rPr>
        <w:t>H</w:t>
      </w:r>
      <w:proofErr w:type="spellEnd"/>
      <w:r w:rsidRPr="00626AFC">
        <w:rPr>
          <w:rFonts w:ascii="Book Antiqua" w:hAnsi="Book Antiqua" w:cs="Arial"/>
          <w:b/>
          <w:color w:val="000000"/>
        </w:rPr>
        <w:t xml:space="preserve"> </w:t>
      </w:r>
      <w:r w:rsidR="008B4F43" w:rsidRPr="00626AFC">
        <w:rPr>
          <w:rFonts w:ascii="Book Antiqua" w:hAnsi="Book Antiqua" w:cs="Arial"/>
          <w:b/>
          <w:color w:val="000000"/>
        </w:rPr>
        <w:t>STOREY</w:t>
      </w:r>
    </w:p>
    <w:p w14:paraId="0C184379" w14:textId="77777777" w:rsidR="001B186A" w:rsidRPr="00626AFC" w:rsidRDefault="00D7040C" w:rsidP="00A15234">
      <w:pPr>
        <w:jc w:val="center"/>
        <w:rPr>
          <w:rFonts w:ascii="Book Antiqua" w:hAnsi="Book Antiqua" w:cs="Arial"/>
          <w:b/>
          <w:color w:val="000000"/>
        </w:rPr>
      </w:pPr>
      <w:r w:rsidRPr="00626AFC">
        <w:rPr>
          <w:rFonts w:ascii="Book Antiqua" w:hAnsi="Book Antiqua" w:cs="Arial"/>
          <w:b/>
          <w:color w:val="000000"/>
        </w:rPr>
        <w:t>JUDGE OF THE UPPER TRIBUNAL</w:t>
      </w:r>
      <w:r w:rsidR="00C010E7" w:rsidRPr="00626AFC">
        <w:rPr>
          <w:rFonts w:ascii="Book Antiqua" w:hAnsi="Book Antiqua" w:cs="Arial"/>
          <w:b/>
          <w:color w:val="000000"/>
        </w:rPr>
        <w:t xml:space="preserve"> </w:t>
      </w:r>
    </w:p>
    <w:p w14:paraId="19E13F05" w14:textId="77777777" w:rsidR="00D20757" w:rsidRPr="00626AFC" w:rsidRDefault="00D20757" w:rsidP="00A15234">
      <w:pPr>
        <w:jc w:val="center"/>
        <w:rPr>
          <w:rFonts w:ascii="Book Antiqua" w:hAnsi="Book Antiqua" w:cs="Arial"/>
          <w:b/>
        </w:rPr>
      </w:pPr>
    </w:p>
    <w:p w14:paraId="713B4FEC" w14:textId="77777777" w:rsidR="00A845DC" w:rsidRPr="00626AFC" w:rsidRDefault="00A845DC" w:rsidP="00A15234">
      <w:pPr>
        <w:jc w:val="center"/>
        <w:rPr>
          <w:rFonts w:ascii="Book Antiqua" w:hAnsi="Book Antiqua" w:cs="Arial"/>
          <w:b/>
        </w:rPr>
      </w:pPr>
      <w:r w:rsidRPr="00626AFC">
        <w:rPr>
          <w:rFonts w:ascii="Book Antiqua" w:hAnsi="Book Antiqua" w:cs="Arial"/>
          <w:b/>
        </w:rPr>
        <w:t>Between</w:t>
      </w:r>
    </w:p>
    <w:p w14:paraId="0B75F7EA" w14:textId="77777777" w:rsidR="00A845DC" w:rsidRPr="00626AFC" w:rsidRDefault="00A845DC" w:rsidP="00A15234">
      <w:pPr>
        <w:jc w:val="center"/>
        <w:rPr>
          <w:rFonts w:ascii="Book Antiqua" w:hAnsi="Book Antiqua" w:cs="Arial"/>
          <w:b/>
        </w:rPr>
      </w:pPr>
    </w:p>
    <w:p w14:paraId="47B48421" w14:textId="77777777" w:rsidR="00A845DC" w:rsidRPr="00626AFC" w:rsidRDefault="007648FB" w:rsidP="00A15234">
      <w:pPr>
        <w:jc w:val="center"/>
        <w:rPr>
          <w:rFonts w:ascii="Book Antiqua" w:hAnsi="Book Antiqua" w:cs="Arial"/>
          <w:b/>
          <w:caps/>
        </w:rPr>
      </w:pPr>
      <w:r w:rsidRPr="00626AFC">
        <w:rPr>
          <w:rFonts w:ascii="Book Antiqua" w:hAnsi="Book Antiqua" w:cs="Arial"/>
          <w:b/>
          <w:caps/>
        </w:rPr>
        <w:t>mrs Nadiya Tkachuk</w:t>
      </w:r>
      <w:r w:rsidR="006D4728" w:rsidRPr="00626AFC">
        <w:rPr>
          <w:rFonts w:ascii="Book Antiqua" w:hAnsi="Book Antiqua" w:cs="Arial"/>
          <w:b/>
          <w:caps/>
        </w:rPr>
        <w:t xml:space="preserve"> (first Appellant) </w:t>
      </w:r>
    </w:p>
    <w:p w14:paraId="733DC1B3" w14:textId="77777777" w:rsidR="00D41120" w:rsidRPr="00626AFC" w:rsidRDefault="009A080F" w:rsidP="00A15234">
      <w:pPr>
        <w:jc w:val="center"/>
        <w:rPr>
          <w:rFonts w:ascii="Book Antiqua" w:hAnsi="Book Antiqua" w:cs="Arial"/>
          <w:b/>
          <w:caps/>
        </w:rPr>
      </w:pPr>
      <w:r w:rsidRPr="00626AFC">
        <w:rPr>
          <w:rFonts w:ascii="Book Antiqua" w:hAnsi="Book Antiqua" w:cstheme="minorHAnsi"/>
          <w:b/>
          <w:caps/>
        </w:rPr>
        <w:t>mr Serhiy Pelykh</w:t>
      </w:r>
      <w:r w:rsidR="006D4728" w:rsidRPr="00626AFC">
        <w:rPr>
          <w:rFonts w:ascii="Book Antiqua" w:hAnsi="Book Antiqua" w:cstheme="minorHAnsi"/>
          <w:b/>
          <w:caps/>
        </w:rPr>
        <w:t xml:space="preserve"> (second Appellant) </w:t>
      </w:r>
    </w:p>
    <w:p w14:paraId="233CD675" w14:textId="62D4C39B" w:rsidR="00173CC6" w:rsidRPr="008B6929" w:rsidRDefault="00173CC6" w:rsidP="00173CC6">
      <w:pPr>
        <w:jc w:val="center"/>
        <w:rPr>
          <w:rFonts w:ascii="Book Antiqua" w:hAnsi="Book Antiqua" w:cs="Arial"/>
          <w:caps/>
        </w:rPr>
      </w:pPr>
      <w:r w:rsidRPr="008B6929">
        <w:rPr>
          <w:rFonts w:ascii="Book Antiqua" w:hAnsi="Book Antiqua" w:cs="Arial"/>
          <w:caps/>
        </w:rPr>
        <w:t xml:space="preserve">(ANONYMITY DIRECTION </w:t>
      </w:r>
      <w:r w:rsidR="00362961" w:rsidRPr="008B6929">
        <w:rPr>
          <w:rFonts w:ascii="Book Antiqua" w:hAnsi="Book Antiqua" w:cs="Arial"/>
          <w:caps/>
        </w:rPr>
        <w:t>NOT MADE</w:t>
      </w:r>
      <w:r w:rsidRPr="008B6929">
        <w:rPr>
          <w:rFonts w:ascii="Book Antiqua" w:hAnsi="Book Antiqua" w:cs="Arial"/>
          <w:caps/>
        </w:rPr>
        <w:t>)</w:t>
      </w:r>
    </w:p>
    <w:p w14:paraId="6FFC05AA" w14:textId="77777777" w:rsidR="00704B61" w:rsidRPr="00626AFC" w:rsidRDefault="00704B61" w:rsidP="00704B61">
      <w:pPr>
        <w:jc w:val="right"/>
        <w:rPr>
          <w:rFonts w:ascii="Book Antiqua" w:hAnsi="Book Antiqua" w:cs="Arial"/>
          <w:u w:val="single"/>
        </w:rPr>
      </w:pPr>
      <w:r w:rsidRPr="00626AFC">
        <w:rPr>
          <w:rFonts w:ascii="Book Antiqua" w:hAnsi="Book Antiqua" w:cs="Arial"/>
          <w:u w:val="single"/>
        </w:rPr>
        <w:t>Appellant</w:t>
      </w:r>
      <w:r w:rsidR="00844981" w:rsidRPr="00626AFC">
        <w:rPr>
          <w:rFonts w:ascii="Book Antiqua" w:hAnsi="Book Antiqua" w:cs="Arial"/>
          <w:u w:val="single"/>
        </w:rPr>
        <w:t>s</w:t>
      </w:r>
    </w:p>
    <w:p w14:paraId="32724FAF" w14:textId="77777777" w:rsidR="00704B61" w:rsidRPr="00626AFC" w:rsidRDefault="00DD5071" w:rsidP="00704B61">
      <w:pPr>
        <w:jc w:val="center"/>
        <w:rPr>
          <w:rFonts w:ascii="Book Antiqua" w:hAnsi="Book Antiqua" w:cs="Arial"/>
          <w:b/>
        </w:rPr>
      </w:pPr>
      <w:r w:rsidRPr="00626AFC">
        <w:rPr>
          <w:rFonts w:ascii="Book Antiqua" w:hAnsi="Book Antiqua" w:cs="Arial"/>
          <w:b/>
        </w:rPr>
        <w:t>and</w:t>
      </w:r>
    </w:p>
    <w:p w14:paraId="6667A90A" w14:textId="77777777" w:rsidR="00DD5071" w:rsidRPr="00626AFC" w:rsidRDefault="00DD5071" w:rsidP="00704B61">
      <w:pPr>
        <w:jc w:val="center"/>
        <w:rPr>
          <w:rFonts w:ascii="Book Antiqua" w:hAnsi="Book Antiqua" w:cs="Arial"/>
          <w:b/>
        </w:rPr>
      </w:pPr>
    </w:p>
    <w:p w14:paraId="31CCD4E0" w14:textId="77777777" w:rsidR="00DD5071" w:rsidRPr="00626AFC" w:rsidRDefault="00DD5071" w:rsidP="00704B61">
      <w:pPr>
        <w:jc w:val="center"/>
        <w:rPr>
          <w:rFonts w:ascii="Book Antiqua" w:hAnsi="Book Antiqua" w:cs="Arial"/>
          <w:b/>
        </w:rPr>
      </w:pPr>
      <w:bookmarkStart w:id="0" w:name="Text7"/>
      <w:r w:rsidRPr="00626AFC">
        <w:rPr>
          <w:rFonts w:ascii="Book Antiqua" w:hAnsi="Book Antiqua" w:cs="Arial"/>
          <w:b/>
          <w:noProof/>
        </w:rPr>
        <w:t>THE SECRETARY OF STATE FOR THE HOME DEPARTMENT</w:t>
      </w:r>
      <w:bookmarkEnd w:id="0"/>
      <w:r w:rsidR="00877749" w:rsidRPr="00626AFC">
        <w:rPr>
          <w:rFonts w:ascii="Book Antiqua" w:hAnsi="Book Antiqua" w:cs="Arial"/>
          <w:b/>
          <w:noProof/>
        </w:rPr>
        <w:t xml:space="preserve"> </w:t>
      </w:r>
    </w:p>
    <w:p w14:paraId="1A0F72F7" w14:textId="77777777" w:rsidR="00DD5071" w:rsidRPr="00626AFC" w:rsidRDefault="00DD5071" w:rsidP="00DD5071">
      <w:pPr>
        <w:jc w:val="right"/>
        <w:rPr>
          <w:rFonts w:ascii="Book Antiqua" w:hAnsi="Book Antiqua" w:cs="Arial"/>
          <w:u w:val="single"/>
        </w:rPr>
      </w:pPr>
      <w:r w:rsidRPr="00626AFC">
        <w:rPr>
          <w:rFonts w:ascii="Book Antiqua" w:hAnsi="Book Antiqua" w:cs="Arial"/>
          <w:u w:val="single"/>
        </w:rPr>
        <w:t>Respondent</w:t>
      </w:r>
    </w:p>
    <w:p w14:paraId="5DBA1C2F" w14:textId="77777777" w:rsidR="00DD5071" w:rsidRPr="00626AFC" w:rsidRDefault="00DD5071" w:rsidP="00DD5071">
      <w:pPr>
        <w:rPr>
          <w:rFonts w:ascii="Book Antiqua" w:hAnsi="Book Antiqua" w:cs="Arial"/>
          <w:u w:val="single"/>
        </w:rPr>
      </w:pPr>
    </w:p>
    <w:p w14:paraId="47D82897" w14:textId="77777777" w:rsidR="00DD5071" w:rsidRPr="00626AFC" w:rsidRDefault="00DE7DB7" w:rsidP="00DD5071">
      <w:pPr>
        <w:rPr>
          <w:rFonts w:ascii="Book Antiqua" w:hAnsi="Book Antiqua" w:cs="Arial"/>
        </w:rPr>
      </w:pPr>
      <w:r w:rsidRPr="00626AFC">
        <w:rPr>
          <w:rFonts w:ascii="Book Antiqua" w:hAnsi="Book Antiqua" w:cs="Arial"/>
          <w:b/>
          <w:u w:val="single"/>
        </w:rPr>
        <w:t>Representation</w:t>
      </w:r>
      <w:r w:rsidRPr="00626AFC">
        <w:rPr>
          <w:rFonts w:ascii="Book Antiqua" w:hAnsi="Book Antiqua" w:cs="Arial"/>
          <w:b/>
        </w:rPr>
        <w:t>:</w:t>
      </w:r>
    </w:p>
    <w:p w14:paraId="4A9A09D0" w14:textId="77777777" w:rsidR="00DE7DB7" w:rsidRPr="00626AFC" w:rsidRDefault="00DE7DB7" w:rsidP="00DD5071">
      <w:pPr>
        <w:rPr>
          <w:rFonts w:ascii="Book Antiqua" w:hAnsi="Book Antiqua" w:cs="Arial"/>
        </w:rPr>
      </w:pPr>
    </w:p>
    <w:p w14:paraId="12774C0E" w14:textId="77777777" w:rsidR="00DE7DB7" w:rsidRPr="00626AFC" w:rsidRDefault="00DE7DB7" w:rsidP="00DE7DB7">
      <w:pPr>
        <w:tabs>
          <w:tab w:val="left" w:pos="2520"/>
        </w:tabs>
        <w:rPr>
          <w:rFonts w:ascii="Book Antiqua" w:hAnsi="Book Antiqua" w:cs="Arial"/>
        </w:rPr>
      </w:pPr>
      <w:r w:rsidRPr="00626AFC">
        <w:rPr>
          <w:rFonts w:ascii="Book Antiqua" w:hAnsi="Book Antiqua" w:cs="Arial"/>
        </w:rPr>
        <w:t>For the Appellant</w:t>
      </w:r>
      <w:r w:rsidR="00844981" w:rsidRPr="00626AFC">
        <w:rPr>
          <w:rFonts w:ascii="Book Antiqua" w:hAnsi="Book Antiqua" w:cs="Arial"/>
        </w:rPr>
        <w:t>s</w:t>
      </w:r>
      <w:r w:rsidRPr="00626AFC">
        <w:rPr>
          <w:rFonts w:ascii="Book Antiqua" w:hAnsi="Book Antiqua" w:cs="Arial"/>
        </w:rPr>
        <w:t>:</w:t>
      </w:r>
      <w:r w:rsidRPr="00626AFC">
        <w:rPr>
          <w:rFonts w:ascii="Book Antiqua" w:hAnsi="Book Antiqua" w:cs="Arial"/>
        </w:rPr>
        <w:tab/>
      </w:r>
      <w:r w:rsidR="007E0A29" w:rsidRPr="00626AFC">
        <w:rPr>
          <w:rFonts w:ascii="Book Antiqua" w:hAnsi="Book Antiqua" w:cs="Arial"/>
        </w:rPr>
        <w:t xml:space="preserve">Ms K </w:t>
      </w:r>
      <w:proofErr w:type="spellStart"/>
      <w:r w:rsidR="007E0A29" w:rsidRPr="00626AFC">
        <w:rPr>
          <w:rFonts w:ascii="Book Antiqua" w:hAnsi="Book Antiqua" w:cs="Arial"/>
        </w:rPr>
        <w:t>Degirmenci</w:t>
      </w:r>
      <w:proofErr w:type="spellEnd"/>
      <w:r w:rsidR="007E0A29" w:rsidRPr="00626AFC">
        <w:rPr>
          <w:rFonts w:ascii="Book Antiqua" w:hAnsi="Book Antiqua" w:cs="Arial"/>
        </w:rPr>
        <w:t xml:space="preserve">, Counsel, instructed by </w:t>
      </w:r>
      <w:proofErr w:type="spellStart"/>
      <w:r w:rsidR="007E0A29" w:rsidRPr="00626AFC">
        <w:rPr>
          <w:rFonts w:ascii="Book Antiqua" w:hAnsi="Book Antiqua" w:cs="Arial"/>
        </w:rPr>
        <w:t>Yemets</w:t>
      </w:r>
      <w:proofErr w:type="spellEnd"/>
      <w:r w:rsidR="007E0A29" w:rsidRPr="00626AFC">
        <w:rPr>
          <w:rFonts w:ascii="Book Antiqua" w:hAnsi="Book Antiqua" w:cs="Arial"/>
        </w:rPr>
        <w:t xml:space="preserve"> Solicitors </w:t>
      </w:r>
    </w:p>
    <w:p w14:paraId="05AD6040" w14:textId="77777777" w:rsidR="00DE7DB7" w:rsidRPr="00626AFC" w:rsidRDefault="00DE7DB7" w:rsidP="00DE7DB7">
      <w:pPr>
        <w:tabs>
          <w:tab w:val="left" w:pos="2520"/>
        </w:tabs>
        <w:rPr>
          <w:rFonts w:ascii="Book Antiqua" w:hAnsi="Book Antiqua" w:cs="Arial"/>
        </w:rPr>
      </w:pPr>
      <w:r w:rsidRPr="00626AFC">
        <w:rPr>
          <w:rFonts w:ascii="Book Antiqua" w:hAnsi="Book Antiqua" w:cs="Arial"/>
        </w:rPr>
        <w:t>For the Respondent:</w:t>
      </w:r>
      <w:r w:rsidRPr="00626AFC">
        <w:rPr>
          <w:rFonts w:ascii="Book Antiqua" w:hAnsi="Book Antiqua" w:cs="Arial"/>
        </w:rPr>
        <w:tab/>
      </w:r>
      <w:r w:rsidR="0001044F" w:rsidRPr="00626AFC">
        <w:rPr>
          <w:rFonts w:ascii="Book Antiqua" w:hAnsi="Book Antiqua" w:cs="Arial"/>
        </w:rPr>
        <w:t xml:space="preserve">Mr N Bramble, Home Office Presenting Officer  </w:t>
      </w:r>
    </w:p>
    <w:p w14:paraId="67521C56" w14:textId="3A7D9F73" w:rsidR="00DE7DB7" w:rsidRDefault="00DE7DB7" w:rsidP="00402B9E">
      <w:pPr>
        <w:tabs>
          <w:tab w:val="left" w:pos="2520"/>
        </w:tabs>
        <w:jc w:val="center"/>
        <w:rPr>
          <w:rFonts w:ascii="Book Antiqua" w:hAnsi="Book Antiqua" w:cs="Arial"/>
        </w:rPr>
      </w:pPr>
    </w:p>
    <w:p w14:paraId="005ADA1F" w14:textId="77777777" w:rsidR="008B6929" w:rsidRPr="00626AFC" w:rsidRDefault="008B6929" w:rsidP="00402B9E">
      <w:pPr>
        <w:tabs>
          <w:tab w:val="left" w:pos="2520"/>
        </w:tabs>
        <w:jc w:val="center"/>
        <w:rPr>
          <w:rFonts w:ascii="Book Antiqua" w:hAnsi="Book Antiqua" w:cs="Arial"/>
        </w:rPr>
      </w:pPr>
    </w:p>
    <w:p w14:paraId="6CD9FFE7" w14:textId="3A64CBD8" w:rsidR="00DE7DB7" w:rsidRDefault="00173CC6" w:rsidP="00402B9E">
      <w:pPr>
        <w:tabs>
          <w:tab w:val="left" w:pos="2520"/>
        </w:tabs>
        <w:jc w:val="center"/>
        <w:rPr>
          <w:rFonts w:ascii="Book Antiqua" w:hAnsi="Book Antiqua" w:cs="Arial"/>
          <w:b/>
          <w:u w:val="single"/>
        </w:rPr>
      </w:pPr>
      <w:r w:rsidRPr="00626AFC">
        <w:rPr>
          <w:rFonts w:ascii="Book Antiqua" w:hAnsi="Book Antiqua" w:cs="Arial"/>
          <w:b/>
          <w:u w:val="single"/>
        </w:rPr>
        <w:t xml:space="preserve">DECISION </w:t>
      </w:r>
      <w:r w:rsidR="00402B9E" w:rsidRPr="00626AFC">
        <w:rPr>
          <w:rFonts w:ascii="Book Antiqua" w:hAnsi="Book Antiqua" w:cs="Arial"/>
          <w:b/>
          <w:u w:val="single"/>
        </w:rPr>
        <w:t>AND REASONS</w:t>
      </w:r>
    </w:p>
    <w:p w14:paraId="47ECE506" w14:textId="77777777" w:rsidR="008B6929" w:rsidRPr="00626AFC" w:rsidRDefault="008B6929" w:rsidP="00402B9E">
      <w:pPr>
        <w:tabs>
          <w:tab w:val="left" w:pos="2520"/>
        </w:tabs>
        <w:jc w:val="center"/>
        <w:rPr>
          <w:rFonts w:ascii="Book Antiqua" w:hAnsi="Book Antiqua" w:cs="Arial"/>
        </w:rPr>
      </w:pPr>
      <w:bookmarkStart w:id="1" w:name="_GoBack"/>
      <w:bookmarkEnd w:id="1"/>
    </w:p>
    <w:p w14:paraId="35387FB4" w14:textId="77777777" w:rsidR="004B5AEF" w:rsidRPr="00626AFC" w:rsidRDefault="004B5AEF" w:rsidP="00BF23BB">
      <w:pPr>
        <w:tabs>
          <w:tab w:val="left" w:pos="567"/>
        </w:tabs>
        <w:ind w:left="567" w:hanging="567"/>
        <w:jc w:val="both"/>
        <w:rPr>
          <w:rFonts w:ascii="Book Antiqua" w:hAnsi="Book Antiqua" w:cs="Arial"/>
        </w:rPr>
      </w:pPr>
    </w:p>
    <w:p w14:paraId="5387ED2A" w14:textId="7C328216" w:rsidR="007E0A29"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1.</w:t>
      </w:r>
      <w:r w:rsidR="007E0A29" w:rsidRPr="00626AFC">
        <w:rPr>
          <w:rFonts w:ascii="Book Antiqua" w:hAnsi="Book Antiqua" w:cstheme="minorHAnsi"/>
        </w:rPr>
        <w:tab/>
      </w:r>
      <w:r w:rsidR="003B5D4D" w:rsidRPr="00626AFC">
        <w:rPr>
          <w:rFonts w:ascii="Book Antiqua" w:hAnsi="Book Antiqua" w:cstheme="minorHAnsi"/>
        </w:rPr>
        <w:t>On 15 June 2018 I sent a decision setting aside the decision made by Judge James of the First-tier Tribunal (</w:t>
      </w:r>
      <w:proofErr w:type="spellStart"/>
      <w:r w:rsidR="003B5D4D" w:rsidRPr="00626AFC">
        <w:rPr>
          <w:rFonts w:ascii="Book Antiqua" w:hAnsi="Book Antiqua" w:cstheme="minorHAnsi"/>
        </w:rPr>
        <w:t>FtT</w:t>
      </w:r>
      <w:proofErr w:type="spellEnd"/>
      <w:r w:rsidR="003B5D4D" w:rsidRPr="00626AFC">
        <w:rPr>
          <w:rFonts w:ascii="Book Antiqua" w:hAnsi="Book Antiqua" w:cstheme="minorHAnsi"/>
        </w:rPr>
        <w:t>) dismissing the appellants’ appeals</w:t>
      </w:r>
      <w:r w:rsidR="00D16362" w:rsidRPr="00626AFC">
        <w:rPr>
          <w:rFonts w:ascii="Book Antiqua" w:hAnsi="Book Antiqua" w:cstheme="minorHAnsi"/>
        </w:rPr>
        <w:t>.  I directed that the appellant</w:t>
      </w:r>
      <w:r w:rsidR="00362961">
        <w:rPr>
          <w:rFonts w:ascii="Book Antiqua" w:hAnsi="Book Antiqua" w:cstheme="minorHAnsi"/>
        </w:rPr>
        <w:t>s</w:t>
      </w:r>
      <w:r w:rsidR="00D16362" w:rsidRPr="00626AFC">
        <w:rPr>
          <w:rFonts w:ascii="Book Antiqua" w:hAnsi="Book Antiqua" w:cstheme="minorHAnsi"/>
        </w:rPr>
        <w:t xml:space="preserve">’ representatives produce chronologies showing the working history </w:t>
      </w:r>
      <w:r w:rsidR="00B667F6" w:rsidRPr="00626AFC">
        <w:rPr>
          <w:rFonts w:ascii="Book Antiqua" w:hAnsi="Book Antiqua" w:cstheme="minorHAnsi"/>
        </w:rPr>
        <w:t xml:space="preserve">since date of marriage of the first appellant’s ex-spouse and the first appellant.  These were duly produced in time for the hearing.  </w:t>
      </w:r>
    </w:p>
    <w:p w14:paraId="20A24DC2" w14:textId="77777777" w:rsidR="00B667F6" w:rsidRPr="00626AFC" w:rsidRDefault="00B667F6" w:rsidP="00BF23BB">
      <w:pPr>
        <w:tabs>
          <w:tab w:val="left" w:pos="567"/>
        </w:tabs>
        <w:ind w:left="567" w:hanging="567"/>
        <w:jc w:val="both"/>
        <w:rPr>
          <w:rFonts w:ascii="Book Antiqua" w:hAnsi="Book Antiqua" w:cstheme="minorHAnsi"/>
        </w:rPr>
      </w:pPr>
    </w:p>
    <w:p w14:paraId="0D8DDBBA" w14:textId="50C43012" w:rsidR="00B667F6"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2.</w:t>
      </w:r>
      <w:r w:rsidR="00B667F6" w:rsidRPr="00626AFC">
        <w:rPr>
          <w:rFonts w:ascii="Book Antiqua" w:hAnsi="Book Antiqua" w:cstheme="minorHAnsi"/>
        </w:rPr>
        <w:tab/>
        <w:t xml:space="preserve">At the outset Mr Bramble submitted that the </w:t>
      </w:r>
      <w:r w:rsidR="00362961">
        <w:rPr>
          <w:rFonts w:ascii="Book Antiqua" w:hAnsi="Book Antiqua" w:cstheme="minorHAnsi"/>
        </w:rPr>
        <w:t xml:space="preserve">principal </w:t>
      </w:r>
      <w:r w:rsidR="00B667F6" w:rsidRPr="00626AFC">
        <w:rPr>
          <w:rFonts w:ascii="Book Antiqua" w:hAnsi="Book Antiqua" w:cstheme="minorHAnsi"/>
        </w:rPr>
        <w:t xml:space="preserve">appellant </w:t>
      </w:r>
      <w:r w:rsidR="00E7699B" w:rsidRPr="00626AFC">
        <w:rPr>
          <w:rFonts w:ascii="Book Antiqua" w:hAnsi="Book Antiqua" w:cstheme="minorHAnsi"/>
        </w:rPr>
        <w:t>c</w:t>
      </w:r>
      <w:r w:rsidR="00FA3998" w:rsidRPr="00626AFC">
        <w:rPr>
          <w:rFonts w:ascii="Book Antiqua" w:hAnsi="Book Antiqua" w:cstheme="minorHAnsi"/>
        </w:rPr>
        <w:t>ould</w:t>
      </w:r>
      <w:r w:rsidR="00B667F6" w:rsidRPr="00626AFC">
        <w:rPr>
          <w:rFonts w:ascii="Book Antiqua" w:hAnsi="Book Antiqua" w:cstheme="minorHAnsi"/>
        </w:rPr>
        <w:t xml:space="preserve"> not succeed in establishing a right of permanent residence on the basis of </w:t>
      </w:r>
      <w:r w:rsidR="00362961">
        <w:rPr>
          <w:rFonts w:ascii="Book Antiqua" w:hAnsi="Book Antiqua" w:cstheme="minorHAnsi"/>
        </w:rPr>
        <w:t>the ex-spouse’s</w:t>
      </w:r>
      <w:r w:rsidR="00B667F6" w:rsidRPr="00626AFC">
        <w:rPr>
          <w:rFonts w:ascii="Book Antiqua" w:hAnsi="Book Antiqua" w:cstheme="minorHAnsi"/>
        </w:rPr>
        <w:t xml:space="preserve"> working </w:t>
      </w:r>
      <w:r w:rsidR="00B667F6" w:rsidRPr="00626AFC">
        <w:rPr>
          <w:rFonts w:ascii="Book Antiqua" w:hAnsi="Book Antiqua" w:cstheme="minorHAnsi"/>
        </w:rPr>
        <w:lastRenderedPageBreak/>
        <w:t xml:space="preserve">history since that history had been </w:t>
      </w:r>
      <w:r w:rsidR="00EA5F89" w:rsidRPr="00626AFC">
        <w:rPr>
          <w:rFonts w:ascii="Book Antiqua" w:hAnsi="Book Antiqua" w:cstheme="minorHAnsi"/>
        </w:rPr>
        <w:t xml:space="preserve">interrupted by at least </w:t>
      </w:r>
      <w:r w:rsidR="00362961">
        <w:rPr>
          <w:rFonts w:ascii="Book Antiqua" w:hAnsi="Book Antiqua" w:cstheme="minorHAnsi"/>
        </w:rPr>
        <w:t xml:space="preserve">one </w:t>
      </w:r>
      <w:r w:rsidR="00EA5F89" w:rsidRPr="00626AFC">
        <w:rPr>
          <w:rFonts w:ascii="Book Antiqua" w:hAnsi="Book Antiqua" w:cstheme="minorHAnsi"/>
        </w:rPr>
        <w:t xml:space="preserve">period of </w:t>
      </w:r>
      <w:r w:rsidR="00DA34D1" w:rsidRPr="00626AFC">
        <w:rPr>
          <w:rFonts w:ascii="Book Antiqua" w:hAnsi="Book Antiqua" w:cstheme="minorHAnsi"/>
        </w:rPr>
        <w:t>imprisonment</w:t>
      </w:r>
      <w:r w:rsidR="00EA5F89" w:rsidRPr="00626AFC">
        <w:rPr>
          <w:rFonts w:ascii="Book Antiqua" w:hAnsi="Book Antiqua" w:cstheme="minorHAnsi"/>
        </w:rPr>
        <w:t>.  The appeal had to fail for this reason irrespective of whether the first appellant at the date of initiation of the divorce proceedings or date of divorce had acquired retai</w:t>
      </w:r>
      <w:r w:rsidR="00DA34D1" w:rsidRPr="00626AFC">
        <w:rPr>
          <w:rFonts w:ascii="Book Antiqua" w:hAnsi="Book Antiqua" w:cstheme="minorHAnsi"/>
        </w:rPr>
        <w:t>n</w:t>
      </w:r>
      <w:r w:rsidR="00EA5F89" w:rsidRPr="00626AFC">
        <w:rPr>
          <w:rFonts w:ascii="Book Antiqua" w:hAnsi="Book Antiqua" w:cstheme="minorHAnsi"/>
        </w:rPr>
        <w:t xml:space="preserve">ed rights.  </w:t>
      </w:r>
    </w:p>
    <w:p w14:paraId="163336A7" w14:textId="77777777" w:rsidR="00EA5F89" w:rsidRPr="00626AFC" w:rsidRDefault="00EA5F89" w:rsidP="00BF23BB">
      <w:pPr>
        <w:tabs>
          <w:tab w:val="left" w:pos="567"/>
        </w:tabs>
        <w:ind w:left="567" w:hanging="567"/>
        <w:jc w:val="both"/>
        <w:rPr>
          <w:rFonts w:ascii="Book Antiqua" w:hAnsi="Book Antiqua" w:cstheme="minorHAnsi"/>
        </w:rPr>
      </w:pPr>
    </w:p>
    <w:p w14:paraId="45C47477" w14:textId="4554207C" w:rsidR="00EA5F89"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3.</w:t>
      </w:r>
      <w:r w:rsidR="00EA5F89" w:rsidRPr="00626AFC">
        <w:rPr>
          <w:rFonts w:ascii="Book Antiqua" w:hAnsi="Book Antiqua" w:cstheme="minorHAnsi"/>
        </w:rPr>
        <w:tab/>
        <w:t xml:space="preserve">After </w:t>
      </w:r>
      <w:r w:rsidR="00DA34D1" w:rsidRPr="00626AFC">
        <w:rPr>
          <w:rFonts w:ascii="Book Antiqua" w:hAnsi="Book Antiqua" w:cstheme="minorHAnsi"/>
        </w:rPr>
        <w:t>discussion</w:t>
      </w:r>
      <w:r w:rsidR="00EA5F89" w:rsidRPr="00626AFC">
        <w:rPr>
          <w:rFonts w:ascii="Book Antiqua" w:hAnsi="Book Antiqua" w:cstheme="minorHAnsi"/>
        </w:rPr>
        <w:t xml:space="preserve"> and consideration of the documentary evidence</w:t>
      </w:r>
      <w:r w:rsidR="00362961">
        <w:rPr>
          <w:rFonts w:ascii="Book Antiqua" w:hAnsi="Book Antiqua" w:cstheme="minorHAnsi"/>
        </w:rPr>
        <w:t>,</w:t>
      </w:r>
      <w:r w:rsidR="00EA5F89" w:rsidRPr="00626AFC">
        <w:rPr>
          <w:rFonts w:ascii="Book Antiqua" w:hAnsi="Book Antiqua" w:cstheme="minorHAnsi"/>
        </w:rPr>
        <w:t xml:space="preserve"> both parties agreed that the first appellant’s husband </w:t>
      </w:r>
      <w:r w:rsidR="00362961">
        <w:rPr>
          <w:rFonts w:ascii="Book Antiqua" w:hAnsi="Book Antiqua" w:cstheme="minorHAnsi"/>
        </w:rPr>
        <w:t>had been</w:t>
      </w:r>
      <w:r w:rsidR="00EA5F89" w:rsidRPr="00626AFC">
        <w:rPr>
          <w:rFonts w:ascii="Book Antiqua" w:hAnsi="Book Antiqua" w:cstheme="minorHAnsi"/>
        </w:rPr>
        <w:t xml:space="preserve"> in prison in 2014 for six weeks, in April/May 2015 for two-three weeks and in detention from 12 October 2015 for six months awaiting removal.  Both parties further agreed that the date of initiation of divorce proceedings was 15 May 2015 and that the first appellant’s ex-husband had achieved </w:t>
      </w:r>
      <w:r w:rsidR="00F02AA6" w:rsidRPr="00626AFC">
        <w:rPr>
          <w:rFonts w:ascii="Book Antiqua" w:hAnsi="Book Antiqua" w:cstheme="minorHAnsi"/>
        </w:rPr>
        <w:t>early release</w:t>
      </w:r>
      <w:r w:rsidR="00EA5F89" w:rsidRPr="00626AFC">
        <w:rPr>
          <w:rFonts w:ascii="Book Antiqua" w:hAnsi="Book Antiqua" w:cstheme="minorHAnsi"/>
        </w:rPr>
        <w:t xml:space="preserve"> from prison the day before, on 14 May 2015.  </w:t>
      </w:r>
    </w:p>
    <w:p w14:paraId="1CB4E43B" w14:textId="77777777" w:rsidR="00EA5F89" w:rsidRPr="00626AFC" w:rsidRDefault="00EA5F89" w:rsidP="00BF23BB">
      <w:pPr>
        <w:tabs>
          <w:tab w:val="left" w:pos="567"/>
        </w:tabs>
        <w:ind w:left="567" w:hanging="567"/>
        <w:jc w:val="both"/>
        <w:rPr>
          <w:rFonts w:ascii="Book Antiqua" w:hAnsi="Book Antiqua" w:cstheme="minorHAnsi"/>
        </w:rPr>
      </w:pPr>
    </w:p>
    <w:p w14:paraId="62A46D98" w14:textId="77777777" w:rsidR="00EA5F89"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4.</w:t>
      </w:r>
      <w:r w:rsidR="00EA5F89" w:rsidRPr="00626AFC">
        <w:rPr>
          <w:rFonts w:ascii="Book Antiqua" w:hAnsi="Book Antiqua" w:cstheme="minorHAnsi"/>
        </w:rPr>
        <w:tab/>
        <w:t xml:space="preserve">On the basis of these agreed facts, it is clear that Mr Bramble is entirely right.  In order to show permanent residence a person can establish the </w:t>
      </w:r>
      <w:r w:rsidR="00DA34D1" w:rsidRPr="00626AFC">
        <w:rPr>
          <w:rFonts w:ascii="Book Antiqua" w:hAnsi="Book Antiqua" w:cstheme="minorHAnsi"/>
        </w:rPr>
        <w:t>requisite</w:t>
      </w:r>
      <w:r w:rsidR="00EA5F89" w:rsidRPr="00626AFC">
        <w:rPr>
          <w:rFonts w:ascii="Book Antiqua" w:hAnsi="Book Antiqua" w:cstheme="minorHAnsi"/>
        </w:rPr>
        <w:t xml:space="preserve"> five years of continuous residenc</w:t>
      </w:r>
      <w:r w:rsidR="00B050F9" w:rsidRPr="00626AFC">
        <w:rPr>
          <w:rFonts w:ascii="Book Antiqua" w:hAnsi="Book Antiqua" w:cstheme="minorHAnsi"/>
        </w:rPr>
        <w:t xml:space="preserve">e by virtue of a combination of the </w:t>
      </w:r>
      <w:r w:rsidR="00EA5F89" w:rsidRPr="00626AFC">
        <w:rPr>
          <w:rFonts w:ascii="Book Antiqua" w:hAnsi="Book Antiqua" w:cstheme="minorHAnsi"/>
        </w:rPr>
        <w:t xml:space="preserve">EEA national’s working history and the family member working having acquired retained rights.  But in this case the first appellant’s ex-husband’s period of continuous residence was interrupted by his periods of imprisonment.  Two days before the date of initiation of the divorce proceedings he was in prison.  </w:t>
      </w:r>
      <w:proofErr w:type="gramStart"/>
      <w:r w:rsidR="00EA5F89" w:rsidRPr="00626AFC">
        <w:rPr>
          <w:rFonts w:ascii="Book Antiqua" w:hAnsi="Book Antiqua" w:cstheme="minorHAnsi"/>
        </w:rPr>
        <w:t>Therefore</w:t>
      </w:r>
      <w:proofErr w:type="gramEnd"/>
      <w:r w:rsidR="00EA5F89" w:rsidRPr="00626AFC">
        <w:rPr>
          <w:rFonts w:ascii="Book Antiqua" w:hAnsi="Book Antiqua" w:cstheme="minorHAnsi"/>
        </w:rPr>
        <w:t xml:space="preserve"> any five year period of continuous residence would have to begin from 15 May 2015 and permanent residence could not be achieved, at best, before May 2020.  The fact that prison breaks continuity of residence for the purposes of acquiring </w:t>
      </w:r>
      <w:r w:rsidR="00765664" w:rsidRPr="00626AFC">
        <w:rPr>
          <w:rFonts w:ascii="Book Antiqua" w:hAnsi="Book Antiqua" w:cstheme="minorHAnsi"/>
        </w:rPr>
        <w:t>permanent</w:t>
      </w:r>
      <w:r w:rsidR="0020309A" w:rsidRPr="00626AFC">
        <w:rPr>
          <w:rFonts w:ascii="Book Antiqua" w:hAnsi="Book Antiqua" w:cstheme="minorHAnsi"/>
        </w:rPr>
        <w:t xml:space="preserve"> </w:t>
      </w:r>
      <w:r w:rsidR="00765664" w:rsidRPr="00626AFC">
        <w:rPr>
          <w:rFonts w:ascii="Book Antiqua" w:hAnsi="Book Antiqua" w:cstheme="minorHAnsi"/>
        </w:rPr>
        <w:t xml:space="preserve">residence and that periods of residence acquired before imprisonment cannot be aggregated was definitively decided by the CJEU in case </w:t>
      </w:r>
      <w:r w:rsidR="00765664" w:rsidRPr="00626AFC">
        <w:rPr>
          <w:rFonts w:ascii="Book Antiqua" w:hAnsi="Book Antiqua" w:cstheme="minorHAnsi"/>
          <w:b/>
        </w:rPr>
        <w:t xml:space="preserve">C-378/12 </w:t>
      </w:r>
      <w:proofErr w:type="spellStart"/>
      <w:r w:rsidR="00765664" w:rsidRPr="00626AFC">
        <w:rPr>
          <w:rFonts w:ascii="Book Antiqua" w:hAnsi="Book Antiqua" w:cstheme="minorHAnsi"/>
          <w:b/>
          <w:u w:val="single"/>
        </w:rPr>
        <w:t>Onuekwe</w:t>
      </w:r>
      <w:r w:rsidR="00BC223E" w:rsidRPr="00626AFC">
        <w:rPr>
          <w:rFonts w:ascii="Book Antiqua" w:hAnsi="Book Antiqua" w:cstheme="minorHAnsi"/>
          <w:b/>
          <w:u w:val="single"/>
        </w:rPr>
        <w:t>r</w:t>
      </w:r>
      <w:r w:rsidR="00765664" w:rsidRPr="00626AFC">
        <w:rPr>
          <w:rFonts w:ascii="Book Antiqua" w:hAnsi="Book Antiqua" w:cstheme="minorHAnsi"/>
          <w:b/>
          <w:u w:val="single"/>
        </w:rPr>
        <w:t>e</w:t>
      </w:r>
      <w:proofErr w:type="spellEnd"/>
      <w:r w:rsidR="00765664" w:rsidRPr="00626AFC">
        <w:rPr>
          <w:rFonts w:ascii="Book Antiqua" w:hAnsi="Book Antiqua" w:cstheme="minorHAnsi"/>
          <w:b/>
        </w:rPr>
        <w:t xml:space="preserve"> </w:t>
      </w:r>
      <w:r w:rsidR="00765664" w:rsidRPr="00362961">
        <w:rPr>
          <w:rFonts w:ascii="Book Antiqua" w:hAnsi="Book Antiqua" w:cstheme="minorHAnsi"/>
        </w:rPr>
        <w:t>16 January 2014</w:t>
      </w:r>
      <w:r w:rsidR="00765664" w:rsidRPr="00626AFC">
        <w:rPr>
          <w:rFonts w:ascii="Book Antiqua" w:hAnsi="Book Antiqua" w:cstheme="minorHAnsi"/>
        </w:rPr>
        <w:t xml:space="preserve">.  </w:t>
      </w:r>
    </w:p>
    <w:p w14:paraId="590D48F8" w14:textId="77777777" w:rsidR="007E0A29" w:rsidRPr="00626AFC" w:rsidRDefault="007E0A29" w:rsidP="00BF23BB">
      <w:pPr>
        <w:tabs>
          <w:tab w:val="left" w:pos="567"/>
        </w:tabs>
        <w:ind w:left="567" w:hanging="567"/>
        <w:jc w:val="both"/>
        <w:rPr>
          <w:rFonts w:ascii="Book Antiqua" w:hAnsi="Book Antiqua" w:cstheme="minorHAnsi"/>
        </w:rPr>
      </w:pPr>
    </w:p>
    <w:p w14:paraId="6DB52962" w14:textId="0F824E87" w:rsidR="00BC223E"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5.</w:t>
      </w:r>
      <w:r w:rsidR="00BC223E" w:rsidRPr="00626AFC">
        <w:rPr>
          <w:rFonts w:ascii="Book Antiqua" w:hAnsi="Book Antiqua" w:cstheme="minorHAnsi"/>
        </w:rPr>
        <w:tab/>
      </w:r>
      <w:r w:rsidR="003554FF" w:rsidRPr="00626AFC">
        <w:rPr>
          <w:rFonts w:ascii="Book Antiqua" w:hAnsi="Book Antiqua" w:cstheme="minorHAnsi"/>
        </w:rPr>
        <w:t xml:space="preserve">Ms </w:t>
      </w:r>
      <w:proofErr w:type="spellStart"/>
      <w:r w:rsidR="002A7425" w:rsidRPr="00626AFC">
        <w:rPr>
          <w:rFonts w:ascii="Book Antiqua" w:hAnsi="Book Antiqua" w:cstheme="minorHAnsi"/>
        </w:rPr>
        <w:t>Degirmenci</w:t>
      </w:r>
      <w:proofErr w:type="spellEnd"/>
      <w:r w:rsidR="002A7425" w:rsidRPr="00626AFC">
        <w:rPr>
          <w:rFonts w:ascii="Book Antiqua" w:hAnsi="Book Antiqua" w:cstheme="minorHAnsi"/>
        </w:rPr>
        <w:t xml:space="preserve"> initially sought to argue that this inability of the appellants to be able to show permanent residence did not mean they could not succeed in their appeals because they were still entitled </w:t>
      </w:r>
      <w:r w:rsidR="0077585C" w:rsidRPr="00626AFC">
        <w:rPr>
          <w:rFonts w:ascii="Book Antiqua" w:hAnsi="Book Antiqua" w:cstheme="minorHAnsi"/>
        </w:rPr>
        <w:t xml:space="preserve">to residence cards by virtue of </w:t>
      </w:r>
      <w:r w:rsidR="002A7425" w:rsidRPr="00626AFC">
        <w:rPr>
          <w:rFonts w:ascii="Book Antiqua" w:hAnsi="Book Antiqua" w:cstheme="minorHAnsi"/>
        </w:rPr>
        <w:t>the first appellant</w:t>
      </w:r>
      <w:r w:rsidR="00461DF6" w:rsidRPr="00626AFC">
        <w:rPr>
          <w:rFonts w:ascii="Book Antiqua" w:hAnsi="Book Antiqua" w:cstheme="minorHAnsi"/>
        </w:rPr>
        <w:t xml:space="preserve"> having </w:t>
      </w:r>
      <w:r w:rsidR="002A7425" w:rsidRPr="00626AFC">
        <w:rPr>
          <w:rFonts w:ascii="Book Antiqua" w:hAnsi="Book Antiqua" w:cstheme="minorHAnsi"/>
        </w:rPr>
        <w:t>acquired retained rights.  However, this s</w:t>
      </w:r>
      <w:r w:rsidR="001B618D" w:rsidRPr="00626AFC">
        <w:rPr>
          <w:rFonts w:ascii="Book Antiqua" w:hAnsi="Book Antiqua" w:cstheme="minorHAnsi"/>
        </w:rPr>
        <w:t>a</w:t>
      </w:r>
      <w:r w:rsidR="002A7425" w:rsidRPr="00626AFC">
        <w:rPr>
          <w:rFonts w:ascii="Book Antiqua" w:hAnsi="Book Antiqua" w:cstheme="minorHAnsi"/>
        </w:rPr>
        <w:t>me</w:t>
      </w:r>
      <w:r w:rsidR="001B618D" w:rsidRPr="00626AFC">
        <w:rPr>
          <w:rFonts w:ascii="Book Antiqua" w:hAnsi="Book Antiqua" w:cstheme="minorHAnsi"/>
        </w:rPr>
        <w:t xml:space="preserve"> </w:t>
      </w:r>
      <w:r w:rsidR="002A7425" w:rsidRPr="00626AFC">
        <w:rPr>
          <w:rFonts w:ascii="Book Antiqua" w:hAnsi="Book Antiqua" w:cstheme="minorHAnsi"/>
        </w:rPr>
        <w:t>argument was rejected by me in my error of law decision.  The appellant</w:t>
      </w:r>
      <w:r w:rsidR="004413B0" w:rsidRPr="00626AFC">
        <w:rPr>
          <w:rFonts w:ascii="Book Antiqua" w:hAnsi="Book Antiqua" w:cstheme="minorHAnsi"/>
        </w:rPr>
        <w:t>s’</w:t>
      </w:r>
      <w:r w:rsidR="00C61C1E" w:rsidRPr="00626AFC">
        <w:rPr>
          <w:rFonts w:ascii="Book Antiqua" w:hAnsi="Book Antiqua" w:cstheme="minorHAnsi"/>
        </w:rPr>
        <w:t xml:space="preserve"> </w:t>
      </w:r>
      <w:r w:rsidR="002A7425" w:rsidRPr="00626AFC">
        <w:rPr>
          <w:rFonts w:ascii="Book Antiqua" w:hAnsi="Book Antiqua" w:cstheme="minorHAnsi"/>
        </w:rPr>
        <w:t xml:space="preserve">appeal was against refusal of permanent residence cards, not residence cards. </w:t>
      </w:r>
      <w:r w:rsidR="00362961">
        <w:rPr>
          <w:rFonts w:ascii="Book Antiqua" w:hAnsi="Book Antiqua" w:cstheme="minorHAnsi"/>
        </w:rPr>
        <w:t xml:space="preserve">They can only succeed if able to show permanent residence. </w:t>
      </w:r>
      <w:r w:rsidR="002A7425" w:rsidRPr="00626AFC">
        <w:rPr>
          <w:rFonts w:ascii="Book Antiqua" w:hAnsi="Book Antiqua" w:cstheme="minorHAnsi"/>
        </w:rPr>
        <w:t xml:space="preserve"> </w:t>
      </w:r>
    </w:p>
    <w:p w14:paraId="5A0185E4" w14:textId="77777777" w:rsidR="002A7425" w:rsidRPr="00626AFC" w:rsidRDefault="002A7425" w:rsidP="00BF23BB">
      <w:pPr>
        <w:tabs>
          <w:tab w:val="left" w:pos="567"/>
        </w:tabs>
        <w:ind w:left="567" w:hanging="567"/>
        <w:jc w:val="both"/>
        <w:rPr>
          <w:rFonts w:ascii="Book Antiqua" w:hAnsi="Book Antiqua" w:cstheme="minorHAnsi"/>
        </w:rPr>
      </w:pPr>
    </w:p>
    <w:p w14:paraId="077A6E3F" w14:textId="692074FD" w:rsidR="002A7425"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6.</w:t>
      </w:r>
      <w:r w:rsidR="002A7425" w:rsidRPr="00626AFC">
        <w:rPr>
          <w:rFonts w:ascii="Book Antiqua" w:hAnsi="Book Antiqua" w:cstheme="minorHAnsi"/>
        </w:rPr>
        <w:tab/>
        <w:t xml:space="preserve">Ms </w:t>
      </w:r>
      <w:proofErr w:type="spellStart"/>
      <w:r w:rsidR="002A7425" w:rsidRPr="00626AFC">
        <w:rPr>
          <w:rFonts w:ascii="Book Antiqua" w:hAnsi="Book Antiqua" w:cstheme="minorHAnsi"/>
        </w:rPr>
        <w:t>Degirmenci</w:t>
      </w:r>
      <w:proofErr w:type="spellEnd"/>
      <w:r w:rsidR="002A7425" w:rsidRPr="00626AFC">
        <w:rPr>
          <w:rFonts w:ascii="Book Antiqua" w:hAnsi="Book Antiqua" w:cstheme="minorHAnsi"/>
        </w:rPr>
        <w:t xml:space="preserve"> invited me to proceed to make findings of facts on the first appellant’s and he</w:t>
      </w:r>
      <w:r w:rsidR="00362961">
        <w:rPr>
          <w:rFonts w:ascii="Book Antiqua" w:hAnsi="Book Antiqua" w:cstheme="minorHAnsi"/>
        </w:rPr>
        <w:t xml:space="preserve">r ex-spouse’s working histories as it may assist in applying to the respondent for residence cards on the basis of retained rights.  </w:t>
      </w:r>
      <w:r w:rsidR="002A7425" w:rsidRPr="00626AFC">
        <w:rPr>
          <w:rFonts w:ascii="Book Antiqua" w:hAnsi="Book Antiqua" w:cstheme="minorHAnsi"/>
        </w:rPr>
        <w:t xml:space="preserve">  </w:t>
      </w:r>
    </w:p>
    <w:p w14:paraId="7EE4285F" w14:textId="77777777" w:rsidR="008160E5" w:rsidRPr="00626AFC" w:rsidRDefault="008160E5" w:rsidP="00BF23BB">
      <w:pPr>
        <w:tabs>
          <w:tab w:val="left" w:pos="567"/>
        </w:tabs>
        <w:ind w:left="567" w:hanging="567"/>
        <w:jc w:val="both"/>
        <w:rPr>
          <w:rFonts w:ascii="Book Antiqua" w:hAnsi="Book Antiqua" w:cstheme="minorHAnsi"/>
        </w:rPr>
      </w:pPr>
    </w:p>
    <w:p w14:paraId="11EDBB47" w14:textId="23FECFC2" w:rsidR="008160E5" w:rsidRPr="00626AFC" w:rsidRDefault="00111B0C" w:rsidP="00BF23BB">
      <w:pPr>
        <w:tabs>
          <w:tab w:val="left" w:pos="567"/>
        </w:tabs>
        <w:ind w:left="567" w:hanging="567"/>
        <w:jc w:val="both"/>
        <w:rPr>
          <w:rFonts w:ascii="Book Antiqua" w:hAnsi="Book Antiqua" w:cstheme="minorHAnsi"/>
        </w:rPr>
      </w:pPr>
      <w:r w:rsidRPr="00626AFC">
        <w:rPr>
          <w:rFonts w:ascii="Book Antiqua" w:hAnsi="Book Antiqua" w:cstheme="minorHAnsi"/>
        </w:rPr>
        <w:t>7.</w:t>
      </w:r>
      <w:r w:rsidR="008160E5" w:rsidRPr="00626AFC">
        <w:rPr>
          <w:rFonts w:ascii="Book Antiqua" w:hAnsi="Book Antiqua" w:cstheme="minorHAnsi"/>
        </w:rPr>
        <w:tab/>
      </w:r>
      <w:r w:rsidR="00A772C6" w:rsidRPr="00626AFC">
        <w:rPr>
          <w:rFonts w:ascii="Book Antiqua" w:hAnsi="Book Antiqua" w:cstheme="minorHAnsi"/>
        </w:rPr>
        <w:t xml:space="preserve">As I explained to the parties, now I have accepted that any continuity of permanent residence the first appellant’s ex-spouse had accrued had been broken in April/May 2015, I cannot engage in fact-finding that </w:t>
      </w:r>
      <w:r w:rsidR="00705778" w:rsidRPr="00626AFC">
        <w:rPr>
          <w:rFonts w:ascii="Book Antiqua" w:hAnsi="Book Antiqua" w:cstheme="minorHAnsi"/>
        </w:rPr>
        <w:t>now</w:t>
      </w:r>
      <w:r w:rsidR="00124B6A" w:rsidRPr="00626AFC">
        <w:rPr>
          <w:rFonts w:ascii="Book Antiqua" w:hAnsi="Book Antiqua" w:cstheme="minorHAnsi"/>
        </w:rPr>
        <w:t xml:space="preserve"> </w:t>
      </w:r>
      <w:r w:rsidR="00705778" w:rsidRPr="00626AFC">
        <w:rPr>
          <w:rFonts w:ascii="Book Antiqua" w:hAnsi="Book Antiqua" w:cstheme="minorHAnsi"/>
        </w:rPr>
        <w:t>lies outside the scope of this appeal.  I</w:t>
      </w:r>
      <w:r w:rsidR="001C3143" w:rsidRPr="00626AFC">
        <w:rPr>
          <w:rFonts w:ascii="Book Antiqua" w:hAnsi="Book Antiqua" w:cstheme="minorHAnsi"/>
        </w:rPr>
        <w:t> </w:t>
      </w:r>
      <w:r w:rsidR="00705778" w:rsidRPr="00626AFC">
        <w:rPr>
          <w:rFonts w:ascii="Book Antiqua" w:hAnsi="Book Antiqua" w:cstheme="minorHAnsi"/>
        </w:rPr>
        <w:t>am able to state as a finding that the first appellant’s ex-husband was no longer in detention at the date of initiation of divorce</w:t>
      </w:r>
      <w:r w:rsidR="00D012D6" w:rsidRPr="00626AFC">
        <w:rPr>
          <w:rFonts w:ascii="Book Antiqua" w:hAnsi="Book Antiqua" w:cstheme="minorHAnsi"/>
        </w:rPr>
        <w:t xml:space="preserve"> </w:t>
      </w:r>
      <w:r w:rsidR="00705778" w:rsidRPr="00626AFC">
        <w:rPr>
          <w:rFonts w:ascii="Book Antiqua" w:hAnsi="Book Antiqua" w:cstheme="minorHAnsi"/>
        </w:rPr>
        <w:t>proceedings (15 May 2015)</w:t>
      </w:r>
      <w:r w:rsidR="00362961">
        <w:rPr>
          <w:rFonts w:ascii="Book Antiqua" w:hAnsi="Book Antiqua" w:cstheme="minorHAnsi"/>
        </w:rPr>
        <w:t xml:space="preserve"> – that is agreed between the parties and satisfactorily evidenced by documents before me - </w:t>
      </w:r>
      <w:r w:rsidR="00705778" w:rsidRPr="00626AFC">
        <w:rPr>
          <w:rFonts w:ascii="Book Antiqua" w:hAnsi="Book Antiqua" w:cstheme="minorHAnsi"/>
        </w:rPr>
        <w:t xml:space="preserve"> but I cannot venture upon whether at that date (or the date of divorce) he was exercising treaty rights.  </w:t>
      </w:r>
    </w:p>
    <w:p w14:paraId="68364285" w14:textId="77777777" w:rsidR="00BC223E" w:rsidRPr="00626AFC" w:rsidRDefault="00BC223E" w:rsidP="00BF23BB">
      <w:pPr>
        <w:tabs>
          <w:tab w:val="left" w:pos="567"/>
        </w:tabs>
        <w:ind w:left="567" w:hanging="567"/>
        <w:jc w:val="both"/>
        <w:rPr>
          <w:rFonts w:ascii="Book Antiqua" w:hAnsi="Book Antiqua" w:cstheme="minorHAnsi"/>
        </w:rPr>
      </w:pPr>
    </w:p>
    <w:p w14:paraId="1A5A0296" w14:textId="77777777" w:rsidR="008B6929" w:rsidRDefault="008B6929" w:rsidP="00173CC6">
      <w:pPr>
        <w:jc w:val="both"/>
        <w:rPr>
          <w:rFonts w:ascii="Book Antiqua" w:hAnsi="Book Antiqua" w:cs="Arial"/>
        </w:rPr>
      </w:pPr>
    </w:p>
    <w:p w14:paraId="4625D359" w14:textId="77777777" w:rsidR="008B6929" w:rsidRDefault="008B6929" w:rsidP="00173CC6">
      <w:pPr>
        <w:jc w:val="both"/>
        <w:rPr>
          <w:rFonts w:ascii="Book Antiqua" w:hAnsi="Book Antiqua" w:cs="Arial"/>
        </w:rPr>
      </w:pPr>
    </w:p>
    <w:p w14:paraId="74D300B9" w14:textId="77777777" w:rsidR="008B6929" w:rsidRDefault="008B6929" w:rsidP="00173CC6">
      <w:pPr>
        <w:jc w:val="both"/>
        <w:rPr>
          <w:rFonts w:ascii="Book Antiqua" w:hAnsi="Book Antiqua" w:cs="Arial"/>
        </w:rPr>
      </w:pPr>
    </w:p>
    <w:p w14:paraId="04A2DD35" w14:textId="4EE9A7B1" w:rsidR="00173CC6" w:rsidRPr="00626AFC" w:rsidRDefault="00173CC6" w:rsidP="00173CC6">
      <w:pPr>
        <w:jc w:val="both"/>
        <w:rPr>
          <w:rFonts w:ascii="Book Antiqua" w:hAnsi="Book Antiqua" w:cs="Arial"/>
        </w:rPr>
      </w:pPr>
      <w:r w:rsidRPr="00626AFC">
        <w:rPr>
          <w:rFonts w:ascii="Book Antiqua" w:hAnsi="Book Antiqua" w:cs="Arial"/>
        </w:rPr>
        <w:t>No anonymity direction is made.</w:t>
      </w:r>
    </w:p>
    <w:p w14:paraId="770CFB83" w14:textId="77777777" w:rsidR="00173CC6" w:rsidRPr="00626AFC" w:rsidRDefault="00173CC6" w:rsidP="00173CC6">
      <w:pPr>
        <w:jc w:val="both"/>
        <w:rPr>
          <w:rFonts w:ascii="Book Antiqua" w:hAnsi="Book Antiqua" w:cs="Arial"/>
        </w:rPr>
      </w:pPr>
    </w:p>
    <w:p w14:paraId="1E69B58B" w14:textId="77777777" w:rsidR="00A509FA" w:rsidRPr="00626AFC" w:rsidRDefault="00A509FA" w:rsidP="00780F86">
      <w:pPr>
        <w:ind w:left="540" w:hanging="540"/>
        <w:jc w:val="both"/>
        <w:rPr>
          <w:rFonts w:ascii="Book Antiqua" w:hAnsi="Book Antiqua" w:cs="Arial"/>
        </w:rPr>
      </w:pPr>
    </w:p>
    <w:p w14:paraId="58666A9D" w14:textId="07A018E1" w:rsidR="001F2716" w:rsidRPr="00626AFC" w:rsidRDefault="00780F86" w:rsidP="00780F86">
      <w:pPr>
        <w:ind w:left="540" w:hanging="540"/>
        <w:jc w:val="both"/>
        <w:rPr>
          <w:rFonts w:ascii="Book Antiqua" w:hAnsi="Book Antiqua" w:cs="Arial"/>
        </w:rPr>
      </w:pPr>
      <w:r w:rsidRPr="00626AFC">
        <w:rPr>
          <w:rFonts w:ascii="Book Antiqua" w:hAnsi="Book Antiqua" w:cs="Arial"/>
        </w:rPr>
        <w:t>Signed</w:t>
      </w:r>
      <w:r w:rsidRPr="00626AFC">
        <w:rPr>
          <w:rFonts w:ascii="Book Antiqua" w:hAnsi="Book Antiqua" w:cs="Arial"/>
        </w:rPr>
        <w:tab/>
      </w:r>
      <w:r w:rsidRPr="00626AFC">
        <w:rPr>
          <w:rFonts w:ascii="Book Antiqua" w:hAnsi="Book Antiqua" w:cs="Arial"/>
        </w:rPr>
        <w:tab/>
      </w:r>
      <w:r w:rsidRPr="00626AFC">
        <w:rPr>
          <w:rFonts w:ascii="Book Antiqua" w:hAnsi="Book Antiqua" w:cs="Arial"/>
        </w:rPr>
        <w:tab/>
      </w:r>
      <w:r w:rsidRPr="00626AFC">
        <w:rPr>
          <w:rFonts w:ascii="Book Antiqua" w:hAnsi="Book Antiqua" w:cs="Arial"/>
        </w:rPr>
        <w:tab/>
      </w:r>
      <w:r w:rsidRPr="00626AFC">
        <w:rPr>
          <w:rFonts w:ascii="Book Antiqua" w:hAnsi="Book Antiqua" w:cs="Arial"/>
        </w:rPr>
        <w:tab/>
      </w:r>
      <w:r w:rsidRPr="00626AFC">
        <w:rPr>
          <w:rFonts w:ascii="Book Antiqua" w:hAnsi="Book Antiqua" w:cs="Arial"/>
        </w:rPr>
        <w:tab/>
      </w:r>
      <w:r w:rsidRPr="00626AFC">
        <w:rPr>
          <w:rFonts w:ascii="Book Antiqua" w:hAnsi="Book Antiqua" w:cs="Arial"/>
        </w:rPr>
        <w:tab/>
      </w:r>
      <w:r w:rsidRPr="00626AFC">
        <w:rPr>
          <w:rFonts w:ascii="Book Antiqua" w:hAnsi="Book Antiqua" w:cs="Arial"/>
        </w:rPr>
        <w:tab/>
      </w:r>
      <w:r w:rsidR="001F2716" w:rsidRPr="00626AFC">
        <w:rPr>
          <w:rFonts w:ascii="Book Antiqua" w:hAnsi="Book Antiqua" w:cs="Arial"/>
        </w:rPr>
        <w:t>Date</w:t>
      </w:r>
      <w:r w:rsidR="00362961">
        <w:rPr>
          <w:rFonts w:ascii="Book Antiqua" w:hAnsi="Book Antiqua" w:cs="Arial"/>
        </w:rPr>
        <w:t xml:space="preserve"> 31 July 2018</w:t>
      </w:r>
    </w:p>
    <w:p w14:paraId="6C14F00F" w14:textId="3F3435B7" w:rsidR="001F2716" w:rsidRPr="00626AFC" w:rsidRDefault="00362961"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673FAA56" wp14:editId="54AB0038">
            <wp:extent cx="1713230" cy="50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3230" cy="506095"/>
                    </a:xfrm>
                    <a:prstGeom prst="rect">
                      <a:avLst/>
                    </a:prstGeom>
                    <a:noFill/>
                    <a:ln>
                      <a:noFill/>
                    </a:ln>
                  </pic:spPr>
                </pic:pic>
              </a:graphicData>
            </a:graphic>
          </wp:inline>
        </w:drawing>
      </w:r>
    </w:p>
    <w:p w14:paraId="1342DBA9" w14:textId="77777777" w:rsidR="00A9409A" w:rsidRPr="00626AFC" w:rsidRDefault="00A9409A" w:rsidP="007702DD">
      <w:pPr>
        <w:tabs>
          <w:tab w:val="left" w:pos="2520"/>
        </w:tabs>
        <w:ind w:left="540" w:hanging="540"/>
        <w:jc w:val="both"/>
        <w:rPr>
          <w:rFonts w:ascii="Book Antiqua" w:hAnsi="Book Antiqua" w:cs="Arial"/>
          <w:color w:val="000000"/>
        </w:rPr>
      </w:pPr>
      <w:r w:rsidRPr="00626AFC">
        <w:rPr>
          <w:rFonts w:ascii="Book Antiqua" w:hAnsi="Book Antiqua" w:cs="Arial"/>
          <w:color w:val="000000"/>
        </w:rPr>
        <w:t xml:space="preserve">Dr H </w:t>
      </w:r>
      <w:proofErr w:type="spellStart"/>
      <w:r w:rsidRPr="00626AFC">
        <w:rPr>
          <w:rFonts w:ascii="Book Antiqua" w:hAnsi="Book Antiqua" w:cs="Arial"/>
          <w:color w:val="000000"/>
        </w:rPr>
        <w:t>H</w:t>
      </w:r>
      <w:proofErr w:type="spellEnd"/>
      <w:r w:rsidRPr="00626AFC">
        <w:rPr>
          <w:rFonts w:ascii="Book Antiqua" w:hAnsi="Book Antiqua" w:cs="Arial"/>
          <w:color w:val="000000"/>
        </w:rPr>
        <w:t xml:space="preserve"> Storey</w:t>
      </w:r>
    </w:p>
    <w:p w14:paraId="06F18D7B" w14:textId="77777777" w:rsidR="00B95326" w:rsidRPr="00626AFC" w:rsidRDefault="00A9409A" w:rsidP="007702DD">
      <w:pPr>
        <w:tabs>
          <w:tab w:val="left" w:pos="2520"/>
        </w:tabs>
        <w:ind w:left="540" w:hanging="540"/>
        <w:jc w:val="both"/>
        <w:rPr>
          <w:rFonts w:ascii="Book Antiqua" w:hAnsi="Book Antiqua" w:cs="Arial"/>
          <w:color w:val="000000"/>
        </w:rPr>
      </w:pPr>
      <w:r w:rsidRPr="00626AFC">
        <w:rPr>
          <w:rFonts w:ascii="Book Antiqua" w:hAnsi="Book Antiqua" w:cs="Arial"/>
          <w:color w:val="000000"/>
        </w:rPr>
        <w:t xml:space="preserve">Judge of the </w:t>
      </w:r>
      <w:r w:rsidR="003F367D" w:rsidRPr="00626AFC">
        <w:rPr>
          <w:rFonts w:ascii="Book Antiqua" w:hAnsi="Book Antiqua" w:cs="Arial"/>
          <w:color w:val="000000"/>
        </w:rPr>
        <w:t>Upper Tribunal</w:t>
      </w:r>
      <w:r w:rsidRPr="00626AFC">
        <w:rPr>
          <w:rFonts w:ascii="Book Antiqua" w:hAnsi="Book Antiqua" w:cs="Arial"/>
          <w:color w:val="000000"/>
        </w:rPr>
        <w:t xml:space="preserve"> </w:t>
      </w:r>
    </w:p>
    <w:p w14:paraId="7BCD6C2A" w14:textId="77777777" w:rsidR="00173CC6" w:rsidRPr="00626AFC" w:rsidRDefault="00173CC6" w:rsidP="007702DD">
      <w:pPr>
        <w:tabs>
          <w:tab w:val="left" w:pos="2520"/>
        </w:tabs>
        <w:ind w:left="540" w:hanging="540"/>
        <w:jc w:val="both"/>
        <w:rPr>
          <w:rFonts w:ascii="Book Antiqua" w:hAnsi="Book Antiqua" w:cs="Arial"/>
          <w:color w:val="000000"/>
        </w:rPr>
      </w:pPr>
    </w:p>
    <w:sectPr w:rsidR="00173CC6" w:rsidRPr="00626AFC" w:rsidSect="008B6929">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3D308" w14:textId="77777777" w:rsidR="00C35C2F" w:rsidRDefault="00C35C2F">
      <w:r>
        <w:separator/>
      </w:r>
    </w:p>
  </w:endnote>
  <w:endnote w:type="continuationSeparator" w:id="0">
    <w:p w14:paraId="3BEA9C75" w14:textId="77777777" w:rsidR="00C35C2F" w:rsidRDefault="00C3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3B62" w14:textId="5AC91F1E" w:rsidR="00887DA7" w:rsidRPr="008B6929" w:rsidRDefault="00887DA7" w:rsidP="00593795">
    <w:pPr>
      <w:pStyle w:val="Footer"/>
      <w:jc w:val="center"/>
      <w:rPr>
        <w:rFonts w:ascii="Book Antiqua" w:hAnsi="Book Antiqua" w:cs="Arial"/>
      </w:rPr>
    </w:pPr>
    <w:r w:rsidRPr="008B6929">
      <w:rPr>
        <w:rStyle w:val="PageNumber"/>
        <w:rFonts w:ascii="Book Antiqua" w:hAnsi="Book Antiqua" w:cs="Arial"/>
      </w:rPr>
      <w:fldChar w:fldCharType="begin"/>
    </w:r>
    <w:r w:rsidRPr="008B6929">
      <w:rPr>
        <w:rStyle w:val="PageNumber"/>
        <w:rFonts w:ascii="Book Antiqua" w:hAnsi="Book Antiqua" w:cs="Arial"/>
      </w:rPr>
      <w:instrText xml:space="preserve"> PAGE </w:instrText>
    </w:r>
    <w:r w:rsidRPr="008B6929">
      <w:rPr>
        <w:rStyle w:val="PageNumber"/>
        <w:rFonts w:ascii="Book Antiqua" w:hAnsi="Book Antiqua" w:cs="Arial"/>
      </w:rPr>
      <w:fldChar w:fldCharType="separate"/>
    </w:r>
    <w:r w:rsidR="00EC3568">
      <w:rPr>
        <w:rStyle w:val="PageNumber"/>
        <w:rFonts w:ascii="Book Antiqua" w:hAnsi="Book Antiqua" w:cs="Arial"/>
        <w:noProof/>
      </w:rPr>
      <w:t>2</w:t>
    </w:r>
    <w:r w:rsidRPr="008B692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B8CA9"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04F0A" w14:textId="77777777" w:rsidR="00C35C2F" w:rsidRDefault="00C35C2F">
      <w:r>
        <w:separator/>
      </w:r>
    </w:p>
  </w:footnote>
  <w:footnote w:type="continuationSeparator" w:id="0">
    <w:p w14:paraId="5743F055" w14:textId="77777777" w:rsidR="00C35C2F" w:rsidRDefault="00C3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C1DA" w14:textId="77777777"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844981">
      <w:rPr>
        <w:rFonts w:ascii="Book Antiqua" w:hAnsi="Book Antiqua" w:cs="Arial"/>
        <w:sz w:val="16"/>
        <w:szCs w:val="16"/>
      </w:rPr>
      <w:t>s</w:t>
    </w:r>
    <w:r w:rsidRPr="00B57D66">
      <w:rPr>
        <w:rFonts w:ascii="Book Antiqua" w:hAnsi="Book Antiqua" w:cs="Arial"/>
        <w:sz w:val="16"/>
        <w:szCs w:val="16"/>
      </w:rPr>
      <w:t xml:space="preserve">: </w:t>
    </w:r>
    <w:r w:rsidR="00827F30" w:rsidRPr="00827F30">
      <w:rPr>
        <w:rFonts w:ascii="Book Antiqua" w:hAnsi="Book Antiqua" w:cs="Arial"/>
        <w:sz w:val="16"/>
        <w:szCs w:val="16"/>
      </w:rPr>
      <w:t>EA/06306/2016</w:t>
    </w:r>
  </w:p>
  <w:p w14:paraId="3AE76BF0" w14:textId="77777777" w:rsidR="00705778" w:rsidRDefault="00705778" w:rsidP="00593795">
    <w:pPr>
      <w:pStyle w:val="Header"/>
      <w:jc w:val="right"/>
      <w:rPr>
        <w:rFonts w:ascii="Book Antiqua" w:hAnsi="Book Antiqua" w:cs="Arial"/>
        <w:sz w:val="16"/>
        <w:szCs w:val="16"/>
      </w:rPr>
    </w:pPr>
    <w:r w:rsidRPr="00705778">
      <w:rPr>
        <w:rFonts w:ascii="Book Antiqua" w:hAnsi="Book Antiqua" w:cs="Arial"/>
        <w:sz w:val="16"/>
        <w:szCs w:val="16"/>
      </w:rPr>
      <w:t>EA/07187/2016</w:t>
    </w:r>
  </w:p>
  <w:p w14:paraId="5B24A250" w14:textId="77777777" w:rsidR="00705778" w:rsidRPr="00B57D66" w:rsidRDefault="0070577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0E0E3"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30"/>
    <w:rsid w:val="00000621"/>
    <w:rsid w:val="000036C2"/>
    <w:rsid w:val="0001044F"/>
    <w:rsid w:val="00033D3D"/>
    <w:rsid w:val="00041A05"/>
    <w:rsid w:val="0004397B"/>
    <w:rsid w:val="00062F02"/>
    <w:rsid w:val="00071A7E"/>
    <w:rsid w:val="000746C0"/>
    <w:rsid w:val="00074D1D"/>
    <w:rsid w:val="00082E32"/>
    <w:rsid w:val="00092580"/>
    <w:rsid w:val="00093D4D"/>
    <w:rsid w:val="000A2820"/>
    <w:rsid w:val="000A2ACC"/>
    <w:rsid w:val="000A383D"/>
    <w:rsid w:val="000D326A"/>
    <w:rsid w:val="000D5D94"/>
    <w:rsid w:val="000E5110"/>
    <w:rsid w:val="000F1A0E"/>
    <w:rsid w:val="000F563C"/>
    <w:rsid w:val="00111B0C"/>
    <w:rsid w:val="001165A7"/>
    <w:rsid w:val="00116EAB"/>
    <w:rsid w:val="00124B6A"/>
    <w:rsid w:val="001417E0"/>
    <w:rsid w:val="00150609"/>
    <w:rsid w:val="00152059"/>
    <w:rsid w:val="00167D3A"/>
    <w:rsid w:val="00173CC6"/>
    <w:rsid w:val="001A1E0B"/>
    <w:rsid w:val="001A3082"/>
    <w:rsid w:val="001B186A"/>
    <w:rsid w:val="001B2F75"/>
    <w:rsid w:val="001B618D"/>
    <w:rsid w:val="001C3143"/>
    <w:rsid w:val="001D4DD2"/>
    <w:rsid w:val="001F2716"/>
    <w:rsid w:val="00200F1B"/>
    <w:rsid w:val="0020309A"/>
    <w:rsid w:val="00207617"/>
    <w:rsid w:val="00217803"/>
    <w:rsid w:val="0023134B"/>
    <w:rsid w:val="00272F52"/>
    <w:rsid w:val="00277CB5"/>
    <w:rsid w:val="00283659"/>
    <w:rsid w:val="002A7425"/>
    <w:rsid w:val="002A79C2"/>
    <w:rsid w:val="002B4F33"/>
    <w:rsid w:val="002C6BD4"/>
    <w:rsid w:val="002D68BF"/>
    <w:rsid w:val="002E476B"/>
    <w:rsid w:val="002F6B98"/>
    <w:rsid w:val="00307988"/>
    <w:rsid w:val="00307FF9"/>
    <w:rsid w:val="00327658"/>
    <w:rsid w:val="00334C30"/>
    <w:rsid w:val="00336CBF"/>
    <w:rsid w:val="00343FE3"/>
    <w:rsid w:val="003546C8"/>
    <w:rsid w:val="003554FF"/>
    <w:rsid w:val="0036124A"/>
    <w:rsid w:val="0036185D"/>
    <w:rsid w:val="00362961"/>
    <w:rsid w:val="003A7CF2"/>
    <w:rsid w:val="003B5D4D"/>
    <w:rsid w:val="003C5CE5"/>
    <w:rsid w:val="003E267B"/>
    <w:rsid w:val="003E7CD1"/>
    <w:rsid w:val="003F367D"/>
    <w:rsid w:val="00402B9E"/>
    <w:rsid w:val="004249CB"/>
    <w:rsid w:val="00426616"/>
    <w:rsid w:val="0044127D"/>
    <w:rsid w:val="004413B0"/>
    <w:rsid w:val="004448DB"/>
    <w:rsid w:val="00446C9A"/>
    <w:rsid w:val="00452F2B"/>
    <w:rsid w:val="00461DF6"/>
    <w:rsid w:val="0046454F"/>
    <w:rsid w:val="00471B09"/>
    <w:rsid w:val="00477193"/>
    <w:rsid w:val="0048086C"/>
    <w:rsid w:val="004A1848"/>
    <w:rsid w:val="004A6F4A"/>
    <w:rsid w:val="004B5AEF"/>
    <w:rsid w:val="004E4717"/>
    <w:rsid w:val="00500E0C"/>
    <w:rsid w:val="005076C0"/>
    <w:rsid w:val="00507FEC"/>
    <w:rsid w:val="00510F0E"/>
    <w:rsid w:val="00511698"/>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26AFC"/>
    <w:rsid w:val="00645CE2"/>
    <w:rsid w:val="00653E97"/>
    <w:rsid w:val="00684A74"/>
    <w:rsid w:val="00690B8A"/>
    <w:rsid w:val="00692153"/>
    <w:rsid w:val="006B2B73"/>
    <w:rsid w:val="006B3E18"/>
    <w:rsid w:val="006C5560"/>
    <w:rsid w:val="006D4728"/>
    <w:rsid w:val="006F2CF1"/>
    <w:rsid w:val="00700CB3"/>
    <w:rsid w:val="007038ED"/>
    <w:rsid w:val="00703BC3"/>
    <w:rsid w:val="00704B61"/>
    <w:rsid w:val="00705778"/>
    <w:rsid w:val="007146C8"/>
    <w:rsid w:val="00720D28"/>
    <w:rsid w:val="0074439E"/>
    <w:rsid w:val="007552A9"/>
    <w:rsid w:val="00761858"/>
    <w:rsid w:val="00761DDA"/>
    <w:rsid w:val="007648FB"/>
    <w:rsid w:val="00765664"/>
    <w:rsid w:val="00767D59"/>
    <w:rsid w:val="007702DD"/>
    <w:rsid w:val="0077585C"/>
    <w:rsid w:val="00776E97"/>
    <w:rsid w:val="00780F86"/>
    <w:rsid w:val="007912AD"/>
    <w:rsid w:val="007A4FEE"/>
    <w:rsid w:val="007B0824"/>
    <w:rsid w:val="007B5D3C"/>
    <w:rsid w:val="007C1919"/>
    <w:rsid w:val="007D1838"/>
    <w:rsid w:val="007E0A29"/>
    <w:rsid w:val="008160E5"/>
    <w:rsid w:val="00821B72"/>
    <w:rsid w:val="00823EF2"/>
    <w:rsid w:val="00827D3E"/>
    <w:rsid w:val="00827F30"/>
    <w:rsid w:val="008303B8"/>
    <w:rsid w:val="00831B4B"/>
    <w:rsid w:val="00833DCE"/>
    <w:rsid w:val="00842F3A"/>
    <w:rsid w:val="00844981"/>
    <w:rsid w:val="00871D34"/>
    <w:rsid w:val="00872D99"/>
    <w:rsid w:val="00877749"/>
    <w:rsid w:val="00887DA7"/>
    <w:rsid w:val="008A01DD"/>
    <w:rsid w:val="008A151B"/>
    <w:rsid w:val="008B270C"/>
    <w:rsid w:val="008B4F43"/>
    <w:rsid w:val="008B5078"/>
    <w:rsid w:val="008B6929"/>
    <w:rsid w:val="008C3D3D"/>
    <w:rsid w:val="008D4131"/>
    <w:rsid w:val="008F0203"/>
    <w:rsid w:val="008F1932"/>
    <w:rsid w:val="008F1BC2"/>
    <w:rsid w:val="008F31CE"/>
    <w:rsid w:val="00921062"/>
    <w:rsid w:val="009407F7"/>
    <w:rsid w:val="009722BC"/>
    <w:rsid w:val="009727A3"/>
    <w:rsid w:val="00975893"/>
    <w:rsid w:val="00987774"/>
    <w:rsid w:val="009A080F"/>
    <w:rsid w:val="009A11E8"/>
    <w:rsid w:val="009B4673"/>
    <w:rsid w:val="009E6D04"/>
    <w:rsid w:val="009F5220"/>
    <w:rsid w:val="00A15234"/>
    <w:rsid w:val="00A201AB"/>
    <w:rsid w:val="00A2306E"/>
    <w:rsid w:val="00A31C8B"/>
    <w:rsid w:val="00A50368"/>
    <w:rsid w:val="00A509FA"/>
    <w:rsid w:val="00A772C6"/>
    <w:rsid w:val="00A845DC"/>
    <w:rsid w:val="00A9409A"/>
    <w:rsid w:val="00AD17CF"/>
    <w:rsid w:val="00B050F9"/>
    <w:rsid w:val="00B14672"/>
    <w:rsid w:val="00B26AA2"/>
    <w:rsid w:val="00B3524D"/>
    <w:rsid w:val="00B373A7"/>
    <w:rsid w:val="00B40F69"/>
    <w:rsid w:val="00B448D5"/>
    <w:rsid w:val="00B46616"/>
    <w:rsid w:val="00B57D66"/>
    <w:rsid w:val="00B667F6"/>
    <w:rsid w:val="00B7040A"/>
    <w:rsid w:val="00B8257E"/>
    <w:rsid w:val="00B83391"/>
    <w:rsid w:val="00B95326"/>
    <w:rsid w:val="00BB45A9"/>
    <w:rsid w:val="00BC223E"/>
    <w:rsid w:val="00BD4196"/>
    <w:rsid w:val="00BE2F3A"/>
    <w:rsid w:val="00BE6A7B"/>
    <w:rsid w:val="00BF22CA"/>
    <w:rsid w:val="00BF23BB"/>
    <w:rsid w:val="00C010E7"/>
    <w:rsid w:val="00C26032"/>
    <w:rsid w:val="00C345E1"/>
    <w:rsid w:val="00C35C2F"/>
    <w:rsid w:val="00C43BFD"/>
    <w:rsid w:val="00C61C1E"/>
    <w:rsid w:val="00C816AD"/>
    <w:rsid w:val="00C84894"/>
    <w:rsid w:val="00CB6E35"/>
    <w:rsid w:val="00CC26E8"/>
    <w:rsid w:val="00CD4CBE"/>
    <w:rsid w:val="00CE1A46"/>
    <w:rsid w:val="00CE7550"/>
    <w:rsid w:val="00D012D6"/>
    <w:rsid w:val="00D015C1"/>
    <w:rsid w:val="00D16362"/>
    <w:rsid w:val="00D20757"/>
    <w:rsid w:val="00D22636"/>
    <w:rsid w:val="00D40FD9"/>
    <w:rsid w:val="00D41120"/>
    <w:rsid w:val="00D53769"/>
    <w:rsid w:val="00D7040C"/>
    <w:rsid w:val="00D85C13"/>
    <w:rsid w:val="00D9111A"/>
    <w:rsid w:val="00D91BE3"/>
    <w:rsid w:val="00D94AFC"/>
    <w:rsid w:val="00D97B17"/>
    <w:rsid w:val="00DA1880"/>
    <w:rsid w:val="00DA34D1"/>
    <w:rsid w:val="00DB70AE"/>
    <w:rsid w:val="00DC375C"/>
    <w:rsid w:val="00DD5071"/>
    <w:rsid w:val="00DD5C39"/>
    <w:rsid w:val="00DE7DB7"/>
    <w:rsid w:val="00DF0B31"/>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699B"/>
    <w:rsid w:val="00E77C4D"/>
    <w:rsid w:val="00E81D01"/>
    <w:rsid w:val="00E82519"/>
    <w:rsid w:val="00EA5F89"/>
    <w:rsid w:val="00EA67EF"/>
    <w:rsid w:val="00EC1213"/>
    <w:rsid w:val="00EC3568"/>
    <w:rsid w:val="00ED6E0E"/>
    <w:rsid w:val="00EE45D8"/>
    <w:rsid w:val="00F02AA6"/>
    <w:rsid w:val="00F17123"/>
    <w:rsid w:val="00F22EDA"/>
    <w:rsid w:val="00F35C16"/>
    <w:rsid w:val="00F465D5"/>
    <w:rsid w:val="00F47952"/>
    <w:rsid w:val="00F93ABB"/>
    <w:rsid w:val="00F95BB7"/>
    <w:rsid w:val="00FA3998"/>
    <w:rsid w:val="00FA6FCD"/>
    <w:rsid w:val="00FC3832"/>
    <w:rsid w:val="00FC39B7"/>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F7FEC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3877</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2018-08-20T11:45:00Z</dcterms:created>
  <dcterms:modified xsi:type="dcterms:W3CDTF">2018-08-20T11:45:00Z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